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E25C87" w:rsidRDefault="009848F2" w:rsidP="009848F2">
      <w:pPr>
        <w:pStyle w:val="ChapterTitle"/>
        <w:tabs>
          <w:tab w:val="left" w:pos="5812"/>
          <w:tab w:val="left" w:pos="5954"/>
          <w:tab w:val="left" w:pos="6096"/>
          <w:tab w:val="left" w:pos="6237"/>
        </w:tabs>
        <w:spacing w:after="0" w:line="240" w:lineRule="auto"/>
        <w:ind w:left="0" w:right="-28"/>
        <w:jc w:val="left"/>
        <w:rPr>
          <w:sz w:val="28"/>
          <w:lang w:val="en-GB"/>
        </w:rPr>
      </w:pPr>
      <w:r w:rsidRPr="00E25C87">
        <w:rPr>
          <w:sz w:val="28"/>
          <w:lang w:val="en-GB"/>
        </w:rPr>
        <w:t>Chapter N</w:t>
      </w:r>
      <w:r w:rsidR="007808F3" w:rsidRPr="00E25C87">
        <w:rPr>
          <w:sz w:val="28"/>
          <w:lang w:val="en-GB"/>
        </w:rPr>
        <w:t xml:space="preserve"> </w:t>
      </w:r>
      <w:r w:rsidR="007808F3" w:rsidRPr="00E25C87">
        <w:rPr>
          <w:color w:val="FF0000"/>
          <w:sz w:val="28"/>
          <w:lang w:val="en-GB"/>
        </w:rPr>
        <w:t>(please do not write anything in this line</w:t>
      </w:r>
      <w:r w:rsidR="00425A66" w:rsidRPr="00E25C87">
        <w:rPr>
          <w:color w:val="FF0000"/>
          <w:sz w:val="28"/>
          <w:lang w:val="en-GB"/>
        </w:rPr>
        <w:t>. Editors will annotate the chapter number</w:t>
      </w:r>
      <w:r w:rsidR="007808F3" w:rsidRPr="00E25C87">
        <w:rPr>
          <w:color w:val="FF0000"/>
          <w:sz w:val="28"/>
          <w:lang w:val="en-GB"/>
        </w:rPr>
        <w:t>)</w:t>
      </w:r>
    </w:p>
    <w:p w14:paraId="5AD0784A" w14:textId="6F9A7470" w:rsidR="002F7330" w:rsidRPr="00E25C87" w:rsidRDefault="00B972C3" w:rsidP="00B972C3">
      <w:pPr>
        <w:pStyle w:val="ChapterTitle"/>
        <w:tabs>
          <w:tab w:val="left" w:pos="5812"/>
          <w:tab w:val="left" w:pos="5954"/>
          <w:tab w:val="left" w:pos="6096"/>
          <w:tab w:val="left" w:pos="6237"/>
        </w:tabs>
        <w:spacing w:after="0" w:line="240" w:lineRule="auto"/>
        <w:ind w:left="0" w:right="-28"/>
        <w:rPr>
          <w:sz w:val="28"/>
          <w:lang w:val="en-GB"/>
        </w:rPr>
      </w:pPr>
      <w:r w:rsidRPr="00E25C87">
        <w:rPr>
          <w:sz w:val="28"/>
          <w:lang w:val="en-GB"/>
        </w:rPr>
        <w:t xml:space="preserve">Material Flow Analysis and Life Cycle Assessment </w:t>
      </w:r>
      <w:r w:rsidR="00B07AFF">
        <w:rPr>
          <w:sz w:val="28"/>
          <w:lang w:val="en-GB"/>
        </w:rPr>
        <w:t>of</w:t>
      </w:r>
      <w:r w:rsidR="00B07AFF" w:rsidRPr="00E25C87">
        <w:rPr>
          <w:sz w:val="28"/>
          <w:lang w:val="en-GB"/>
        </w:rPr>
        <w:t xml:space="preserve"> </w:t>
      </w:r>
      <w:r w:rsidRPr="00E25C87">
        <w:rPr>
          <w:sz w:val="28"/>
          <w:lang w:val="en-GB"/>
        </w:rPr>
        <w:t xml:space="preserve">Waste Electrical and Electronic Equipment </w:t>
      </w:r>
      <w:r w:rsidR="004E10DB">
        <w:rPr>
          <w:sz w:val="28"/>
          <w:lang w:val="en-GB"/>
        </w:rPr>
        <w:t>R</w:t>
      </w:r>
      <w:r w:rsidR="00B07AFF">
        <w:rPr>
          <w:sz w:val="28"/>
          <w:lang w:val="en-GB"/>
        </w:rPr>
        <w:t xml:space="preserve">ecovery </w:t>
      </w:r>
      <w:r w:rsidR="003370A0" w:rsidRPr="00E25C87">
        <w:rPr>
          <w:sz w:val="28"/>
          <w:lang w:val="en-GB"/>
        </w:rPr>
        <w:t>in</w:t>
      </w:r>
      <w:r w:rsidRPr="00E25C87">
        <w:rPr>
          <w:sz w:val="28"/>
          <w:lang w:val="en-GB"/>
        </w:rPr>
        <w:t xml:space="preserve"> a Regional Circular Economy Scenario</w:t>
      </w:r>
    </w:p>
    <w:p w14:paraId="0AA38F2B" w14:textId="77777777" w:rsidR="009848F2" w:rsidRPr="00E25C87" w:rsidRDefault="009848F2"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3FB827C2" w14:textId="5EC2C427" w:rsidR="002F7330" w:rsidRPr="00DB7838" w:rsidRDefault="00B972C3" w:rsidP="00D66ED0">
      <w:pPr>
        <w:pStyle w:val="Author"/>
        <w:spacing w:line="276" w:lineRule="auto"/>
        <w:rPr>
          <w:sz w:val="24"/>
          <w:lang w:val="it-IT"/>
        </w:rPr>
      </w:pPr>
      <w:r w:rsidRPr="00DB7838">
        <w:rPr>
          <w:sz w:val="24"/>
          <w:lang w:val="it-IT"/>
        </w:rPr>
        <w:t>Patrizia Ghisellini</w:t>
      </w:r>
      <w:r w:rsidR="00247384" w:rsidRPr="00DB7838">
        <w:rPr>
          <w:sz w:val="24"/>
          <w:vertAlign w:val="superscript"/>
          <w:lang w:val="it-IT"/>
        </w:rPr>
        <w:t>§</w:t>
      </w:r>
      <w:r w:rsidR="009F68F7" w:rsidRPr="00DB7838">
        <w:rPr>
          <w:sz w:val="24"/>
          <w:lang w:val="it-IT"/>
        </w:rPr>
        <w:t xml:space="preserve">, </w:t>
      </w:r>
      <w:r w:rsidRPr="00DB7838">
        <w:rPr>
          <w:sz w:val="24"/>
          <w:lang w:val="it-IT"/>
        </w:rPr>
        <w:t>Renato Passaro</w:t>
      </w:r>
      <w:r w:rsidR="00247384" w:rsidRPr="00DB7838">
        <w:rPr>
          <w:sz w:val="24"/>
          <w:vertAlign w:val="superscript"/>
          <w:lang w:val="it-IT"/>
        </w:rPr>
        <w:t>#</w:t>
      </w:r>
      <w:r w:rsidR="009F68F7" w:rsidRPr="00DB7838">
        <w:rPr>
          <w:sz w:val="24"/>
          <w:lang w:val="it-IT"/>
        </w:rPr>
        <w:t xml:space="preserve">, </w:t>
      </w:r>
      <w:r w:rsidRPr="00DB7838">
        <w:rPr>
          <w:sz w:val="24"/>
          <w:lang w:val="it-IT"/>
        </w:rPr>
        <w:t>Sergio Ulgiati</w:t>
      </w:r>
      <w:r w:rsidR="00247384" w:rsidRPr="00DB7838">
        <w:rPr>
          <w:sz w:val="24"/>
          <w:vertAlign w:val="superscript"/>
          <w:lang w:val="it-IT"/>
        </w:rPr>
        <w:t>ç</w:t>
      </w:r>
    </w:p>
    <w:p w14:paraId="16DA0DBA" w14:textId="6ECC0BDD" w:rsidR="00D07C01" w:rsidRPr="00E25C87" w:rsidRDefault="00247384" w:rsidP="009848F2">
      <w:pPr>
        <w:pStyle w:val="Affiliation"/>
        <w:spacing w:line="276" w:lineRule="auto"/>
        <w:rPr>
          <w:lang w:val="en-GB"/>
        </w:rPr>
      </w:pPr>
      <w:r w:rsidRPr="00E25C87">
        <w:rPr>
          <w:sz w:val="24"/>
          <w:vertAlign w:val="superscript"/>
          <w:lang w:val="en-GB"/>
        </w:rPr>
        <w:t>§</w:t>
      </w:r>
      <w:r w:rsidR="00B972C3" w:rsidRPr="00E25C87">
        <w:rPr>
          <w:sz w:val="26"/>
          <w:szCs w:val="26"/>
          <w:lang w:val="en-GB"/>
        </w:rPr>
        <w:t xml:space="preserve"> </w:t>
      </w:r>
      <w:r w:rsidR="00B972C3" w:rsidRPr="00E25C87">
        <w:rPr>
          <w:lang w:val="en-GB"/>
        </w:rPr>
        <w:t>Department of Engineering, University of Naples “Parthenope”</w:t>
      </w:r>
      <w:r w:rsidR="00D07C01" w:rsidRPr="00E25C87">
        <w:rPr>
          <w:lang w:val="en-GB"/>
        </w:rPr>
        <w:t xml:space="preserve">, </w:t>
      </w:r>
      <w:r w:rsidR="00B972C3" w:rsidRPr="00E25C87">
        <w:rPr>
          <w:lang w:val="en-GB"/>
        </w:rPr>
        <w:t>Centro Direzionale Isola C4</w:t>
      </w:r>
      <w:r w:rsidR="003370A0" w:rsidRPr="00E25C87">
        <w:rPr>
          <w:lang w:val="en-GB"/>
        </w:rPr>
        <w:t xml:space="preserve"> –</w:t>
      </w:r>
      <w:r w:rsidR="00B972C3" w:rsidRPr="00E25C87">
        <w:rPr>
          <w:lang w:val="en-GB"/>
        </w:rPr>
        <w:t xml:space="preserve"> 80143</w:t>
      </w:r>
      <w:r w:rsidR="003370A0" w:rsidRPr="00E25C87">
        <w:rPr>
          <w:lang w:val="en-GB"/>
        </w:rPr>
        <w:t>,</w:t>
      </w:r>
      <w:r w:rsidR="00B972C3" w:rsidRPr="00E25C87">
        <w:rPr>
          <w:lang w:val="en-GB"/>
        </w:rPr>
        <w:t xml:space="preserve"> Naples,</w:t>
      </w:r>
      <w:r w:rsidR="00D07C01" w:rsidRPr="00E25C87">
        <w:rPr>
          <w:lang w:val="en-GB"/>
        </w:rPr>
        <w:t xml:space="preserve"> </w:t>
      </w:r>
      <w:r w:rsidR="00B972C3" w:rsidRPr="00E25C87">
        <w:rPr>
          <w:lang w:val="en-GB"/>
        </w:rPr>
        <w:t>Italy</w:t>
      </w:r>
    </w:p>
    <w:p w14:paraId="6A8F3C31" w14:textId="66DA2291" w:rsidR="00247384" w:rsidRPr="00E25C87" w:rsidRDefault="00247384" w:rsidP="00247384">
      <w:pPr>
        <w:pStyle w:val="Affiliation"/>
        <w:spacing w:line="276" w:lineRule="auto"/>
        <w:rPr>
          <w:lang w:val="en-GB"/>
        </w:rPr>
      </w:pPr>
      <w:r w:rsidRPr="00E25C87">
        <w:rPr>
          <w:sz w:val="24"/>
          <w:vertAlign w:val="superscript"/>
          <w:lang w:val="en-GB"/>
        </w:rPr>
        <w:t>#</w:t>
      </w:r>
      <w:r w:rsidRPr="00E25C87">
        <w:rPr>
          <w:lang w:val="en-GB"/>
        </w:rPr>
        <w:t>Department of</w:t>
      </w:r>
      <w:r w:rsidR="00B972C3" w:rsidRPr="00E25C87">
        <w:rPr>
          <w:lang w:val="en-GB"/>
        </w:rPr>
        <w:t xml:space="preserve"> </w:t>
      </w:r>
      <w:r w:rsidR="00690D9A" w:rsidRPr="00E25C87">
        <w:rPr>
          <w:lang w:val="en-GB"/>
        </w:rPr>
        <w:t>Engin</w:t>
      </w:r>
      <w:r w:rsidR="0055239B">
        <w:rPr>
          <w:lang w:val="en-GB"/>
        </w:rPr>
        <w:t>e</w:t>
      </w:r>
      <w:r w:rsidR="00690D9A" w:rsidRPr="00E25C87">
        <w:rPr>
          <w:lang w:val="en-GB"/>
        </w:rPr>
        <w:t>ering</w:t>
      </w:r>
      <w:r w:rsidR="00B972C3" w:rsidRPr="00E25C87">
        <w:rPr>
          <w:lang w:val="en-GB"/>
        </w:rPr>
        <w:t>,</w:t>
      </w:r>
      <w:r w:rsidRPr="00E25C87">
        <w:rPr>
          <w:lang w:val="en-GB"/>
        </w:rPr>
        <w:t xml:space="preserve"> University of</w:t>
      </w:r>
      <w:r w:rsidR="005571FB" w:rsidRPr="00E25C87">
        <w:rPr>
          <w:lang w:val="en-GB"/>
        </w:rPr>
        <w:t xml:space="preserve"> Naples “Parthenope”, Centro Direzionale Isola C4</w:t>
      </w:r>
      <w:r w:rsidR="003370A0" w:rsidRPr="00E25C87">
        <w:rPr>
          <w:lang w:val="en-GB"/>
        </w:rPr>
        <w:t xml:space="preserve"> –</w:t>
      </w:r>
      <w:r w:rsidRPr="00E25C87">
        <w:rPr>
          <w:lang w:val="en-GB"/>
        </w:rPr>
        <w:t xml:space="preserve"> </w:t>
      </w:r>
      <w:r w:rsidR="005571FB" w:rsidRPr="00E25C87">
        <w:rPr>
          <w:lang w:val="en-GB"/>
        </w:rPr>
        <w:t>80143</w:t>
      </w:r>
      <w:r w:rsidRPr="00E25C87">
        <w:rPr>
          <w:lang w:val="en-GB"/>
        </w:rPr>
        <w:t xml:space="preserve">, </w:t>
      </w:r>
      <w:r w:rsidR="005571FB" w:rsidRPr="00E25C87">
        <w:rPr>
          <w:lang w:val="en-GB"/>
        </w:rPr>
        <w:t>Naples</w:t>
      </w:r>
      <w:r w:rsidRPr="00E25C87">
        <w:rPr>
          <w:lang w:val="en-GB"/>
        </w:rPr>
        <w:t xml:space="preserve">, </w:t>
      </w:r>
      <w:r w:rsidR="005571FB" w:rsidRPr="00E25C87">
        <w:rPr>
          <w:lang w:val="en-GB"/>
        </w:rPr>
        <w:t>Italy</w:t>
      </w:r>
    </w:p>
    <w:p w14:paraId="7529333C" w14:textId="681E383A" w:rsidR="00247384" w:rsidRPr="00E25C87" w:rsidRDefault="00247384" w:rsidP="00247384">
      <w:pPr>
        <w:pStyle w:val="Affiliation"/>
        <w:spacing w:line="276" w:lineRule="auto"/>
        <w:rPr>
          <w:lang w:val="en-GB"/>
        </w:rPr>
      </w:pPr>
      <w:r w:rsidRPr="00E25C87">
        <w:rPr>
          <w:sz w:val="24"/>
          <w:vertAlign w:val="superscript"/>
          <w:lang w:val="en-GB"/>
        </w:rPr>
        <w:t>ç</w:t>
      </w:r>
      <w:r w:rsidRPr="00E25C87">
        <w:rPr>
          <w:lang w:val="en-GB"/>
        </w:rPr>
        <w:t>Department of</w:t>
      </w:r>
      <w:r w:rsidR="005766F1" w:rsidRPr="00E25C87">
        <w:rPr>
          <w:lang w:val="en-GB"/>
        </w:rPr>
        <w:t xml:space="preserve"> Science and Technology</w:t>
      </w:r>
      <w:r w:rsidRPr="00E25C87">
        <w:rPr>
          <w:lang w:val="en-GB"/>
        </w:rPr>
        <w:t>, University of</w:t>
      </w:r>
      <w:r w:rsidR="005766F1" w:rsidRPr="00E25C87">
        <w:rPr>
          <w:lang w:val="en-GB"/>
        </w:rPr>
        <w:t xml:space="preserve"> Naples “Parthenope”,</w:t>
      </w:r>
      <w:r w:rsidRPr="00E25C87">
        <w:rPr>
          <w:lang w:val="en-GB"/>
        </w:rPr>
        <w:t xml:space="preserve"> </w:t>
      </w:r>
      <w:r w:rsidR="005766F1" w:rsidRPr="00E25C87">
        <w:rPr>
          <w:lang w:val="en-GB"/>
        </w:rPr>
        <w:t>Centro Direzionale Isola C4</w:t>
      </w:r>
      <w:r w:rsidR="003370A0" w:rsidRPr="00E25C87">
        <w:rPr>
          <w:lang w:val="en-GB"/>
        </w:rPr>
        <w:t xml:space="preserve"> –</w:t>
      </w:r>
      <w:r w:rsidRPr="00E25C87">
        <w:rPr>
          <w:lang w:val="en-GB"/>
        </w:rPr>
        <w:t xml:space="preserve"> </w:t>
      </w:r>
      <w:r w:rsidR="005766F1" w:rsidRPr="00E25C87">
        <w:rPr>
          <w:lang w:val="en-GB"/>
        </w:rPr>
        <w:t>80143</w:t>
      </w:r>
      <w:r w:rsidRPr="00E25C87">
        <w:rPr>
          <w:lang w:val="en-GB"/>
        </w:rPr>
        <w:t xml:space="preserve">, </w:t>
      </w:r>
      <w:r w:rsidR="005766F1" w:rsidRPr="00E25C87">
        <w:rPr>
          <w:lang w:val="en-GB"/>
        </w:rPr>
        <w:t>Naples</w:t>
      </w:r>
      <w:r w:rsidRPr="00E25C87">
        <w:rPr>
          <w:lang w:val="en-GB"/>
        </w:rPr>
        <w:t xml:space="preserve">, </w:t>
      </w:r>
      <w:r w:rsidR="005766F1" w:rsidRPr="00E25C87">
        <w:rPr>
          <w:lang w:val="en-GB"/>
        </w:rPr>
        <w:t>Italy</w:t>
      </w:r>
    </w:p>
    <w:p w14:paraId="2181B678" w14:textId="11B04C09" w:rsidR="009848F2" w:rsidRPr="00E25C87" w:rsidRDefault="00A12967" w:rsidP="009848F2">
      <w:pPr>
        <w:pStyle w:val="Affiliation"/>
        <w:spacing w:line="276" w:lineRule="auto"/>
        <w:rPr>
          <w:lang w:val="en-GB"/>
        </w:rPr>
      </w:pPr>
      <w:r w:rsidRPr="00E25C87">
        <w:rPr>
          <w:sz w:val="24"/>
          <w:vertAlign w:val="superscript"/>
          <w:lang w:val="en-GB"/>
        </w:rPr>
        <w:t>§</w:t>
      </w:r>
      <w:r w:rsidR="005571FB" w:rsidRPr="00E25C87">
        <w:rPr>
          <w:lang w:val="en-GB"/>
        </w:rPr>
        <w:t>patrizia.ghisellini@uniparthenope.it</w:t>
      </w:r>
      <w:r w:rsidR="009F68F7" w:rsidRPr="00E25C87">
        <w:rPr>
          <w:lang w:val="en-GB"/>
        </w:rPr>
        <w:t>.</w:t>
      </w:r>
      <w:r w:rsidRPr="00E25C87">
        <w:rPr>
          <w:lang w:val="en-GB"/>
        </w:rPr>
        <w:t xml:space="preserve"> </w:t>
      </w:r>
      <w:r w:rsidR="00A468DC" w:rsidRPr="00E25C87">
        <w:rPr>
          <w:lang w:val="en-GB"/>
        </w:rPr>
        <w:t>and</w:t>
      </w:r>
      <w:r w:rsidR="005571FB" w:rsidRPr="00E25C87">
        <w:rPr>
          <w:lang w:val="en-GB"/>
        </w:rPr>
        <w:t xml:space="preserve"> 0000-0003-4395-1378</w:t>
      </w:r>
      <w:r w:rsidRPr="00E25C87">
        <w:rPr>
          <w:lang w:val="en-GB"/>
        </w:rPr>
        <w:t xml:space="preserve">; </w:t>
      </w:r>
      <w:r w:rsidRPr="00E25C87">
        <w:rPr>
          <w:sz w:val="24"/>
          <w:vertAlign w:val="superscript"/>
          <w:lang w:val="en-GB"/>
        </w:rPr>
        <w:t>#</w:t>
      </w:r>
      <w:r w:rsidR="005766F1" w:rsidRPr="00E25C87">
        <w:rPr>
          <w:lang w:val="en-GB"/>
        </w:rPr>
        <w:t>renato.passaro@uniparthenope.it</w:t>
      </w:r>
      <w:r w:rsidRPr="00E25C87">
        <w:rPr>
          <w:lang w:val="en-GB"/>
        </w:rPr>
        <w:t xml:space="preserve">. </w:t>
      </w:r>
      <w:r w:rsidR="00A468DC" w:rsidRPr="00E25C87">
        <w:rPr>
          <w:lang w:val="en-GB"/>
        </w:rPr>
        <w:t>and</w:t>
      </w:r>
      <w:r w:rsidR="005766F1" w:rsidRPr="00E25C87">
        <w:rPr>
          <w:lang w:val="en-GB"/>
        </w:rPr>
        <w:t xml:space="preserve"> 0000-0002-3263-2294</w:t>
      </w:r>
      <w:r w:rsidRPr="00E25C87">
        <w:rPr>
          <w:lang w:val="en-GB"/>
        </w:rPr>
        <w:t>;</w:t>
      </w:r>
      <w:r w:rsidRPr="00E25C87">
        <w:rPr>
          <w:sz w:val="24"/>
          <w:vertAlign w:val="superscript"/>
          <w:lang w:val="en-GB"/>
        </w:rPr>
        <w:t xml:space="preserve"> ç</w:t>
      </w:r>
      <w:r w:rsidR="005766F1" w:rsidRPr="00E25C87">
        <w:rPr>
          <w:lang w:val="en-GB"/>
        </w:rPr>
        <w:t>sergio.ulgiati@uniparthenope.it</w:t>
      </w:r>
      <w:r w:rsidRPr="00E25C87">
        <w:rPr>
          <w:lang w:val="en-GB"/>
        </w:rPr>
        <w:t xml:space="preserve"> </w:t>
      </w:r>
      <w:r w:rsidR="00A468DC" w:rsidRPr="00E25C87">
        <w:rPr>
          <w:lang w:val="en-GB"/>
        </w:rPr>
        <w:t>and</w:t>
      </w:r>
      <w:r w:rsidR="005766F1" w:rsidRPr="00E25C87">
        <w:rPr>
          <w:lang w:val="en-GB"/>
        </w:rPr>
        <w:t xml:space="preserve"> 0000-0001-6159-4947</w:t>
      </w:r>
      <w:r w:rsidRPr="00E25C87">
        <w:rPr>
          <w:lang w:val="en-GB"/>
        </w:rPr>
        <w:t>;</w:t>
      </w:r>
    </w:p>
    <w:p w14:paraId="0841DE3B" w14:textId="2695CD21" w:rsidR="002F7330" w:rsidRPr="00E25C87" w:rsidRDefault="009848F2" w:rsidP="009848F2">
      <w:pPr>
        <w:pStyle w:val="Affiliation"/>
        <w:spacing w:line="276" w:lineRule="auto"/>
        <w:jc w:val="both"/>
        <w:rPr>
          <w:lang w:val="en-GB"/>
        </w:rPr>
      </w:pPr>
      <w:r w:rsidRPr="00E25C87">
        <w:rPr>
          <w:lang w:val="en-GB"/>
        </w:rPr>
        <w:t xml:space="preserve">Corresponding author: </w:t>
      </w:r>
      <w:r w:rsidR="005571FB" w:rsidRPr="00E25C87">
        <w:rPr>
          <w:lang w:val="en-GB"/>
        </w:rPr>
        <w:t>Patrizia Ghisellini</w:t>
      </w:r>
      <w:r w:rsidRPr="00E25C87">
        <w:rPr>
          <w:lang w:val="en-GB"/>
        </w:rPr>
        <w:t xml:space="preserve">, </w:t>
      </w:r>
      <w:r w:rsidR="005571FB" w:rsidRPr="00E25C87">
        <w:rPr>
          <w:lang w:val="en-GB"/>
        </w:rPr>
        <w:t>patrizia.ghisellini@uniparthenope.it</w:t>
      </w:r>
      <w:r w:rsidR="009F68F7" w:rsidRPr="00E25C87">
        <w:rPr>
          <w:lang w:val="en-GB"/>
        </w:rPr>
        <w:t>.</w:t>
      </w:r>
    </w:p>
    <w:p w14:paraId="61F73F98" w14:textId="77777777" w:rsidR="007B567F" w:rsidRPr="00E25C87" w:rsidRDefault="007B567F" w:rsidP="00D66ED0">
      <w:pPr>
        <w:pStyle w:val="Abstract"/>
        <w:tabs>
          <w:tab w:val="left" w:pos="6379"/>
        </w:tabs>
        <w:spacing w:line="276" w:lineRule="auto"/>
        <w:ind w:left="0" w:right="-30"/>
        <w:rPr>
          <w:b/>
          <w:sz w:val="22"/>
          <w:lang w:val="en-GB"/>
        </w:rPr>
      </w:pPr>
      <w:r w:rsidRPr="00E25C87">
        <w:rPr>
          <w:b/>
          <w:noProof/>
          <w:snapToGrid/>
          <w:sz w:val="22"/>
          <w:lang w:val="en-GB"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1A4B7285" w14:textId="17895450" w:rsidR="00DA09FA" w:rsidRPr="00E25C87" w:rsidRDefault="004225DE" w:rsidP="00D66ED0">
      <w:pPr>
        <w:pStyle w:val="Abstract"/>
        <w:tabs>
          <w:tab w:val="left" w:pos="6379"/>
        </w:tabs>
        <w:spacing w:line="276" w:lineRule="auto"/>
        <w:ind w:left="0" w:right="-30"/>
        <w:rPr>
          <w:sz w:val="22"/>
          <w:lang w:val="en-GB"/>
        </w:rPr>
      </w:pPr>
      <w:r w:rsidRPr="00E25C87">
        <w:rPr>
          <w:b/>
          <w:sz w:val="22"/>
          <w:lang w:val="en-GB"/>
        </w:rPr>
        <w:t>Abstract.</w:t>
      </w:r>
      <w:r w:rsidRPr="00E25C87">
        <w:rPr>
          <w:sz w:val="22"/>
          <w:lang w:val="en-GB"/>
        </w:rPr>
        <w:t xml:space="preserve"> </w:t>
      </w:r>
      <w:r w:rsidR="00DA09FA" w:rsidRPr="00E25C87">
        <w:rPr>
          <w:sz w:val="22"/>
          <w:lang w:val="en-GB"/>
        </w:rPr>
        <w:t>This study analyses the waste electrical and electronic equipment</w:t>
      </w:r>
      <w:r w:rsidR="00A7629D" w:rsidRPr="00E25C87">
        <w:rPr>
          <w:sz w:val="22"/>
          <w:lang w:val="en-GB"/>
        </w:rPr>
        <w:t xml:space="preserve"> (WEEE)</w:t>
      </w:r>
      <w:r w:rsidR="00DA09FA" w:rsidRPr="00E25C87">
        <w:rPr>
          <w:sz w:val="22"/>
          <w:lang w:val="en-GB"/>
        </w:rPr>
        <w:t xml:space="preserve"> management system of Campania Region</w:t>
      </w:r>
      <w:r w:rsidR="00A7629D" w:rsidRPr="00E25C87">
        <w:rPr>
          <w:sz w:val="22"/>
          <w:lang w:val="en-GB"/>
        </w:rPr>
        <w:t xml:space="preserve"> </w:t>
      </w:r>
      <w:r w:rsidR="002B1AD8" w:rsidRPr="00E25C87">
        <w:rPr>
          <w:sz w:val="22"/>
          <w:lang w:val="en-GB"/>
        </w:rPr>
        <w:t xml:space="preserve">assessing </w:t>
      </w:r>
      <w:r w:rsidR="00A7629D" w:rsidRPr="00E25C87">
        <w:rPr>
          <w:sz w:val="22"/>
          <w:lang w:val="en-GB"/>
        </w:rPr>
        <w:t xml:space="preserve">the </w:t>
      </w:r>
      <w:r w:rsidR="00AA2516" w:rsidRPr="00E25C87">
        <w:rPr>
          <w:sz w:val="22"/>
          <w:lang w:val="en-GB"/>
        </w:rPr>
        <w:t>input and output material flows</w:t>
      </w:r>
      <w:r w:rsidR="003157E6" w:rsidRPr="00E25C87">
        <w:rPr>
          <w:sz w:val="22"/>
          <w:lang w:val="en-GB"/>
        </w:rPr>
        <w:t xml:space="preserve"> to and from the system</w:t>
      </w:r>
      <w:r w:rsidR="00A7629D" w:rsidRPr="00E25C87">
        <w:rPr>
          <w:sz w:val="22"/>
          <w:lang w:val="en-GB"/>
        </w:rPr>
        <w:t xml:space="preserve"> and</w:t>
      </w:r>
      <w:r w:rsidR="00AA2516" w:rsidRPr="00E25C87">
        <w:rPr>
          <w:sz w:val="22"/>
          <w:lang w:val="en-GB"/>
        </w:rPr>
        <w:t xml:space="preserve"> </w:t>
      </w:r>
      <w:r w:rsidR="002B1AD8" w:rsidRPr="00E25C87">
        <w:rPr>
          <w:sz w:val="22"/>
          <w:lang w:val="en-GB"/>
        </w:rPr>
        <w:t xml:space="preserve">the environmental impacts of the recovery of the materials and components </w:t>
      </w:r>
      <w:r w:rsidR="00AA2516" w:rsidRPr="00E25C87">
        <w:rPr>
          <w:sz w:val="22"/>
          <w:lang w:val="en-GB"/>
        </w:rPr>
        <w:t xml:space="preserve">of WEEE after their </w:t>
      </w:r>
      <w:r w:rsidR="00B07AFF">
        <w:rPr>
          <w:sz w:val="22"/>
          <w:lang w:val="en-GB"/>
        </w:rPr>
        <w:t xml:space="preserve">first step </w:t>
      </w:r>
      <w:r w:rsidR="0055239B">
        <w:rPr>
          <w:sz w:val="22"/>
          <w:lang w:val="en-GB"/>
        </w:rPr>
        <w:t>separation</w:t>
      </w:r>
      <w:r w:rsidR="00B07AFF" w:rsidRPr="00E25C87">
        <w:rPr>
          <w:sz w:val="22"/>
          <w:lang w:val="en-GB"/>
        </w:rPr>
        <w:t xml:space="preserve"> </w:t>
      </w:r>
      <w:r w:rsidR="00AA2516" w:rsidRPr="00E25C87">
        <w:rPr>
          <w:sz w:val="22"/>
          <w:lang w:val="en-GB"/>
        </w:rPr>
        <w:t xml:space="preserve">in </w:t>
      </w:r>
      <w:r w:rsidR="00B07AFF">
        <w:rPr>
          <w:sz w:val="22"/>
          <w:lang w:val="en-GB"/>
        </w:rPr>
        <w:t>a</w:t>
      </w:r>
      <w:r w:rsidR="00B07AFF" w:rsidRPr="00E25C87">
        <w:rPr>
          <w:sz w:val="22"/>
          <w:lang w:val="en-GB"/>
        </w:rPr>
        <w:t xml:space="preserve"> </w:t>
      </w:r>
      <w:r w:rsidR="0055239B" w:rsidRPr="00E25C87">
        <w:rPr>
          <w:sz w:val="22"/>
          <w:lang w:val="en-GB"/>
        </w:rPr>
        <w:t>treatment plant</w:t>
      </w:r>
      <w:r w:rsidR="007E5871" w:rsidRPr="00E25C87">
        <w:rPr>
          <w:sz w:val="22"/>
          <w:lang w:val="en-GB"/>
        </w:rPr>
        <w:t xml:space="preserve"> located outside the Region. </w:t>
      </w:r>
      <w:r w:rsidR="00B07AFF">
        <w:rPr>
          <w:sz w:val="22"/>
          <w:lang w:val="en-GB"/>
        </w:rPr>
        <w:t>T</w:t>
      </w:r>
      <w:r w:rsidR="00A7629D" w:rsidRPr="00E25C87">
        <w:rPr>
          <w:sz w:val="22"/>
          <w:lang w:val="en-GB"/>
        </w:rPr>
        <w:t xml:space="preserve">his study also aims at improving the traceability of the life cycle of WEEE of Campania Region. </w:t>
      </w:r>
      <w:r w:rsidR="00511ADA" w:rsidRPr="00E25C87">
        <w:rPr>
          <w:sz w:val="22"/>
          <w:lang w:val="en-GB"/>
        </w:rPr>
        <w:t>The</w:t>
      </w:r>
      <w:r w:rsidR="00AA2516" w:rsidRPr="00E25C87">
        <w:rPr>
          <w:sz w:val="22"/>
          <w:lang w:val="en-GB"/>
        </w:rPr>
        <w:t xml:space="preserve"> </w:t>
      </w:r>
      <w:r w:rsidR="00511ADA" w:rsidRPr="00E25C87">
        <w:rPr>
          <w:sz w:val="22"/>
          <w:lang w:val="en-GB"/>
        </w:rPr>
        <w:t xml:space="preserve">midpoint and endpoint </w:t>
      </w:r>
      <w:r w:rsidR="00430D5E" w:rsidRPr="00E25C87">
        <w:rPr>
          <w:sz w:val="22"/>
          <w:lang w:val="en-GB"/>
        </w:rPr>
        <w:t xml:space="preserve">preliminary </w:t>
      </w:r>
      <w:r w:rsidR="00AA2516" w:rsidRPr="00E25C87">
        <w:rPr>
          <w:sz w:val="22"/>
          <w:lang w:val="en-GB"/>
        </w:rPr>
        <w:t xml:space="preserve">results </w:t>
      </w:r>
      <w:r w:rsidR="00511ADA" w:rsidRPr="00E25C87">
        <w:rPr>
          <w:sz w:val="22"/>
          <w:lang w:val="en-GB"/>
        </w:rPr>
        <w:t xml:space="preserve">evidence the environmental </w:t>
      </w:r>
      <w:r w:rsidR="00D33403" w:rsidRPr="00E25C87">
        <w:rPr>
          <w:sz w:val="22"/>
          <w:lang w:val="en-GB"/>
        </w:rPr>
        <w:t>impacts of the collection and treatment of</w:t>
      </w:r>
      <w:r w:rsidR="007E5871" w:rsidRPr="00E25C87">
        <w:rPr>
          <w:sz w:val="22"/>
          <w:lang w:val="en-GB"/>
        </w:rPr>
        <w:t xml:space="preserve"> R1 and R2 category of WEEE</w:t>
      </w:r>
      <w:r w:rsidR="00D33403" w:rsidRPr="00E25C87">
        <w:rPr>
          <w:sz w:val="22"/>
          <w:lang w:val="en-GB"/>
        </w:rPr>
        <w:t>. Moreover, the comparison of the environmental impacts for the recovered materials</w:t>
      </w:r>
      <w:r w:rsidR="00B07AFF">
        <w:rPr>
          <w:sz w:val="22"/>
          <w:lang w:val="en-GB"/>
        </w:rPr>
        <w:t xml:space="preserve"> </w:t>
      </w:r>
      <w:r w:rsidR="00B07AFF" w:rsidRPr="00E25C87">
        <w:rPr>
          <w:sz w:val="22"/>
          <w:lang w:val="en-GB"/>
        </w:rPr>
        <w:t xml:space="preserve">having the highest </w:t>
      </w:r>
      <w:r w:rsidR="00B07AFF">
        <w:rPr>
          <w:sz w:val="22"/>
          <w:lang w:val="en-GB"/>
        </w:rPr>
        <w:t xml:space="preserve">weight </w:t>
      </w:r>
      <w:r w:rsidR="00B07AFF" w:rsidRPr="00E25C87">
        <w:rPr>
          <w:sz w:val="22"/>
          <w:lang w:val="en-GB"/>
        </w:rPr>
        <w:t xml:space="preserve">share </w:t>
      </w:r>
      <w:r w:rsidR="00B07AFF">
        <w:rPr>
          <w:sz w:val="22"/>
          <w:lang w:val="en-GB"/>
        </w:rPr>
        <w:t>of</w:t>
      </w:r>
      <w:r w:rsidR="00B07AFF" w:rsidRPr="00E25C87">
        <w:rPr>
          <w:sz w:val="22"/>
          <w:lang w:val="en-GB"/>
        </w:rPr>
        <w:t xml:space="preserve"> the functional unit</w:t>
      </w:r>
      <w:r w:rsidR="00D33403" w:rsidRPr="00E25C87">
        <w:rPr>
          <w:sz w:val="22"/>
          <w:lang w:val="en-GB"/>
        </w:rPr>
        <w:t xml:space="preserve"> (</w:t>
      </w:r>
      <w:r w:rsidR="00430D5E" w:rsidRPr="00E25C87">
        <w:rPr>
          <w:sz w:val="22"/>
          <w:lang w:val="en-GB"/>
        </w:rPr>
        <w:t>e.g.,</w:t>
      </w:r>
      <w:r w:rsidR="00D33403" w:rsidRPr="00E25C87">
        <w:rPr>
          <w:sz w:val="22"/>
          <w:lang w:val="en-GB"/>
        </w:rPr>
        <w:t xml:space="preserve"> iron in R1 and mixed iron </w:t>
      </w:r>
      <w:r w:rsidR="00B07AFF">
        <w:rPr>
          <w:sz w:val="22"/>
          <w:lang w:val="en-GB"/>
        </w:rPr>
        <w:t>&amp;</w:t>
      </w:r>
      <w:r w:rsidR="00B07AFF" w:rsidRPr="00E25C87">
        <w:rPr>
          <w:sz w:val="22"/>
          <w:lang w:val="en-GB"/>
        </w:rPr>
        <w:t xml:space="preserve"> </w:t>
      </w:r>
      <w:r w:rsidR="00D33403" w:rsidRPr="00E25C87">
        <w:rPr>
          <w:sz w:val="22"/>
          <w:lang w:val="en-GB"/>
        </w:rPr>
        <w:t xml:space="preserve">steel in R2) </w:t>
      </w:r>
      <w:r w:rsidR="00E0073A" w:rsidRPr="00E25C87">
        <w:rPr>
          <w:sz w:val="22"/>
          <w:lang w:val="en-GB"/>
        </w:rPr>
        <w:t xml:space="preserve">show that the recovery of WEEE secondary materials generates lower environmental impacts than </w:t>
      </w:r>
      <w:r w:rsidR="00430D5E" w:rsidRPr="00E25C87">
        <w:rPr>
          <w:sz w:val="22"/>
          <w:lang w:val="en-GB"/>
        </w:rPr>
        <w:t>the</w:t>
      </w:r>
      <w:r w:rsidR="00E0073A" w:rsidRPr="00E25C87">
        <w:rPr>
          <w:sz w:val="22"/>
          <w:lang w:val="en-GB"/>
        </w:rPr>
        <w:t xml:space="preserve"> production </w:t>
      </w:r>
      <w:r w:rsidR="00430D5E" w:rsidRPr="00E25C87">
        <w:rPr>
          <w:sz w:val="22"/>
          <w:lang w:val="en-GB"/>
        </w:rPr>
        <w:t xml:space="preserve">of the </w:t>
      </w:r>
      <w:r w:rsidR="00E0073A" w:rsidRPr="00E25C87">
        <w:rPr>
          <w:sz w:val="22"/>
          <w:lang w:val="en-GB"/>
        </w:rPr>
        <w:t>primary material</w:t>
      </w:r>
      <w:r w:rsidR="00B07AFF">
        <w:rPr>
          <w:sz w:val="22"/>
          <w:lang w:val="en-GB"/>
        </w:rPr>
        <w:t>s</w:t>
      </w:r>
      <w:r w:rsidR="00E0073A" w:rsidRPr="00E25C87">
        <w:rPr>
          <w:sz w:val="22"/>
          <w:lang w:val="en-GB"/>
        </w:rPr>
        <w:t xml:space="preserve">. </w:t>
      </w:r>
      <w:r w:rsidR="00B07AFF">
        <w:rPr>
          <w:sz w:val="22"/>
          <w:lang w:val="en-GB"/>
        </w:rPr>
        <w:t>T</w:t>
      </w:r>
      <w:r w:rsidR="006B09F1" w:rsidRPr="00E25C87">
        <w:rPr>
          <w:sz w:val="22"/>
          <w:lang w:val="en-GB"/>
        </w:rPr>
        <w:t>h</w:t>
      </w:r>
      <w:r w:rsidR="00584269" w:rsidRPr="00E25C87">
        <w:rPr>
          <w:sz w:val="22"/>
          <w:lang w:val="en-GB"/>
        </w:rPr>
        <w:t>is</w:t>
      </w:r>
      <w:r w:rsidR="006B09F1" w:rsidRPr="00E25C87">
        <w:rPr>
          <w:sz w:val="22"/>
          <w:lang w:val="en-GB"/>
        </w:rPr>
        <w:t xml:space="preserve"> LCA confirm</w:t>
      </w:r>
      <w:r w:rsidR="00584269" w:rsidRPr="00E25C87">
        <w:rPr>
          <w:sz w:val="22"/>
          <w:lang w:val="en-GB"/>
        </w:rPr>
        <w:t>s</w:t>
      </w:r>
      <w:r w:rsidR="006B09F1" w:rsidRPr="00E25C87">
        <w:rPr>
          <w:sz w:val="22"/>
          <w:lang w:val="en-GB"/>
        </w:rPr>
        <w:t xml:space="preserve"> </w:t>
      </w:r>
      <w:r w:rsidR="00584269" w:rsidRPr="00E25C87">
        <w:rPr>
          <w:sz w:val="22"/>
          <w:lang w:val="en-GB"/>
        </w:rPr>
        <w:t>the</w:t>
      </w:r>
      <w:r w:rsidR="006B09F1" w:rsidRPr="00E25C87">
        <w:rPr>
          <w:sz w:val="22"/>
          <w:lang w:val="en-GB"/>
        </w:rPr>
        <w:t xml:space="preserve"> importance </w:t>
      </w:r>
      <w:r w:rsidR="00584269" w:rsidRPr="00E25C87">
        <w:rPr>
          <w:sz w:val="22"/>
          <w:lang w:val="en-GB"/>
        </w:rPr>
        <w:t xml:space="preserve">of </w:t>
      </w:r>
      <w:r w:rsidR="006B09F1" w:rsidRPr="00E25C87">
        <w:rPr>
          <w:sz w:val="22"/>
          <w:lang w:val="en-GB"/>
        </w:rPr>
        <w:t xml:space="preserve">evaluating the environmental impacts of the implementation of the European WEEE Management system established in compliance of the </w:t>
      </w:r>
      <w:r w:rsidR="00B07AFF">
        <w:rPr>
          <w:sz w:val="22"/>
          <w:lang w:val="en-GB"/>
        </w:rPr>
        <w:t xml:space="preserve">EU </w:t>
      </w:r>
      <w:r w:rsidR="006B09F1" w:rsidRPr="00E25C87">
        <w:rPr>
          <w:sz w:val="22"/>
          <w:lang w:val="en-GB"/>
        </w:rPr>
        <w:t>WEEE directives</w:t>
      </w:r>
      <w:r w:rsidR="00584269" w:rsidRPr="00E25C87">
        <w:rPr>
          <w:sz w:val="22"/>
          <w:lang w:val="en-GB"/>
        </w:rPr>
        <w:t xml:space="preserve"> </w:t>
      </w:r>
      <w:r w:rsidR="00B07AFF">
        <w:rPr>
          <w:sz w:val="22"/>
          <w:lang w:val="en-GB"/>
        </w:rPr>
        <w:lastRenderedPageBreak/>
        <w:t xml:space="preserve">towards better </w:t>
      </w:r>
      <w:r w:rsidR="00584269" w:rsidRPr="00E25C87">
        <w:rPr>
          <w:sz w:val="22"/>
          <w:lang w:val="en-GB"/>
        </w:rPr>
        <w:t xml:space="preserve">understanding the social and just implications of the circular economy model. </w:t>
      </w:r>
    </w:p>
    <w:p w14:paraId="38C60B63" w14:textId="77777777" w:rsidR="004225DE" w:rsidRPr="00E25C87" w:rsidRDefault="004225DE" w:rsidP="00D66ED0">
      <w:pPr>
        <w:pStyle w:val="Abstract"/>
        <w:tabs>
          <w:tab w:val="left" w:pos="6379"/>
        </w:tabs>
        <w:spacing w:line="276" w:lineRule="auto"/>
        <w:ind w:left="0" w:right="-30"/>
        <w:rPr>
          <w:snapToGrid/>
          <w:sz w:val="22"/>
          <w:lang w:val="en-GB"/>
        </w:rPr>
      </w:pPr>
    </w:p>
    <w:p w14:paraId="20AF9FE5" w14:textId="668AC024" w:rsidR="004225DE" w:rsidRPr="00E25C87" w:rsidRDefault="004225DE" w:rsidP="00D66ED0">
      <w:pPr>
        <w:pStyle w:val="Abstract"/>
        <w:tabs>
          <w:tab w:val="left" w:pos="6379"/>
        </w:tabs>
        <w:spacing w:line="276" w:lineRule="auto"/>
        <w:ind w:left="0" w:right="-30"/>
        <w:rPr>
          <w:snapToGrid/>
          <w:sz w:val="22"/>
          <w:lang w:val="en-GB"/>
        </w:rPr>
      </w:pPr>
      <w:r w:rsidRPr="00E25C87">
        <w:rPr>
          <w:b/>
          <w:snapToGrid/>
          <w:sz w:val="22"/>
          <w:lang w:val="en-GB"/>
        </w:rPr>
        <w:t>Keywords.</w:t>
      </w:r>
      <w:r w:rsidRPr="00E25C87">
        <w:rPr>
          <w:snapToGrid/>
          <w:sz w:val="22"/>
          <w:lang w:val="en-GB"/>
        </w:rPr>
        <w:t xml:space="preserve"> </w:t>
      </w:r>
      <w:r w:rsidR="004112B0" w:rsidRPr="00E25C87">
        <w:rPr>
          <w:snapToGrid/>
          <w:sz w:val="22"/>
          <w:lang w:val="en-GB"/>
        </w:rPr>
        <w:t>Material Flow Analysis</w:t>
      </w:r>
      <w:r w:rsidR="00B07AFF">
        <w:rPr>
          <w:snapToGrid/>
          <w:sz w:val="22"/>
          <w:lang w:val="en-GB"/>
        </w:rPr>
        <w:t>,</w:t>
      </w:r>
      <w:r w:rsidR="004112B0" w:rsidRPr="00E25C87">
        <w:rPr>
          <w:snapToGrid/>
          <w:sz w:val="22"/>
          <w:lang w:val="en-GB"/>
        </w:rPr>
        <w:t xml:space="preserve"> Life Cycle Assessment, Waste Electrical and Electronic Equipment, Circular Economy, Recycling. </w:t>
      </w:r>
    </w:p>
    <w:p w14:paraId="0C95E03F" w14:textId="77777777" w:rsidR="007B567F" w:rsidRPr="00E25C87" w:rsidRDefault="007B567F" w:rsidP="00D66ED0">
      <w:pPr>
        <w:pStyle w:val="Abstract"/>
        <w:tabs>
          <w:tab w:val="left" w:pos="6379"/>
        </w:tabs>
        <w:spacing w:line="276" w:lineRule="auto"/>
        <w:ind w:left="0" w:right="-30"/>
        <w:rPr>
          <w:snapToGrid/>
          <w:sz w:val="22"/>
          <w:lang w:val="en-GB"/>
        </w:rPr>
      </w:pPr>
      <w:r w:rsidRPr="00E25C87">
        <w:rPr>
          <w:b/>
          <w:noProof/>
          <w:snapToGrid/>
          <w:sz w:val="22"/>
          <w:lang w:val="en-GB"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Pr="00E25C87" w:rsidRDefault="007B567F" w:rsidP="00D66ED0">
      <w:pPr>
        <w:pStyle w:val="Abstract"/>
        <w:tabs>
          <w:tab w:val="left" w:pos="6379"/>
        </w:tabs>
        <w:spacing w:line="276" w:lineRule="auto"/>
        <w:ind w:left="0" w:right="-30"/>
        <w:rPr>
          <w:snapToGrid/>
          <w:sz w:val="22"/>
          <w:lang w:val="en-GB"/>
        </w:rPr>
      </w:pPr>
    </w:p>
    <w:p w14:paraId="6D420174" w14:textId="6EA2A7DC" w:rsidR="003370A0" w:rsidRPr="00E25C87" w:rsidRDefault="003370A0" w:rsidP="00BA3D61">
      <w:pPr>
        <w:pStyle w:val="Abstract"/>
        <w:numPr>
          <w:ilvl w:val="1"/>
          <w:numId w:val="44"/>
        </w:numPr>
        <w:tabs>
          <w:tab w:val="left" w:pos="6379"/>
        </w:tabs>
        <w:spacing w:line="276" w:lineRule="auto"/>
        <w:ind w:right="-30"/>
        <w:rPr>
          <w:b/>
          <w:bCs/>
          <w:snapToGrid/>
          <w:sz w:val="22"/>
          <w:szCs w:val="22"/>
          <w:lang w:val="en-GB"/>
        </w:rPr>
      </w:pPr>
      <w:r w:rsidRPr="00E25C87">
        <w:rPr>
          <w:b/>
          <w:bCs/>
          <w:snapToGrid/>
          <w:sz w:val="22"/>
          <w:szCs w:val="22"/>
          <w:lang w:val="en-GB"/>
        </w:rPr>
        <w:t xml:space="preserve">Introduction </w:t>
      </w:r>
    </w:p>
    <w:p w14:paraId="44F2A485" w14:textId="08929DAA" w:rsidR="00E51B4C" w:rsidRPr="00E25C87" w:rsidRDefault="005571FB" w:rsidP="000B2D8B">
      <w:pPr>
        <w:spacing w:line="276" w:lineRule="auto"/>
        <w:rPr>
          <w:sz w:val="24"/>
          <w:szCs w:val="24"/>
          <w:lang w:val="en-GB"/>
        </w:rPr>
      </w:pPr>
      <w:r w:rsidRPr="00E25C87">
        <w:rPr>
          <w:sz w:val="24"/>
          <w:szCs w:val="24"/>
          <w:lang w:val="en-GB"/>
        </w:rPr>
        <w:t xml:space="preserve">Currently, the traceability of products at the end-of-life is a critical factor for key product value chains </w:t>
      </w:r>
      <w:r w:rsidR="00CD4C0A" w:rsidRPr="00E25C87">
        <w:rPr>
          <w:sz w:val="24"/>
          <w:szCs w:val="24"/>
          <w:lang w:val="en-GB"/>
        </w:rPr>
        <w:t xml:space="preserve">in European Union </w:t>
      </w:r>
      <w:r w:rsidRPr="00E25C87">
        <w:rPr>
          <w:sz w:val="24"/>
          <w:szCs w:val="24"/>
          <w:lang w:val="en-GB"/>
        </w:rPr>
        <w:t xml:space="preserve">and their waste streams such as Waste Electrical and Electronic Equipments (WEEE) due to the lack of comprehensive </w:t>
      </w:r>
      <w:r w:rsidR="00565DC9" w:rsidRPr="00E25C87">
        <w:rPr>
          <w:sz w:val="24"/>
          <w:szCs w:val="24"/>
          <w:lang w:val="en-GB"/>
        </w:rPr>
        <w:t>data about</w:t>
      </w:r>
      <w:r w:rsidR="00E51B4C" w:rsidRPr="00E25C87">
        <w:rPr>
          <w:sz w:val="24"/>
          <w:szCs w:val="24"/>
          <w:lang w:val="en-GB"/>
        </w:rPr>
        <w:t xml:space="preserve"> their </w:t>
      </w:r>
      <w:r w:rsidR="00565DC9" w:rsidRPr="00E25C87">
        <w:rPr>
          <w:sz w:val="24"/>
          <w:szCs w:val="24"/>
          <w:lang w:val="en-GB"/>
        </w:rPr>
        <w:t>treatment</w:t>
      </w:r>
      <w:r w:rsidR="00E51B4C" w:rsidRPr="00E25C87">
        <w:rPr>
          <w:sz w:val="24"/>
          <w:szCs w:val="24"/>
          <w:lang w:val="en-GB"/>
        </w:rPr>
        <w:t xml:space="preserve"> </w:t>
      </w:r>
      <w:r w:rsidRPr="00E25C87">
        <w:rPr>
          <w:sz w:val="24"/>
          <w:szCs w:val="24"/>
          <w:lang w:val="en-GB"/>
        </w:rPr>
        <w:t>and the related environmental and social impacts (</w:t>
      </w:r>
      <w:bookmarkStart w:id="0" w:name="_Hlk107004944"/>
      <w:r w:rsidRPr="00E25C87">
        <w:rPr>
          <w:sz w:val="24"/>
          <w:szCs w:val="24"/>
          <w:lang w:val="en-GB"/>
        </w:rPr>
        <w:t xml:space="preserve">Berežni et al., 2021; Ghisellini et al., 2019; </w:t>
      </w:r>
      <w:r w:rsidR="00B34A51" w:rsidRPr="00E25C87">
        <w:rPr>
          <w:sz w:val="24"/>
          <w:szCs w:val="24"/>
          <w:lang w:val="en-GB"/>
        </w:rPr>
        <w:t xml:space="preserve">European Union, 2017; </w:t>
      </w:r>
      <w:r w:rsidRPr="00E25C87">
        <w:rPr>
          <w:sz w:val="24"/>
          <w:szCs w:val="24"/>
          <w:lang w:val="en-GB"/>
        </w:rPr>
        <w:t>Umair et al., 2015</w:t>
      </w:r>
      <w:bookmarkEnd w:id="0"/>
      <w:r w:rsidRPr="00E25C87">
        <w:rPr>
          <w:sz w:val="24"/>
          <w:szCs w:val="24"/>
          <w:lang w:val="en-GB"/>
        </w:rPr>
        <w:t xml:space="preserve">). </w:t>
      </w:r>
      <w:r w:rsidR="00E51B4C" w:rsidRPr="00E25C87">
        <w:rPr>
          <w:sz w:val="24"/>
          <w:szCs w:val="24"/>
          <w:lang w:val="en-GB"/>
        </w:rPr>
        <w:t xml:space="preserve">For the </w:t>
      </w:r>
      <w:r w:rsidR="006953B9" w:rsidRPr="00E25C87">
        <w:rPr>
          <w:sz w:val="24"/>
          <w:szCs w:val="24"/>
          <w:lang w:val="en-GB"/>
        </w:rPr>
        <w:t>treatment processes</w:t>
      </w:r>
      <w:r w:rsidR="00E51B4C" w:rsidRPr="00E25C87">
        <w:rPr>
          <w:sz w:val="24"/>
          <w:szCs w:val="24"/>
          <w:lang w:val="en-GB"/>
        </w:rPr>
        <w:t xml:space="preserve"> of </w:t>
      </w:r>
      <w:r w:rsidR="006953B9" w:rsidRPr="00E25C87">
        <w:rPr>
          <w:sz w:val="24"/>
          <w:szCs w:val="24"/>
          <w:lang w:val="en-GB"/>
        </w:rPr>
        <w:t xml:space="preserve">waste including </w:t>
      </w:r>
      <w:r w:rsidR="00E51B4C" w:rsidRPr="00E25C87">
        <w:rPr>
          <w:sz w:val="24"/>
          <w:szCs w:val="24"/>
          <w:lang w:val="en-GB"/>
        </w:rPr>
        <w:t>WEEE</w:t>
      </w:r>
      <w:r w:rsidR="00565DC9" w:rsidRPr="00E25C87">
        <w:rPr>
          <w:sz w:val="24"/>
          <w:szCs w:val="24"/>
          <w:lang w:val="en-GB"/>
        </w:rPr>
        <w:t xml:space="preserve"> it is not valid the principle of proximity</w:t>
      </w:r>
      <w:r w:rsidR="006953B9" w:rsidRPr="00E25C87">
        <w:rPr>
          <w:sz w:val="24"/>
          <w:szCs w:val="24"/>
          <w:lang w:val="en-GB"/>
        </w:rPr>
        <w:t xml:space="preserve"> as applied in the case of waste disposal</w:t>
      </w:r>
      <w:r w:rsidR="00E33ADC" w:rsidRPr="00E25C87">
        <w:rPr>
          <w:rStyle w:val="Rimandonotaapidipagina"/>
          <w:sz w:val="24"/>
          <w:szCs w:val="24"/>
          <w:lang w:val="en-GB"/>
        </w:rPr>
        <w:footnoteReference w:id="1"/>
      </w:r>
      <w:r w:rsidR="00565DC9" w:rsidRPr="00E25C87">
        <w:rPr>
          <w:sz w:val="24"/>
          <w:szCs w:val="24"/>
          <w:lang w:val="en-GB"/>
        </w:rPr>
        <w:t xml:space="preserve">. As a result, WEEE are treated where they are recovered in the most </w:t>
      </w:r>
      <w:r w:rsidR="006953B9" w:rsidRPr="00E25C87">
        <w:rPr>
          <w:sz w:val="24"/>
          <w:szCs w:val="24"/>
          <w:lang w:val="en-GB"/>
        </w:rPr>
        <w:t>cost-efficient</w:t>
      </w:r>
      <w:r w:rsidR="00565DC9" w:rsidRPr="00E25C87">
        <w:rPr>
          <w:sz w:val="24"/>
          <w:szCs w:val="24"/>
          <w:lang w:val="en-GB"/>
        </w:rPr>
        <w:t xml:space="preserve"> way. This implies that they can be </w:t>
      </w:r>
      <w:r w:rsidR="006953B9" w:rsidRPr="00E25C87">
        <w:rPr>
          <w:sz w:val="24"/>
          <w:szCs w:val="24"/>
          <w:lang w:val="en-GB"/>
        </w:rPr>
        <w:t xml:space="preserve">transported and </w:t>
      </w:r>
      <w:r w:rsidR="00565DC9" w:rsidRPr="00E25C87">
        <w:rPr>
          <w:sz w:val="24"/>
          <w:szCs w:val="24"/>
          <w:lang w:val="en-GB"/>
        </w:rPr>
        <w:t>recovered far from where they are generated</w:t>
      </w:r>
      <w:r w:rsidR="00403340" w:rsidRPr="00E25C87">
        <w:rPr>
          <w:sz w:val="24"/>
          <w:szCs w:val="24"/>
          <w:lang w:val="en-GB"/>
        </w:rPr>
        <w:t>, as in the case of WEEE collected in Campania Region (</w:t>
      </w:r>
      <w:r w:rsidR="00143A95">
        <w:rPr>
          <w:sz w:val="24"/>
          <w:szCs w:val="24"/>
          <w:lang w:val="en-GB"/>
        </w:rPr>
        <w:t>Campania Region</w:t>
      </w:r>
      <w:r w:rsidR="00403340" w:rsidRPr="00E25C87">
        <w:rPr>
          <w:sz w:val="24"/>
          <w:szCs w:val="24"/>
          <w:lang w:val="en-GB"/>
        </w:rPr>
        <w:t xml:space="preserve">, </w:t>
      </w:r>
      <w:r w:rsidR="00143A95" w:rsidRPr="00E25C87">
        <w:rPr>
          <w:sz w:val="24"/>
          <w:szCs w:val="24"/>
          <w:lang w:val="en-GB"/>
        </w:rPr>
        <w:t>202</w:t>
      </w:r>
      <w:r w:rsidR="00143A95">
        <w:rPr>
          <w:sz w:val="24"/>
          <w:szCs w:val="24"/>
          <w:lang w:val="en-GB"/>
        </w:rPr>
        <w:t>2</w:t>
      </w:r>
      <w:r w:rsidR="00403340" w:rsidRPr="00E25C87">
        <w:rPr>
          <w:sz w:val="24"/>
          <w:szCs w:val="24"/>
          <w:lang w:val="en-GB"/>
        </w:rPr>
        <w:t xml:space="preserve">) </w:t>
      </w:r>
      <w:r w:rsidR="00565DC9" w:rsidRPr="00E25C87">
        <w:rPr>
          <w:sz w:val="24"/>
          <w:szCs w:val="24"/>
          <w:lang w:val="en-GB"/>
        </w:rPr>
        <w:t xml:space="preserve">challenging the aspect of sustainability </w:t>
      </w:r>
      <w:r w:rsidR="000518B1" w:rsidRPr="00E25C87">
        <w:rPr>
          <w:sz w:val="24"/>
          <w:szCs w:val="24"/>
          <w:lang w:val="en-GB"/>
        </w:rPr>
        <w:t>and social and environment justice to which the</w:t>
      </w:r>
      <w:r w:rsidR="00565DC9" w:rsidRPr="00E25C87">
        <w:rPr>
          <w:sz w:val="24"/>
          <w:szCs w:val="24"/>
          <w:lang w:val="en-GB"/>
        </w:rPr>
        <w:t xml:space="preserve"> current CE </w:t>
      </w:r>
      <w:r w:rsidR="000518B1" w:rsidRPr="00E25C87">
        <w:rPr>
          <w:sz w:val="24"/>
          <w:szCs w:val="24"/>
          <w:lang w:val="en-GB"/>
        </w:rPr>
        <w:t>transition</w:t>
      </w:r>
      <w:r w:rsidR="00565DC9" w:rsidRPr="00E25C87">
        <w:rPr>
          <w:sz w:val="24"/>
          <w:szCs w:val="24"/>
          <w:lang w:val="en-GB"/>
        </w:rPr>
        <w:t xml:space="preserve"> is expected to contribute</w:t>
      </w:r>
      <w:r w:rsidR="004B0437" w:rsidRPr="00E25C87">
        <w:rPr>
          <w:sz w:val="24"/>
          <w:szCs w:val="24"/>
          <w:lang w:val="en-GB"/>
        </w:rPr>
        <w:t xml:space="preserve"> </w:t>
      </w:r>
      <w:bookmarkStart w:id="1" w:name="_Hlk107004957"/>
      <w:r w:rsidR="004B0437" w:rsidRPr="00E25C87">
        <w:rPr>
          <w:sz w:val="24"/>
          <w:szCs w:val="24"/>
          <w:lang w:val="en-GB"/>
        </w:rPr>
        <w:t>(Arauzo-Carod et al., 2022</w:t>
      </w:r>
      <w:bookmarkEnd w:id="1"/>
      <w:r w:rsidR="00143A95">
        <w:rPr>
          <w:sz w:val="24"/>
          <w:szCs w:val="24"/>
          <w:lang w:val="en-GB"/>
        </w:rPr>
        <w:t>; Abalansa et al., 2021</w:t>
      </w:r>
      <w:r w:rsidR="000518B1" w:rsidRPr="00E25C87">
        <w:rPr>
          <w:sz w:val="24"/>
          <w:szCs w:val="24"/>
          <w:lang w:val="en-GB"/>
        </w:rPr>
        <w:t xml:space="preserve">). </w:t>
      </w:r>
    </w:p>
    <w:p w14:paraId="67A4BB3A" w14:textId="555D89BE" w:rsidR="000E758C" w:rsidRPr="00E25C87" w:rsidRDefault="00E33ADC" w:rsidP="00BA3D61">
      <w:pPr>
        <w:spacing w:line="276" w:lineRule="auto"/>
        <w:rPr>
          <w:sz w:val="24"/>
          <w:szCs w:val="24"/>
          <w:lang w:val="en-GB"/>
        </w:rPr>
      </w:pPr>
      <w:r w:rsidRPr="00E25C87">
        <w:rPr>
          <w:sz w:val="24"/>
          <w:szCs w:val="24"/>
          <w:lang w:val="en-GB"/>
        </w:rPr>
        <w:t xml:space="preserve">WEEE as a waste stream </w:t>
      </w:r>
      <w:r w:rsidR="00423906" w:rsidRPr="00E25C87">
        <w:rPr>
          <w:sz w:val="24"/>
          <w:szCs w:val="24"/>
          <w:lang w:val="en-GB"/>
        </w:rPr>
        <w:t xml:space="preserve">is a very heterogeneous category consisting of many products and materials </w:t>
      </w:r>
      <w:r w:rsidR="00CD6D0B" w:rsidRPr="00E25C87">
        <w:rPr>
          <w:sz w:val="24"/>
          <w:szCs w:val="24"/>
          <w:lang w:val="en-GB"/>
        </w:rPr>
        <w:t xml:space="preserve">also </w:t>
      </w:r>
      <w:r w:rsidR="00423906" w:rsidRPr="00E25C87">
        <w:rPr>
          <w:sz w:val="24"/>
          <w:szCs w:val="24"/>
          <w:lang w:val="en-GB"/>
        </w:rPr>
        <w:t xml:space="preserve">including hazardous ones that need for </w:t>
      </w:r>
      <w:r w:rsidR="00CD6D0B" w:rsidRPr="00E25C87">
        <w:rPr>
          <w:sz w:val="24"/>
          <w:szCs w:val="24"/>
          <w:lang w:val="en-GB"/>
        </w:rPr>
        <w:t xml:space="preserve">a </w:t>
      </w:r>
      <w:r w:rsidR="00423906" w:rsidRPr="00E25C87">
        <w:rPr>
          <w:sz w:val="24"/>
          <w:szCs w:val="24"/>
          <w:lang w:val="en-GB"/>
        </w:rPr>
        <w:t>proper treatment to prevent damages to people and environment</w:t>
      </w:r>
      <w:r w:rsidR="00243B38" w:rsidRPr="00E25C87">
        <w:rPr>
          <w:sz w:val="24"/>
          <w:szCs w:val="24"/>
          <w:lang w:val="en-GB"/>
        </w:rPr>
        <w:t xml:space="preserve">. </w:t>
      </w:r>
      <w:r w:rsidR="004B0437" w:rsidRPr="00E25C87">
        <w:rPr>
          <w:sz w:val="24"/>
          <w:szCs w:val="24"/>
          <w:lang w:val="en-GB"/>
        </w:rPr>
        <w:t>The</w:t>
      </w:r>
      <w:r w:rsidR="00CD6D0B" w:rsidRPr="00E25C87">
        <w:rPr>
          <w:sz w:val="24"/>
          <w:szCs w:val="24"/>
          <w:lang w:val="en-GB"/>
        </w:rPr>
        <w:t xml:space="preserve"> EU has adopted </w:t>
      </w:r>
      <w:r w:rsidR="00B46E7C" w:rsidRPr="00E25C87">
        <w:rPr>
          <w:sz w:val="24"/>
          <w:szCs w:val="24"/>
          <w:lang w:val="en-GB"/>
        </w:rPr>
        <w:t xml:space="preserve">since </w:t>
      </w:r>
      <w:r w:rsidR="000518B1" w:rsidRPr="00E25C87">
        <w:rPr>
          <w:sz w:val="24"/>
          <w:szCs w:val="24"/>
          <w:lang w:val="en-GB"/>
        </w:rPr>
        <w:t>the year 2002</w:t>
      </w:r>
      <w:r w:rsidR="00B46E7C" w:rsidRPr="00E25C87">
        <w:rPr>
          <w:sz w:val="24"/>
          <w:szCs w:val="24"/>
          <w:lang w:val="en-GB"/>
        </w:rPr>
        <w:t xml:space="preserve"> </w:t>
      </w:r>
      <w:r w:rsidR="00CD6D0B" w:rsidRPr="00E25C87">
        <w:rPr>
          <w:sz w:val="24"/>
          <w:szCs w:val="24"/>
          <w:lang w:val="en-GB"/>
        </w:rPr>
        <w:t xml:space="preserve">two important directives in order to regulate and improve the management of WEEE. </w:t>
      </w:r>
      <w:r w:rsidR="00D03282" w:rsidRPr="00E25C87">
        <w:rPr>
          <w:sz w:val="24"/>
          <w:szCs w:val="24"/>
          <w:lang w:val="en-GB"/>
        </w:rPr>
        <w:t>In Italy</w:t>
      </w:r>
      <w:r w:rsidR="00BE3E2D" w:rsidRPr="00E25C87">
        <w:rPr>
          <w:sz w:val="24"/>
          <w:szCs w:val="24"/>
          <w:lang w:val="en-GB"/>
        </w:rPr>
        <w:t>,</w:t>
      </w:r>
      <w:r w:rsidR="00207546" w:rsidRPr="00E25C87">
        <w:rPr>
          <w:sz w:val="24"/>
          <w:szCs w:val="24"/>
          <w:lang w:val="en-GB"/>
        </w:rPr>
        <w:t xml:space="preserve"> the Ministerial Decree 185/2007 </w:t>
      </w:r>
      <w:r w:rsidR="00D03282" w:rsidRPr="00E25C87">
        <w:rPr>
          <w:sz w:val="24"/>
          <w:szCs w:val="24"/>
          <w:lang w:val="en-GB"/>
        </w:rPr>
        <w:t>transpo</w:t>
      </w:r>
      <w:r w:rsidR="00207546" w:rsidRPr="00E25C87">
        <w:rPr>
          <w:sz w:val="24"/>
          <w:szCs w:val="24"/>
          <w:lang w:val="en-GB"/>
        </w:rPr>
        <w:t>sed</w:t>
      </w:r>
      <w:r w:rsidR="00D03282" w:rsidRPr="00E25C87">
        <w:rPr>
          <w:sz w:val="24"/>
          <w:szCs w:val="24"/>
          <w:lang w:val="en-GB"/>
        </w:rPr>
        <w:t xml:space="preserve"> the </w:t>
      </w:r>
      <w:r w:rsidR="00B46E7C" w:rsidRPr="00E25C87">
        <w:rPr>
          <w:sz w:val="24"/>
          <w:szCs w:val="24"/>
          <w:lang w:val="en-GB"/>
        </w:rPr>
        <w:t xml:space="preserve">first </w:t>
      </w:r>
      <w:r w:rsidR="004C7EF8" w:rsidRPr="00E25C87">
        <w:rPr>
          <w:sz w:val="24"/>
          <w:szCs w:val="24"/>
          <w:lang w:val="en-GB"/>
        </w:rPr>
        <w:t>WEEE</w:t>
      </w:r>
      <w:r w:rsidR="00B46E7C" w:rsidRPr="00E25C87">
        <w:rPr>
          <w:sz w:val="24"/>
          <w:szCs w:val="24"/>
          <w:lang w:val="en-GB"/>
        </w:rPr>
        <w:t xml:space="preserve"> directive </w:t>
      </w:r>
      <w:r w:rsidR="00B46E7C" w:rsidRPr="00E25C87">
        <w:rPr>
          <w:rFonts w:eastAsia="Calibri"/>
          <w:sz w:val="24"/>
          <w:szCs w:val="24"/>
          <w:lang w:val="en-GB" w:eastAsia="de-DE" w:bidi="en-US"/>
        </w:rPr>
        <w:t>identify</w:t>
      </w:r>
      <w:r w:rsidR="00207546" w:rsidRPr="00E25C87">
        <w:rPr>
          <w:rFonts w:eastAsia="Calibri"/>
          <w:sz w:val="24"/>
          <w:szCs w:val="24"/>
          <w:lang w:val="en-GB" w:eastAsia="de-DE" w:bidi="en-US"/>
        </w:rPr>
        <w:t>ing</w:t>
      </w:r>
      <w:r w:rsidR="00B46E7C" w:rsidRPr="00E25C87">
        <w:rPr>
          <w:rFonts w:eastAsia="Calibri"/>
          <w:sz w:val="24"/>
          <w:szCs w:val="24"/>
          <w:lang w:val="en-GB" w:eastAsia="de-DE" w:bidi="en-US"/>
        </w:rPr>
        <w:t xml:space="preserve"> the main actors </w:t>
      </w:r>
      <w:r w:rsidR="00AC73DE" w:rsidRPr="00E25C87">
        <w:rPr>
          <w:rFonts w:eastAsia="Calibri"/>
          <w:sz w:val="24"/>
          <w:szCs w:val="24"/>
          <w:lang w:val="en-GB" w:eastAsia="de-DE" w:bidi="en-US"/>
        </w:rPr>
        <w:t>of</w:t>
      </w:r>
      <w:r w:rsidR="00B46E7C" w:rsidRPr="00E25C87">
        <w:rPr>
          <w:rFonts w:eastAsia="Calibri"/>
          <w:sz w:val="24"/>
          <w:szCs w:val="24"/>
          <w:lang w:val="en-GB" w:eastAsia="de-DE" w:bidi="en-US"/>
        </w:rPr>
        <w:t xml:space="preserve"> </w:t>
      </w:r>
      <w:r w:rsidR="00A639EF" w:rsidRPr="00E25C87">
        <w:rPr>
          <w:rFonts w:eastAsia="Calibri"/>
          <w:sz w:val="24"/>
          <w:szCs w:val="24"/>
          <w:lang w:val="en-GB" w:eastAsia="de-DE" w:bidi="en-US"/>
        </w:rPr>
        <w:t xml:space="preserve">the </w:t>
      </w:r>
      <w:r w:rsidR="00B46E7C" w:rsidRPr="00E25C87">
        <w:rPr>
          <w:rFonts w:eastAsia="Calibri"/>
          <w:sz w:val="24"/>
          <w:szCs w:val="24"/>
          <w:lang w:val="en-GB" w:eastAsia="de-DE" w:bidi="en-US"/>
        </w:rPr>
        <w:t xml:space="preserve">WEEE management </w:t>
      </w:r>
      <w:r w:rsidR="00AC73DE" w:rsidRPr="00E25C87">
        <w:rPr>
          <w:rFonts w:eastAsia="Calibri"/>
          <w:sz w:val="24"/>
          <w:szCs w:val="24"/>
          <w:lang w:val="en-GB" w:eastAsia="de-DE" w:bidi="en-US"/>
        </w:rPr>
        <w:t>system</w:t>
      </w:r>
      <w:r w:rsidR="00BE3E2D" w:rsidRPr="00E25C87">
        <w:rPr>
          <w:rFonts w:eastAsia="Calibri"/>
          <w:sz w:val="24"/>
          <w:szCs w:val="24"/>
          <w:lang w:val="en-GB" w:eastAsia="de-DE" w:bidi="en-US"/>
        </w:rPr>
        <w:t xml:space="preserve">, </w:t>
      </w:r>
      <w:r w:rsidR="00207546" w:rsidRPr="00E25C87">
        <w:rPr>
          <w:rFonts w:eastAsia="Calibri"/>
          <w:sz w:val="24"/>
          <w:szCs w:val="24"/>
          <w:lang w:val="en-GB" w:eastAsia="de-DE" w:bidi="en-US"/>
        </w:rPr>
        <w:t xml:space="preserve">their functions </w:t>
      </w:r>
      <w:r w:rsidR="00A639EF" w:rsidRPr="00E25C87">
        <w:rPr>
          <w:rFonts w:eastAsia="Calibri"/>
          <w:sz w:val="24"/>
          <w:szCs w:val="24"/>
          <w:lang w:val="en-GB" w:eastAsia="de-DE" w:bidi="en-US"/>
        </w:rPr>
        <w:t>and</w:t>
      </w:r>
      <w:r w:rsidR="00AC73DE" w:rsidRPr="00E25C87">
        <w:rPr>
          <w:rFonts w:eastAsia="Calibri"/>
          <w:sz w:val="24"/>
          <w:szCs w:val="24"/>
          <w:lang w:val="en-GB" w:eastAsia="de-DE" w:bidi="en-US"/>
        </w:rPr>
        <w:t xml:space="preserve"> </w:t>
      </w:r>
      <w:r w:rsidR="006C5078" w:rsidRPr="00E25C87">
        <w:rPr>
          <w:rFonts w:eastAsia="Calibri"/>
          <w:sz w:val="24"/>
          <w:szCs w:val="24"/>
          <w:lang w:val="en-GB" w:eastAsia="de-DE" w:bidi="en-US"/>
        </w:rPr>
        <w:t xml:space="preserve">the </w:t>
      </w:r>
      <w:r w:rsidR="00AC73DE" w:rsidRPr="00E25C87">
        <w:rPr>
          <w:rFonts w:eastAsia="Calibri"/>
          <w:sz w:val="24"/>
          <w:szCs w:val="24"/>
          <w:lang w:val="en-GB" w:eastAsia="de-DE" w:bidi="en-US"/>
        </w:rPr>
        <w:t xml:space="preserve">adoption </w:t>
      </w:r>
      <w:r w:rsidR="00A639EF" w:rsidRPr="00E25C87">
        <w:rPr>
          <w:rFonts w:eastAsia="Calibri"/>
          <w:sz w:val="24"/>
          <w:szCs w:val="24"/>
          <w:lang w:val="en-GB" w:eastAsia="de-DE" w:bidi="en-US"/>
        </w:rPr>
        <w:t xml:space="preserve">for the collection centres </w:t>
      </w:r>
      <w:r w:rsidR="00AC73DE" w:rsidRPr="00E25C87">
        <w:rPr>
          <w:rFonts w:eastAsia="Calibri"/>
          <w:sz w:val="24"/>
          <w:szCs w:val="24"/>
          <w:lang w:val="en-GB" w:eastAsia="de-DE" w:bidi="en-US"/>
        </w:rPr>
        <w:t>of a</w:t>
      </w:r>
      <w:r w:rsidR="00D03282" w:rsidRPr="00E25C87">
        <w:rPr>
          <w:rFonts w:eastAsia="Calibri"/>
          <w:sz w:val="24"/>
          <w:szCs w:val="24"/>
          <w:lang w:val="en-GB" w:eastAsia="de-DE" w:bidi="en-US"/>
        </w:rPr>
        <w:t xml:space="preserve"> classif</w:t>
      </w:r>
      <w:r w:rsidR="00AC73DE" w:rsidRPr="00E25C87">
        <w:rPr>
          <w:rFonts w:eastAsia="Calibri"/>
          <w:sz w:val="24"/>
          <w:szCs w:val="24"/>
          <w:lang w:val="en-GB" w:eastAsia="de-DE" w:bidi="en-US"/>
        </w:rPr>
        <w:t>ication system for the</w:t>
      </w:r>
      <w:r w:rsidR="00D03282" w:rsidRPr="00E25C87">
        <w:rPr>
          <w:rFonts w:eastAsia="Calibri"/>
          <w:sz w:val="24"/>
          <w:szCs w:val="24"/>
          <w:lang w:val="en-GB" w:eastAsia="de-DE" w:bidi="en-US"/>
        </w:rPr>
        <w:t xml:space="preserve"> WEEE </w:t>
      </w:r>
      <w:r w:rsidR="00A639EF" w:rsidRPr="00E25C87">
        <w:rPr>
          <w:sz w:val="24"/>
          <w:szCs w:val="24"/>
          <w:lang w:val="en-GB"/>
        </w:rPr>
        <w:t>consisting in</w:t>
      </w:r>
      <w:r w:rsidR="000E758C" w:rsidRPr="00E25C87">
        <w:rPr>
          <w:sz w:val="24"/>
          <w:szCs w:val="24"/>
          <w:lang w:val="en-GB"/>
        </w:rPr>
        <w:t xml:space="preserve"> the following</w:t>
      </w:r>
      <w:r w:rsidR="00CA3394" w:rsidRPr="00E25C87">
        <w:rPr>
          <w:sz w:val="24"/>
          <w:szCs w:val="24"/>
          <w:lang w:val="en-GB"/>
        </w:rPr>
        <w:t xml:space="preserve"> five categories</w:t>
      </w:r>
      <w:r w:rsidR="000E758C" w:rsidRPr="00E25C87">
        <w:rPr>
          <w:sz w:val="24"/>
          <w:szCs w:val="24"/>
          <w:lang w:val="en-GB"/>
        </w:rPr>
        <w:t xml:space="preserve">: </w:t>
      </w:r>
    </w:p>
    <w:p w14:paraId="5B9DDC5B" w14:textId="50DD7FE2" w:rsidR="000E758C" w:rsidRPr="00E25C87" w:rsidRDefault="00091CF5" w:rsidP="000E758C">
      <w:pPr>
        <w:pStyle w:val="Paragrafoelenco"/>
        <w:numPr>
          <w:ilvl w:val="0"/>
          <w:numId w:val="45"/>
        </w:numPr>
        <w:spacing w:line="276" w:lineRule="auto"/>
        <w:rPr>
          <w:sz w:val="24"/>
          <w:szCs w:val="24"/>
          <w:lang w:val="en-GB"/>
        </w:rPr>
      </w:pPr>
      <w:r w:rsidRPr="00E25C87">
        <w:rPr>
          <w:sz w:val="24"/>
          <w:szCs w:val="24"/>
          <w:lang w:val="en-GB"/>
        </w:rPr>
        <w:t>R1</w:t>
      </w:r>
      <w:r w:rsidR="000E758C" w:rsidRPr="00E25C87">
        <w:rPr>
          <w:sz w:val="24"/>
          <w:szCs w:val="24"/>
          <w:lang w:val="en-GB"/>
        </w:rPr>
        <w:t xml:space="preserve">: </w:t>
      </w:r>
      <w:r w:rsidRPr="00E25C87">
        <w:rPr>
          <w:sz w:val="24"/>
          <w:szCs w:val="24"/>
          <w:lang w:val="en-GB"/>
        </w:rPr>
        <w:t xml:space="preserve"> </w:t>
      </w:r>
      <w:r w:rsidR="000B2D8B" w:rsidRPr="00E25C87">
        <w:rPr>
          <w:rFonts w:eastAsia="Calibri"/>
          <w:sz w:val="24"/>
          <w:szCs w:val="24"/>
          <w:lang w:val="en-GB" w:eastAsia="de-DE" w:bidi="en-US"/>
        </w:rPr>
        <w:t>Refrigerators and air conditioning systems;</w:t>
      </w:r>
    </w:p>
    <w:p w14:paraId="048503D6" w14:textId="4327B192" w:rsidR="000E758C" w:rsidRPr="00E25C87" w:rsidRDefault="00091CF5" w:rsidP="000E758C">
      <w:pPr>
        <w:pStyle w:val="Paragrafoelenco"/>
        <w:numPr>
          <w:ilvl w:val="0"/>
          <w:numId w:val="45"/>
        </w:numPr>
        <w:spacing w:line="276" w:lineRule="auto"/>
        <w:rPr>
          <w:sz w:val="24"/>
          <w:szCs w:val="24"/>
          <w:lang w:val="en-GB"/>
        </w:rPr>
      </w:pPr>
      <w:r w:rsidRPr="00E25C87">
        <w:rPr>
          <w:sz w:val="24"/>
          <w:szCs w:val="24"/>
          <w:lang w:val="en-GB"/>
        </w:rPr>
        <w:t>R2</w:t>
      </w:r>
      <w:r w:rsidR="000E758C" w:rsidRPr="00E25C87">
        <w:rPr>
          <w:sz w:val="24"/>
          <w:szCs w:val="24"/>
          <w:lang w:val="en-GB"/>
        </w:rPr>
        <w:t>:</w:t>
      </w:r>
      <w:r w:rsidRPr="00E25C87">
        <w:rPr>
          <w:sz w:val="24"/>
          <w:szCs w:val="24"/>
          <w:lang w:val="en-GB"/>
        </w:rPr>
        <w:t xml:space="preserve"> </w:t>
      </w:r>
      <w:r w:rsidR="000B2D8B" w:rsidRPr="00E25C87">
        <w:rPr>
          <w:rFonts w:eastAsia="Calibri"/>
          <w:sz w:val="24"/>
          <w:szCs w:val="24"/>
          <w:lang w:val="en-GB" w:eastAsia="de-DE" w:bidi="en-US"/>
        </w:rPr>
        <w:t>Large household appliances;</w:t>
      </w:r>
    </w:p>
    <w:p w14:paraId="1DDDEF44" w14:textId="0022D640" w:rsidR="000E758C" w:rsidRPr="00E25C87" w:rsidRDefault="00091CF5" w:rsidP="000E758C">
      <w:pPr>
        <w:pStyle w:val="Paragrafoelenco"/>
        <w:numPr>
          <w:ilvl w:val="0"/>
          <w:numId w:val="45"/>
        </w:numPr>
        <w:spacing w:line="276" w:lineRule="auto"/>
        <w:rPr>
          <w:sz w:val="24"/>
          <w:szCs w:val="24"/>
          <w:lang w:val="en-GB"/>
        </w:rPr>
      </w:pPr>
      <w:r w:rsidRPr="00E25C87">
        <w:rPr>
          <w:sz w:val="24"/>
          <w:szCs w:val="24"/>
          <w:lang w:val="en-GB"/>
        </w:rPr>
        <w:lastRenderedPageBreak/>
        <w:t>R3</w:t>
      </w:r>
      <w:r w:rsidR="000E758C" w:rsidRPr="00E25C87">
        <w:rPr>
          <w:sz w:val="24"/>
          <w:szCs w:val="24"/>
          <w:lang w:val="en-GB"/>
        </w:rPr>
        <w:t>:</w:t>
      </w:r>
      <w:r w:rsidRPr="00E25C87">
        <w:rPr>
          <w:sz w:val="24"/>
          <w:szCs w:val="24"/>
          <w:lang w:val="en-GB"/>
        </w:rPr>
        <w:t xml:space="preserve"> </w:t>
      </w:r>
      <w:r w:rsidR="000B2D8B" w:rsidRPr="00E25C87">
        <w:rPr>
          <w:rFonts w:eastAsia="Calibri"/>
          <w:sz w:val="24"/>
          <w:szCs w:val="24"/>
          <w:lang w:val="en-GB" w:eastAsia="de-DE" w:bidi="en-US"/>
        </w:rPr>
        <w:t>TV sets and displays;</w:t>
      </w:r>
    </w:p>
    <w:p w14:paraId="785195F6" w14:textId="4C8FEACF" w:rsidR="000E758C" w:rsidRPr="00E25C87" w:rsidRDefault="00091CF5" w:rsidP="000E758C">
      <w:pPr>
        <w:pStyle w:val="Paragrafoelenco"/>
        <w:numPr>
          <w:ilvl w:val="0"/>
          <w:numId w:val="45"/>
        </w:numPr>
        <w:spacing w:line="276" w:lineRule="auto"/>
        <w:rPr>
          <w:sz w:val="24"/>
          <w:szCs w:val="24"/>
          <w:lang w:val="en-GB"/>
        </w:rPr>
      </w:pPr>
      <w:r w:rsidRPr="00E25C87">
        <w:rPr>
          <w:sz w:val="24"/>
          <w:szCs w:val="24"/>
          <w:lang w:val="en-GB"/>
        </w:rPr>
        <w:t>R4</w:t>
      </w:r>
      <w:r w:rsidR="000E758C" w:rsidRPr="00E25C87">
        <w:rPr>
          <w:sz w:val="24"/>
          <w:szCs w:val="24"/>
          <w:lang w:val="en-GB"/>
        </w:rPr>
        <w:t>:</w:t>
      </w:r>
      <w:r w:rsidRPr="00E25C87">
        <w:rPr>
          <w:sz w:val="24"/>
          <w:szCs w:val="24"/>
          <w:lang w:val="en-GB"/>
        </w:rPr>
        <w:t xml:space="preserve"> </w:t>
      </w:r>
      <w:r w:rsidR="000B2D8B" w:rsidRPr="00E25C87">
        <w:rPr>
          <w:rFonts w:eastAsia="Calibri"/>
          <w:sz w:val="24"/>
          <w:szCs w:val="24"/>
          <w:lang w:val="en-GB" w:eastAsia="de-DE" w:bidi="en-US"/>
        </w:rPr>
        <w:t>Small household appliances, consumer electronics, office automation, computer appliances, lighting devices;</w:t>
      </w:r>
    </w:p>
    <w:p w14:paraId="42592A8F" w14:textId="462E6B25" w:rsidR="000E758C" w:rsidRPr="00E25C87" w:rsidRDefault="00091CF5" w:rsidP="000E758C">
      <w:pPr>
        <w:pStyle w:val="Paragrafoelenco"/>
        <w:numPr>
          <w:ilvl w:val="0"/>
          <w:numId w:val="45"/>
        </w:numPr>
        <w:spacing w:line="276" w:lineRule="auto"/>
        <w:rPr>
          <w:sz w:val="24"/>
          <w:szCs w:val="24"/>
          <w:lang w:val="en-GB"/>
        </w:rPr>
      </w:pPr>
      <w:r w:rsidRPr="00E25C87">
        <w:rPr>
          <w:sz w:val="24"/>
          <w:szCs w:val="24"/>
          <w:lang w:val="en-GB"/>
        </w:rPr>
        <w:t>R5</w:t>
      </w:r>
      <w:r w:rsidR="000E758C" w:rsidRPr="00E25C87">
        <w:rPr>
          <w:sz w:val="24"/>
          <w:szCs w:val="24"/>
          <w:lang w:val="en-GB"/>
        </w:rPr>
        <w:t xml:space="preserve">: </w:t>
      </w:r>
      <w:r w:rsidRPr="00E25C87">
        <w:rPr>
          <w:sz w:val="24"/>
          <w:szCs w:val="24"/>
          <w:lang w:val="en-GB"/>
        </w:rPr>
        <w:t xml:space="preserve"> </w:t>
      </w:r>
      <w:r w:rsidR="000B2D8B" w:rsidRPr="00E25C87">
        <w:rPr>
          <w:rFonts w:eastAsia="Calibri"/>
          <w:sz w:val="24"/>
          <w:szCs w:val="24"/>
          <w:lang w:val="en-GB" w:eastAsia="de-DE" w:bidi="en-US"/>
        </w:rPr>
        <w:t>Light sources (excluding incandescent lamps).</w:t>
      </w:r>
    </w:p>
    <w:p w14:paraId="7DD1354B" w14:textId="77777777" w:rsidR="00207546" w:rsidRPr="00E25C87" w:rsidRDefault="00207546" w:rsidP="00207546">
      <w:pPr>
        <w:spacing w:line="276" w:lineRule="auto"/>
        <w:rPr>
          <w:sz w:val="24"/>
          <w:szCs w:val="24"/>
          <w:lang w:val="en-GB"/>
        </w:rPr>
      </w:pPr>
    </w:p>
    <w:p w14:paraId="75AAED24" w14:textId="074D38D4" w:rsidR="00D83A9B" w:rsidRPr="00E25C87" w:rsidRDefault="00243B38" w:rsidP="00243B38">
      <w:pPr>
        <w:pStyle w:val="Paragrafoelenco"/>
        <w:spacing w:line="276" w:lineRule="auto"/>
        <w:ind w:left="0"/>
        <w:rPr>
          <w:sz w:val="24"/>
          <w:szCs w:val="24"/>
          <w:lang w:val="en-GB"/>
        </w:rPr>
      </w:pPr>
      <w:r w:rsidRPr="00E25C87">
        <w:rPr>
          <w:sz w:val="24"/>
          <w:szCs w:val="24"/>
          <w:lang w:val="en-GB"/>
        </w:rPr>
        <w:t>The WEEE directive</w:t>
      </w:r>
      <w:r w:rsidR="00FD3C28" w:rsidRPr="00E25C87">
        <w:rPr>
          <w:rStyle w:val="Rimandonotaapidipagina"/>
          <w:sz w:val="24"/>
          <w:szCs w:val="24"/>
          <w:lang w:val="en-GB"/>
        </w:rPr>
        <w:footnoteReference w:id="2"/>
      </w:r>
      <w:r w:rsidRPr="00E25C87">
        <w:rPr>
          <w:sz w:val="24"/>
          <w:szCs w:val="24"/>
          <w:lang w:val="en-GB"/>
        </w:rPr>
        <w:t xml:space="preserve"> aims to introduce </w:t>
      </w:r>
      <w:r w:rsidR="00207546" w:rsidRPr="00E25C87">
        <w:rPr>
          <w:sz w:val="24"/>
          <w:szCs w:val="24"/>
          <w:lang w:val="en-GB"/>
        </w:rPr>
        <w:t xml:space="preserve">substantially </w:t>
      </w:r>
      <w:r w:rsidRPr="00E25C87">
        <w:rPr>
          <w:sz w:val="24"/>
          <w:szCs w:val="24"/>
          <w:lang w:val="en-GB"/>
        </w:rPr>
        <w:t>the CE principles in the sector</w:t>
      </w:r>
      <w:r w:rsidR="006E3F4C" w:rsidRPr="00E25C87">
        <w:rPr>
          <w:sz w:val="24"/>
          <w:szCs w:val="24"/>
          <w:lang w:val="en-GB"/>
        </w:rPr>
        <w:t xml:space="preserve"> by </w:t>
      </w:r>
      <w:r w:rsidR="00F86366" w:rsidRPr="00E25C87">
        <w:rPr>
          <w:sz w:val="24"/>
          <w:szCs w:val="24"/>
          <w:lang w:val="en-GB"/>
        </w:rPr>
        <w:t xml:space="preserve">preventing </w:t>
      </w:r>
      <w:r w:rsidR="00207546" w:rsidRPr="00E25C87">
        <w:rPr>
          <w:sz w:val="24"/>
          <w:szCs w:val="24"/>
          <w:lang w:val="en-GB"/>
        </w:rPr>
        <w:t>WEEE</w:t>
      </w:r>
      <w:r w:rsidR="006C5078" w:rsidRPr="00E25C87">
        <w:rPr>
          <w:sz w:val="24"/>
          <w:szCs w:val="24"/>
          <w:lang w:val="en-GB"/>
        </w:rPr>
        <w:t xml:space="preserve"> generation</w:t>
      </w:r>
      <w:r w:rsidR="00207546" w:rsidRPr="00E25C87">
        <w:rPr>
          <w:sz w:val="24"/>
          <w:szCs w:val="24"/>
          <w:lang w:val="en-GB"/>
        </w:rPr>
        <w:t xml:space="preserve">, </w:t>
      </w:r>
      <w:r w:rsidR="006E3F4C" w:rsidRPr="00E25C87">
        <w:rPr>
          <w:sz w:val="24"/>
          <w:szCs w:val="24"/>
          <w:lang w:val="en-GB"/>
        </w:rPr>
        <w:t xml:space="preserve">promoting a </w:t>
      </w:r>
      <w:r w:rsidRPr="00E25C87">
        <w:rPr>
          <w:sz w:val="24"/>
          <w:szCs w:val="24"/>
          <w:lang w:val="en-GB"/>
        </w:rPr>
        <w:t>more efficient</w:t>
      </w:r>
      <w:r w:rsidR="006E3F4C" w:rsidRPr="00E25C87">
        <w:rPr>
          <w:sz w:val="24"/>
          <w:szCs w:val="24"/>
          <w:lang w:val="en-GB"/>
        </w:rPr>
        <w:t xml:space="preserve"> use of </w:t>
      </w:r>
      <w:r w:rsidR="00BE3E2D" w:rsidRPr="00E25C87">
        <w:rPr>
          <w:sz w:val="24"/>
          <w:szCs w:val="24"/>
          <w:lang w:val="en-GB"/>
        </w:rPr>
        <w:t xml:space="preserve">the </w:t>
      </w:r>
      <w:r w:rsidR="006E3F4C" w:rsidRPr="00E25C87">
        <w:rPr>
          <w:sz w:val="24"/>
          <w:szCs w:val="24"/>
          <w:lang w:val="en-GB"/>
        </w:rPr>
        <w:t>resources</w:t>
      </w:r>
      <w:r w:rsidR="00BE3E2D" w:rsidRPr="00E25C87">
        <w:rPr>
          <w:sz w:val="24"/>
          <w:szCs w:val="24"/>
          <w:lang w:val="en-GB"/>
        </w:rPr>
        <w:t>/products</w:t>
      </w:r>
      <w:r w:rsidRPr="00E25C87">
        <w:rPr>
          <w:sz w:val="24"/>
          <w:szCs w:val="24"/>
          <w:lang w:val="en-GB"/>
        </w:rPr>
        <w:t xml:space="preserve"> by means of </w:t>
      </w:r>
      <w:r w:rsidR="006C5078" w:rsidRPr="00E25C87">
        <w:rPr>
          <w:sz w:val="24"/>
          <w:szCs w:val="24"/>
          <w:lang w:val="en-GB"/>
        </w:rPr>
        <w:t>the</w:t>
      </w:r>
      <w:r w:rsidR="00BE3E2D" w:rsidRPr="00E25C87">
        <w:rPr>
          <w:sz w:val="24"/>
          <w:szCs w:val="24"/>
          <w:lang w:val="en-GB"/>
        </w:rPr>
        <w:t>ir</w:t>
      </w:r>
      <w:r w:rsidR="006C5078" w:rsidRPr="00E25C87">
        <w:rPr>
          <w:sz w:val="24"/>
          <w:szCs w:val="24"/>
          <w:lang w:val="en-GB"/>
        </w:rPr>
        <w:t xml:space="preserve"> </w:t>
      </w:r>
      <w:r w:rsidR="00BE3E2D" w:rsidRPr="00E25C87">
        <w:rPr>
          <w:sz w:val="24"/>
          <w:szCs w:val="24"/>
          <w:lang w:val="en-GB"/>
        </w:rPr>
        <w:t xml:space="preserve">reuse or </w:t>
      </w:r>
      <w:r w:rsidR="006C5078" w:rsidRPr="00E25C87">
        <w:rPr>
          <w:sz w:val="24"/>
          <w:szCs w:val="24"/>
          <w:lang w:val="en-GB"/>
        </w:rPr>
        <w:t>recovery</w:t>
      </w:r>
      <w:r w:rsidRPr="00E25C87">
        <w:rPr>
          <w:sz w:val="24"/>
          <w:szCs w:val="24"/>
          <w:lang w:val="en-GB"/>
        </w:rPr>
        <w:t xml:space="preserve"> </w:t>
      </w:r>
      <w:r w:rsidR="00BE3E2D" w:rsidRPr="00E25C87">
        <w:rPr>
          <w:sz w:val="24"/>
          <w:szCs w:val="24"/>
          <w:lang w:val="en-GB"/>
        </w:rPr>
        <w:t>into</w:t>
      </w:r>
      <w:r w:rsidRPr="00E25C87">
        <w:rPr>
          <w:sz w:val="24"/>
          <w:szCs w:val="24"/>
          <w:lang w:val="en-GB"/>
        </w:rPr>
        <w:t xml:space="preserve"> secondary raw materials </w:t>
      </w:r>
      <w:r w:rsidR="00F86366" w:rsidRPr="00E25C87">
        <w:rPr>
          <w:sz w:val="24"/>
          <w:szCs w:val="24"/>
          <w:lang w:val="en-GB"/>
        </w:rPr>
        <w:t>as well as</w:t>
      </w:r>
      <w:r w:rsidR="00F86366" w:rsidRPr="00E25C87">
        <w:rPr>
          <w:i/>
          <w:iCs/>
          <w:sz w:val="24"/>
          <w:szCs w:val="24"/>
          <w:lang w:val="en-GB"/>
        </w:rPr>
        <w:t xml:space="preserve"> </w:t>
      </w:r>
      <w:r w:rsidR="00F86366" w:rsidRPr="00E25C87">
        <w:rPr>
          <w:sz w:val="24"/>
          <w:szCs w:val="24"/>
          <w:lang w:val="en-GB"/>
        </w:rPr>
        <w:t>improve the environmental performance</w:t>
      </w:r>
      <w:r w:rsidR="006E3F4C" w:rsidRPr="00E25C87">
        <w:rPr>
          <w:sz w:val="24"/>
          <w:szCs w:val="24"/>
          <w:lang w:val="en-GB"/>
        </w:rPr>
        <w:t>s</w:t>
      </w:r>
      <w:r w:rsidR="00F86366" w:rsidRPr="00E25C87">
        <w:rPr>
          <w:sz w:val="24"/>
          <w:szCs w:val="24"/>
          <w:lang w:val="en-GB"/>
        </w:rPr>
        <w:t xml:space="preserve"> of all the stakeholders involved in the WEEE life cycle (European Commission, 2019).   </w:t>
      </w:r>
    </w:p>
    <w:p w14:paraId="057182C5" w14:textId="0ED6F308" w:rsidR="005571FB" w:rsidRPr="00E25C87" w:rsidRDefault="005A0D11" w:rsidP="00BA3D61">
      <w:pPr>
        <w:spacing w:line="276" w:lineRule="auto"/>
        <w:rPr>
          <w:sz w:val="24"/>
          <w:szCs w:val="24"/>
          <w:lang w:val="en-GB"/>
        </w:rPr>
      </w:pPr>
      <w:r w:rsidRPr="00E25C87">
        <w:rPr>
          <w:sz w:val="24"/>
          <w:szCs w:val="24"/>
          <w:lang w:val="en-GB"/>
        </w:rPr>
        <w:t xml:space="preserve">This study proposes a joint application of MFA and LCA and </w:t>
      </w:r>
      <w:r w:rsidR="005571FB" w:rsidRPr="00E25C87">
        <w:rPr>
          <w:sz w:val="24"/>
          <w:szCs w:val="24"/>
          <w:lang w:val="en-GB"/>
        </w:rPr>
        <w:t xml:space="preserve">is </w:t>
      </w:r>
      <w:r w:rsidR="00380911" w:rsidRPr="00E25C87">
        <w:rPr>
          <w:sz w:val="24"/>
          <w:szCs w:val="24"/>
          <w:lang w:val="en-GB"/>
        </w:rPr>
        <w:t>aimed</w:t>
      </w:r>
      <w:r w:rsidR="005571FB" w:rsidRPr="00E25C87">
        <w:rPr>
          <w:sz w:val="24"/>
          <w:szCs w:val="24"/>
          <w:lang w:val="en-GB"/>
        </w:rPr>
        <w:t xml:space="preserve"> to </w:t>
      </w:r>
      <w:r w:rsidRPr="00E25C87">
        <w:rPr>
          <w:sz w:val="24"/>
          <w:szCs w:val="24"/>
          <w:lang w:val="en-GB"/>
        </w:rPr>
        <w:t>evaluate</w:t>
      </w:r>
      <w:r w:rsidR="005571FB" w:rsidRPr="00E25C87">
        <w:rPr>
          <w:sz w:val="24"/>
          <w:szCs w:val="24"/>
          <w:lang w:val="en-GB"/>
        </w:rPr>
        <w:t xml:space="preserve">: </w:t>
      </w:r>
    </w:p>
    <w:p w14:paraId="1F80630D" w14:textId="18896E3C" w:rsidR="003F1D3A" w:rsidRPr="00E25C87" w:rsidRDefault="00B267AB" w:rsidP="003F1D3A">
      <w:pPr>
        <w:numPr>
          <w:ilvl w:val="0"/>
          <w:numId w:val="43"/>
        </w:numPr>
        <w:spacing w:line="276" w:lineRule="auto"/>
        <w:rPr>
          <w:sz w:val="24"/>
          <w:szCs w:val="24"/>
          <w:lang w:val="en-GB"/>
        </w:rPr>
      </w:pPr>
      <w:r w:rsidRPr="00E25C87">
        <w:rPr>
          <w:sz w:val="24"/>
          <w:szCs w:val="24"/>
          <w:lang w:val="en-GB"/>
        </w:rPr>
        <w:t xml:space="preserve">The </w:t>
      </w:r>
      <w:r w:rsidR="005571FB" w:rsidRPr="00E25C87">
        <w:rPr>
          <w:sz w:val="24"/>
          <w:szCs w:val="24"/>
          <w:lang w:val="en-GB"/>
        </w:rPr>
        <w:t>life cycle of the legal WEEE management system of Campania Region established in compliance with the Italian legislation and European Directives</w:t>
      </w:r>
      <w:r w:rsidRPr="00E25C87">
        <w:rPr>
          <w:sz w:val="24"/>
          <w:szCs w:val="24"/>
          <w:lang w:val="en-GB"/>
        </w:rPr>
        <w:t xml:space="preserve"> improving its traceability</w:t>
      </w:r>
      <w:r w:rsidR="005571FB" w:rsidRPr="00E25C87">
        <w:rPr>
          <w:sz w:val="24"/>
          <w:szCs w:val="24"/>
          <w:lang w:val="en-GB"/>
        </w:rPr>
        <w:t xml:space="preserve">; </w:t>
      </w:r>
    </w:p>
    <w:p w14:paraId="4F41DB2D" w14:textId="5E6A264D" w:rsidR="005571FB" w:rsidRPr="00E25C87" w:rsidRDefault="00B267AB" w:rsidP="003F1D3A">
      <w:pPr>
        <w:numPr>
          <w:ilvl w:val="0"/>
          <w:numId w:val="43"/>
        </w:numPr>
        <w:spacing w:line="276" w:lineRule="auto"/>
        <w:rPr>
          <w:sz w:val="24"/>
          <w:szCs w:val="24"/>
          <w:lang w:val="en-GB"/>
        </w:rPr>
      </w:pPr>
      <w:r w:rsidRPr="00E25C87">
        <w:rPr>
          <w:sz w:val="24"/>
          <w:szCs w:val="24"/>
          <w:lang w:val="en-GB"/>
        </w:rPr>
        <w:t xml:space="preserve">The </w:t>
      </w:r>
      <w:r w:rsidR="005571FB" w:rsidRPr="00E25C87">
        <w:rPr>
          <w:sz w:val="24"/>
          <w:szCs w:val="24"/>
          <w:lang w:val="en-GB"/>
        </w:rPr>
        <w:t xml:space="preserve">environmental </w:t>
      </w:r>
      <w:r w:rsidR="005A0D11" w:rsidRPr="00E25C87">
        <w:rPr>
          <w:sz w:val="24"/>
          <w:szCs w:val="24"/>
          <w:lang w:val="en-GB"/>
        </w:rPr>
        <w:t>impacts</w:t>
      </w:r>
      <w:r w:rsidR="005571FB" w:rsidRPr="00E25C87">
        <w:rPr>
          <w:sz w:val="24"/>
          <w:szCs w:val="24"/>
          <w:lang w:val="en-GB"/>
        </w:rPr>
        <w:t xml:space="preserve"> from the collection and treatment of WEEE;</w:t>
      </w:r>
    </w:p>
    <w:p w14:paraId="2C822AA3" w14:textId="456AFDDC" w:rsidR="005571FB" w:rsidRPr="00E25C87" w:rsidRDefault="00B267AB" w:rsidP="00BA3D61">
      <w:pPr>
        <w:numPr>
          <w:ilvl w:val="0"/>
          <w:numId w:val="43"/>
        </w:numPr>
        <w:spacing w:after="160" w:line="276" w:lineRule="auto"/>
        <w:rPr>
          <w:sz w:val="24"/>
          <w:szCs w:val="24"/>
          <w:lang w:val="en-GB"/>
        </w:rPr>
      </w:pPr>
      <w:r w:rsidRPr="00E25C87">
        <w:rPr>
          <w:sz w:val="24"/>
          <w:szCs w:val="24"/>
          <w:lang w:val="en-GB"/>
        </w:rPr>
        <w:t xml:space="preserve">The </w:t>
      </w:r>
      <w:r w:rsidR="005571FB" w:rsidRPr="00E25C87">
        <w:rPr>
          <w:sz w:val="24"/>
          <w:szCs w:val="24"/>
          <w:lang w:val="en-GB"/>
        </w:rPr>
        <w:t>opportunities for improv</w:t>
      </w:r>
      <w:r w:rsidRPr="00E25C87">
        <w:rPr>
          <w:sz w:val="24"/>
          <w:szCs w:val="24"/>
          <w:lang w:val="en-GB"/>
        </w:rPr>
        <w:t>ing the environmental performances</w:t>
      </w:r>
      <w:r w:rsidR="005571FB" w:rsidRPr="00E25C87">
        <w:rPr>
          <w:sz w:val="24"/>
          <w:szCs w:val="24"/>
          <w:lang w:val="en-GB"/>
        </w:rPr>
        <w:t xml:space="preserve"> of the regional WEEE management system.</w:t>
      </w:r>
    </w:p>
    <w:p w14:paraId="60F7A362" w14:textId="7BB74691" w:rsidR="00D41040" w:rsidRPr="00E25C87" w:rsidRDefault="00D41040" w:rsidP="00D41040">
      <w:pPr>
        <w:spacing w:after="160" w:line="276" w:lineRule="auto"/>
        <w:rPr>
          <w:sz w:val="24"/>
          <w:szCs w:val="24"/>
          <w:lang w:val="en-GB"/>
        </w:rPr>
      </w:pPr>
      <w:r w:rsidRPr="00E25C87">
        <w:rPr>
          <w:sz w:val="24"/>
          <w:szCs w:val="24"/>
          <w:lang w:val="en-GB"/>
        </w:rPr>
        <w:t>The organization of this study comprise</w:t>
      </w:r>
      <w:r w:rsidR="00B07AFF">
        <w:rPr>
          <w:sz w:val="24"/>
          <w:szCs w:val="24"/>
          <w:lang w:val="en-GB"/>
        </w:rPr>
        <w:t>s</w:t>
      </w:r>
      <w:r w:rsidRPr="00E25C87">
        <w:rPr>
          <w:sz w:val="24"/>
          <w:szCs w:val="24"/>
          <w:lang w:val="en-GB"/>
        </w:rPr>
        <w:t xml:space="preserve"> in the next </w:t>
      </w:r>
      <w:r w:rsidR="00B07AFF">
        <w:rPr>
          <w:sz w:val="24"/>
          <w:szCs w:val="24"/>
          <w:lang w:val="en-GB"/>
        </w:rPr>
        <w:t>S</w:t>
      </w:r>
      <w:r w:rsidRPr="00E25C87">
        <w:rPr>
          <w:sz w:val="24"/>
          <w:szCs w:val="24"/>
          <w:lang w:val="en-GB"/>
        </w:rPr>
        <w:t xml:space="preserve">ection 1.2 a review of </w:t>
      </w:r>
      <w:r w:rsidR="00A272E8" w:rsidRPr="00E25C87">
        <w:rPr>
          <w:sz w:val="24"/>
          <w:szCs w:val="24"/>
          <w:lang w:val="en-GB"/>
        </w:rPr>
        <w:t>previous</w:t>
      </w:r>
      <w:r w:rsidRPr="00E25C87">
        <w:rPr>
          <w:sz w:val="24"/>
          <w:szCs w:val="24"/>
          <w:lang w:val="en-GB"/>
        </w:rPr>
        <w:t xml:space="preserve"> </w:t>
      </w:r>
      <w:r w:rsidR="00DB6C4D" w:rsidRPr="00E25C87">
        <w:rPr>
          <w:sz w:val="24"/>
          <w:szCs w:val="24"/>
          <w:lang w:val="en-GB"/>
        </w:rPr>
        <w:t>l</w:t>
      </w:r>
      <w:r w:rsidRPr="00E25C87">
        <w:rPr>
          <w:sz w:val="24"/>
          <w:szCs w:val="24"/>
          <w:lang w:val="en-GB"/>
        </w:rPr>
        <w:t xml:space="preserve">iterature </w:t>
      </w:r>
      <w:r w:rsidR="00A272E8" w:rsidRPr="00E25C87">
        <w:rPr>
          <w:sz w:val="24"/>
          <w:szCs w:val="24"/>
          <w:lang w:val="en-GB"/>
        </w:rPr>
        <w:t xml:space="preserve">evaluating regional </w:t>
      </w:r>
      <w:r w:rsidR="00DB6C4D" w:rsidRPr="00E25C87">
        <w:rPr>
          <w:sz w:val="24"/>
          <w:szCs w:val="24"/>
          <w:lang w:val="en-GB"/>
        </w:rPr>
        <w:t xml:space="preserve">WEEE management systems </w:t>
      </w:r>
      <w:r w:rsidRPr="00E25C87">
        <w:rPr>
          <w:sz w:val="24"/>
          <w:szCs w:val="24"/>
          <w:lang w:val="en-GB"/>
        </w:rPr>
        <w:t>followed by section 1.3 (</w:t>
      </w:r>
      <w:r w:rsidR="00DB6C4D" w:rsidRPr="00E25C87">
        <w:rPr>
          <w:sz w:val="24"/>
          <w:szCs w:val="24"/>
          <w:lang w:val="en-GB"/>
        </w:rPr>
        <w:t xml:space="preserve">Materials and Methods) that summarizes the </w:t>
      </w:r>
      <w:r w:rsidR="00380911" w:rsidRPr="00E25C87">
        <w:rPr>
          <w:sz w:val="24"/>
          <w:szCs w:val="24"/>
          <w:lang w:val="en-GB"/>
        </w:rPr>
        <w:t xml:space="preserve">main key feature of the regional </w:t>
      </w:r>
      <w:r w:rsidR="00DB6C4D" w:rsidRPr="00E25C87">
        <w:rPr>
          <w:sz w:val="24"/>
          <w:szCs w:val="24"/>
          <w:lang w:val="en-GB"/>
        </w:rPr>
        <w:t>system under investigation</w:t>
      </w:r>
      <w:r w:rsidR="00380911" w:rsidRPr="00E25C87">
        <w:rPr>
          <w:sz w:val="24"/>
          <w:szCs w:val="24"/>
          <w:lang w:val="en-GB"/>
        </w:rPr>
        <w:t xml:space="preserve"> and the methodological framework</w:t>
      </w:r>
      <w:r w:rsidR="007F5117" w:rsidRPr="00E25C87">
        <w:rPr>
          <w:sz w:val="24"/>
          <w:szCs w:val="24"/>
          <w:lang w:val="en-GB"/>
        </w:rPr>
        <w:t xml:space="preserve"> (MFA+LCA)</w:t>
      </w:r>
      <w:r w:rsidR="00380911" w:rsidRPr="00E25C87">
        <w:rPr>
          <w:sz w:val="24"/>
          <w:szCs w:val="24"/>
          <w:lang w:val="en-GB"/>
        </w:rPr>
        <w:t xml:space="preserve"> adopted to achieve the goals of this study. </w:t>
      </w:r>
      <w:r w:rsidR="002D3FB9" w:rsidRPr="00E25C87">
        <w:rPr>
          <w:sz w:val="24"/>
          <w:szCs w:val="24"/>
          <w:lang w:val="en-GB"/>
        </w:rPr>
        <w:t>Results are showed and discussed in section 1.4 while conclusions and future perspectives in section 1.5.</w:t>
      </w:r>
      <w:r w:rsidR="00DB6C4D" w:rsidRPr="00E25C87">
        <w:rPr>
          <w:sz w:val="24"/>
          <w:szCs w:val="24"/>
          <w:lang w:val="en-GB"/>
        </w:rPr>
        <w:t xml:space="preserve">  </w:t>
      </w:r>
      <w:r w:rsidRPr="00E25C87">
        <w:rPr>
          <w:sz w:val="24"/>
          <w:szCs w:val="24"/>
          <w:lang w:val="en-GB"/>
        </w:rPr>
        <w:t xml:space="preserve"> </w:t>
      </w:r>
    </w:p>
    <w:p w14:paraId="7BB9C1AB" w14:textId="77777777" w:rsidR="005571FB" w:rsidRPr="00E25C87" w:rsidRDefault="005571FB" w:rsidP="00D66ED0">
      <w:pPr>
        <w:pStyle w:val="Abstract"/>
        <w:tabs>
          <w:tab w:val="left" w:pos="6379"/>
        </w:tabs>
        <w:spacing w:line="276" w:lineRule="auto"/>
        <w:ind w:left="0" w:right="-30"/>
        <w:rPr>
          <w:snapToGrid/>
          <w:sz w:val="24"/>
          <w:lang w:val="en-GB"/>
        </w:rPr>
      </w:pPr>
    </w:p>
    <w:p w14:paraId="7B2B6B6A" w14:textId="00926AA8" w:rsidR="005571FB" w:rsidRPr="00E25C87" w:rsidRDefault="00272FF7" w:rsidP="00BA3D61">
      <w:pPr>
        <w:pStyle w:val="Abstract"/>
        <w:numPr>
          <w:ilvl w:val="1"/>
          <w:numId w:val="44"/>
        </w:numPr>
        <w:tabs>
          <w:tab w:val="left" w:pos="6379"/>
        </w:tabs>
        <w:spacing w:line="276" w:lineRule="auto"/>
        <w:ind w:right="-30"/>
        <w:rPr>
          <w:b/>
          <w:bCs/>
          <w:snapToGrid/>
          <w:sz w:val="22"/>
          <w:szCs w:val="22"/>
          <w:lang w:val="en-GB"/>
        </w:rPr>
      </w:pPr>
      <w:r w:rsidRPr="00E25C87">
        <w:rPr>
          <w:b/>
          <w:bCs/>
          <w:snapToGrid/>
          <w:sz w:val="22"/>
          <w:szCs w:val="22"/>
          <w:lang w:val="en-GB"/>
        </w:rPr>
        <w:t xml:space="preserve">Review of the Literature </w:t>
      </w:r>
    </w:p>
    <w:p w14:paraId="4220D4D9" w14:textId="77777777" w:rsidR="00BA3D61" w:rsidRPr="00E25C87" w:rsidRDefault="00BA3D61" w:rsidP="00BA3D61">
      <w:pPr>
        <w:pStyle w:val="Abstract"/>
        <w:tabs>
          <w:tab w:val="left" w:pos="6379"/>
        </w:tabs>
        <w:spacing w:line="276" w:lineRule="auto"/>
        <w:ind w:right="-30"/>
        <w:rPr>
          <w:b/>
          <w:bCs/>
          <w:snapToGrid/>
          <w:sz w:val="22"/>
          <w:szCs w:val="22"/>
          <w:lang w:val="en-GB"/>
        </w:rPr>
      </w:pPr>
    </w:p>
    <w:p w14:paraId="03191B4F" w14:textId="21FE6CC9" w:rsidR="00936542" w:rsidRPr="00E25C87" w:rsidRDefault="006E3F4C" w:rsidP="00936542">
      <w:pPr>
        <w:pStyle w:val="Abstract"/>
        <w:tabs>
          <w:tab w:val="left" w:pos="6379"/>
        </w:tabs>
        <w:spacing w:line="276" w:lineRule="auto"/>
        <w:ind w:left="0" w:right="-30"/>
        <w:rPr>
          <w:snapToGrid/>
          <w:sz w:val="24"/>
          <w:lang w:val="en-GB"/>
        </w:rPr>
      </w:pPr>
      <w:r w:rsidRPr="00E25C87">
        <w:rPr>
          <w:snapToGrid/>
          <w:sz w:val="24"/>
          <w:lang w:val="en-GB"/>
        </w:rPr>
        <w:t xml:space="preserve">The international literature shows </w:t>
      </w:r>
      <w:r w:rsidR="00932A58" w:rsidRPr="00E25C87">
        <w:rPr>
          <w:snapToGrid/>
          <w:sz w:val="24"/>
          <w:lang w:val="en-GB"/>
        </w:rPr>
        <w:t>a few cases of studies that assess the environmental performances of regional or national WEEE</w:t>
      </w:r>
      <w:r w:rsidR="00BE3E2D" w:rsidRPr="00E25C87">
        <w:rPr>
          <w:snapToGrid/>
          <w:sz w:val="24"/>
          <w:lang w:val="en-GB"/>
        </w:rPr>
        <w:t xml:space="preserve"> </w:t>
      </w:r>
      <w:r w:rsidR="00932A58" w:rsidRPr="00E25C87">
        <w:rPr>
          <w:snapToGrid/>
          <w:sz w:val="24"/>
          <w:lang w:val="en-GB"/>
        </w:rPr>
        <w:t>management systems by means of Life Cycle Assessment</w:t>
      </w:r>
      <w:r w:rsidR="00112BDF" w:rsidRPr="00E25C87">
        <w:rPr>
          <w:snapToGrid/>
          <w:sz w:val="24"/>
          <w:lang w:val="en-GB"/>
        </w:rPr>
        <w:t xml:space="preserve"> (LCA)</w:t>
      </w:r>
      <w:r w:rsidR="00936542" w:rsidRPr="00E25C87">
        <w:rPr>
          <w:snapToGrid/>
          <w:sz w:val="24"/>
          <w:lang w:val="en-GB"/>
        </w:rPr>
        <w:t xml:space="preserve"> and Material Flow </w:t>
      </w:r>
      <w:r w:rsidR="00936542" w:rsidRPr="00E25C87">
        <w:rPr>
          <w:snapToGrid/>
          <w:sz w:val="24"/>
          <w:lang w:val="en-GB"/>
        </w:rPr>
        <w:lastRenderedPageBreak/>
        <w:t>Analysis (MFA)</w:t>
      </w:r>
      <w:r w:rsidR="00932A58" w:rsidRPr="00E25C87">
        <w:rPr>
          <w:snapToGrid/>
          <w:sz w:val="24"/>
          <w:lang w:val="en-GB"/>
        </w:rPr>
        <w:t xml:space="preserve">. </w:t>
      </w:r>
      <w:r w:rsidR="00936542" w:rsidRPr="00E25C87">
        <w:rPr>
          <w:snapToGrid/>
          <w:sz w:val="24"/>
          <w:lang w:val="en-GB"/>
        </w:rPr>
        <w:t xml:space="preserve">Indeed, in the WEEE sector, the use of both these tools seems still low </w:t>
      </w:r>
      <w:r w:rsidR="00D142C3" w:rsidRPr="00E25C87">
        <w:rPr>
          <w:snapToGrid/>
          <w:sz w:val="24"/>
          <w:lang w:val="en-GB"/>
        </w:rPr>
        <w:t>(</w:t>
      </w:r>
      <w:r w:rsidR="00936542" w:rsidRPr="00E25C87">
        <w:rPr>
          <w:snapToGrid/>
          <w:sz w:val="24"/>
          <w:lang w:val="en-GB"/>
        </w:rPr>
        <w:t>in particular in the research of e-waste generation and management life cycle stages</w:t>
      </w:r>
      <w:r w:rsidR="00D142C3" w:rsidRPr="00E25C87">
        <w:rPr>
          <w:snapToGrid/>
          <w:sz w:val="24"/>
          <w:lang w:val="en-GB"/>
        </w:rPr>
        <w:t xml:space="preserve">) despite the fact </w:t>
      </w:r>
      <w:r w:rsidR="00936542" w:rsidRPr="00E25C87">
        <w:rPr>
          <w:snapToGrid/>
          <w:sz w:val="24"/>
          <w:lang w:val="en-GB"/>
        </w:rPr>
        <w:t xml:space="preserve">the contribution of LCA </w:t>
      </w:r>
      <w:r w:rsidR="00D142C3" w:rsidRPr="00E25C87">
        <w:rPr>
          <w:snapToGrid/>
          <w:sz w:val="24"/>
          <w:lang w:val="en-GB"/>
        </w:rPr>
        <w:t>is recognized</w:t>
      </w:r>
      <w:r w:rsidR="00936542" w:rsidRPr="00E25C87">
        <w:rPr>
          <w:snapToGrid/>
          <w:sz w:val="24"/>
          <w:lang w:val="en-GB"/>
        </w:rPr>
        <w:t xml:space="preserve"> </w:t>
      </w:r>
      <w:r w:rsidR="00B267AB" w:rsidRPr="00E25C87">
        <w:rPr>
          <w:snapToGrid/>
          <w:sz w:val="24"/>
          <w:lang w:val="en-GB"/>
        </w:rPr>
        <w:t xml:space="preserve">as </w:t>
      </w:r>
      <w:r w:rsidR="00D142C3" w:rsidRPr="00E25C87">
        <w:rPr>
          <w:snapToGrid/>
          <w:sz w:val="24"/>
          <w:lang w:val="en-GB"/>
        </w:rPr>
        <w:t xml:space="preserve">important </w:t>
      </w:r>
      <w:r w:rsidR="00936542" w:rsidRPr="00E25C87">
        <w:rPr>
          <w:snapToGrid/>
          <w:sz w:val="24"/>
          <w:lang w:val="en-GB"/>
        </w:rPr>
        <w:t xml:space="preserve">since </w:t>
      </w:r>
      <w:r w:rsidR="00D142C3" w:rsidRPr="00E25C87">
        <w:rPr>
          <w:snapToGrid/>
          <w:sz w:val="24"/>
          <w:lang w:val="en-GB"/>
        </w:rPr>
        <w:t xml:space="preserve">its early applications when </w:t>
      </w:r>
      <w:r w:rsidR="00B267AB" w:rsidRPr="00E25C87">
        <w:rPr>
          <w:snapToGrid/>
          <w:sz w:val="24"/>
          <w:lang w:val="en-GB"/>
        </w:rPr>
        <w:t xml:space="preserve">the LCA </w:t>
      </w:r>
      <w:r w:rsidR="00D142C3" w:rsidRPr="00E25C87">
        <w:rPr>
          <w:snapToGrid/>
          <w:sz w:val="24"/>
          <w:lang w:val="en-GB"/>
        </w:rPr>
        <w:t xml:space="preserve">was used to </w:t>
      </w:r>
      <w:r w:rsidR="00936542" w:rsidRPr="00E25C87">
        <w:rPr>
          <w:snapToGrid/>
          <w:sz w:val="24"/>
          <w:lang w:val="en-GB"/>
        </w:rPr>
        <w:t>evaluat</w:t>
      </w:r>
      <w:r w:rsidR="00D142C3" w:rsidRPr="00E25C87">
        <w:rPr>
          <w:snapToGrid/>
          <w:sz w:val="24"/>
          <w:lang w:val="en-GB"/>
        </w:rPr>
        <w:t>e</w:t>
      </w:r>
      <w:r w:rsidR="00936542" w:rsidRPr="00E25C87">
        <w:rPr>
          <w:snapToGrid/>
          <w:sz w:val="24"/>
          <w:lang w:val="en-GB"/>
        </w:rPr>
        <w:t xml:space="preserve"> the environmental benefits of the implementation of the</w:t>
      </w:r>
      <w:r w:rsidR="00D142C3" w:rsidRPr="00E25C87">
        <w:rPr>
          <w:snapToGrid/>
          <w:sz w:val="24"/>
          <w:lang w:val="en-GB"/>
        </w:rPr>
        <w:t xml:space="preserve"> first</w:t>
      </w:r>
      <w:r w:rsidR="00936542" w:rsidRPr="00E25C87">
        <w:rPr>
          <w:snapToGrid/>
          <w:sz w:val="24"/>
          <w:lang w:val="en-GB"/>
        </w:rPr>
        <w:t xml:space="preserve"> WEEE directive (</w:t>
      </w:r>
      <w:bookmarkStart w:id="2" w:name="_Hlk107005009"/>
      <w:r w:rsidR="00936542" w:rsidRPr="00E25C87">
        <w:rPr>
          <w:snapToGrid/>
          <w:sz w:val="24"/>
          <w:lang w:val="en-GB"/>
        </w:rPr>
        <w:t>Huisman et al., 2008</w:t>
      </w:r>
      <w:bookmarkEnd w:id="2"/>
      <w:r w:rsidR="00936542" w:rsidRPr="00E25C87">
        <w:rPr>
          <w:snapToGrid/>
          <w:sz w:val="24"/>
          <w:lang w:val="en-GB"/>
        </w:rPr>
        <w:t xml:space="preserve">). </w:t>
      </w:r>
      <w:r w:rsidR="00B267AB" w:rsidRPr="00E25C87">
        <w:rPr>
          <w:snapToGrid/>
          <w:sz w:val="24"/>
          <w:lang w:val="en-GB"/>
        </w:rPr>
        <w:t>A</w:t>
      </w:r>
      <w:r w:rsidR="00936542" w:rsidRPr="00E25C87">
        <w:rPr>
          <w:snapToGrid/>
          <w:sz w:val="24"/>
          <w:lang w:val="en-GB"/>
        </w:rPr>
        <w:t xml:space="preserve"> recent literature review (</w:t>
      </w:r>
      <w:bookmarkStart w:id="3" w:name="_Hlk107004983"/>
      <w:r w:rsidR="00936542" w:rsidRPr="00E25C87">
        <w:rPr>
          <w:snapToGrid/>
          <w:sz w:val="24"/>
          <w:lang w:val="en-GB"/>
        </w:rPr>
        <w:t>Withanage and Habib, 2021</w:t>
      </w:r>
      <w:bookmarkEnd w:id="3"/>
      <w:r w:rsidR="00936542" w:rsidRPr="00E25C87">
        <w:rPr>
          <w:snapToGrid/>
          <w:sz w:val="24"/>
          <w:lang w:val="en-GB"/>
        </w:rPr>
        <w:t>) highlight</w:t>
      </w:r>
      <w:r w:rsidR="00BE3E2D" w:rsidRPr="00E25C87">
        <w:rPr>
          <w:snapToGrid/>
          <w:sz w:val="24"/>
          <w:lang w:val="en-GB"/>
        </w:rPr>
        <w:t>s</w:t>
      </w:r>
      <w:r w:rsidR="00936542" w:rsidRPr="00E25C87">
        <w:rPr>
          <w:snapToGrid/>
          <w:sz w:val="24"/>
          <w:lang w:val="en-GB"/>
        </w:rPr>
        <w:t xml:space="preserve"> the need for increasing the number of studies focusing on a “cradle to grave” and “cradle to cradle” window of analysis to enhance the knowledge about the</w:t>
      </w:r>
      <w:r w:rsidR="00BE3E2D" w:rsidRPr="00E25C87">
        <w:rPr>
          <w:snapToGrid/>
          <w:sz w:val="24"/>
          <w:lang w:val="en-GB"/>
        </w:rPr>
        <w:t>ir</w:t>
      </w:r>
      <w:r w:rsidR="00936542" w:rsidRPr="00E25C87">
        <w:rPr>
          <w:snapToGrid/>
          <w:sz w:val="24"/>
          <w:lang w:val="en-GB"/>
        </w:rPr>
        <w:t xml:space="preserve"> life cycle and providing useful feedbacks to improve the current practices, policies and regulatory frameworks (Withanage and Habib, 2021). </w:t>
      </w:r>
    </w:p>
    <w:p w14:paraId="11A901EF" w14:textId="230BCCB3" w:rsidR="00476B0B" w:rsidRPr="00E25C87" w:rsidRDefault="00D142C3" w:rsidP="00936542">
      <w:pPr>
        <w:pStyle w:val="Abstract"/>
        <w:tabs>
          <w:tab w:val="left" w:pos="6379"/>
        </w:tabs>
        <w:spacing w:line="276" w:lineRule="auto"/>
        <w:ind w:left="0" w:right="-30"/>
        <w:rPr>
          <w:snapToGrid/>
          <w:sz w:val="24"/>
          <w:lang w:val="en-GB"/>
        </w:rPr>
      </w:pPr>
      <w:r w:rsidRPr="00E25C87">
        <w:rPr>
          <w:snapToGrid/>
          <w:sz w:val="24"/>
          <w:lang w:val="en-GB"/>
        </w:rPr>
        <w:t xml:space="preserve">The international literature shows two recent cases of joint application </w:t>
      </w:r>
      <w:r w:rsidR="00B267AB" w:rsidRPr="00E25C87">
        <w:rPr>
          <w:snapToGrid/>
          <w:sz w:val="24"/>
          <w:lang w:val="en-GB"/>
        </w:rPr>
        <w:t>of both</w:t>
      </w:r>
      <w:r w:rsidR="00936542" w:rsidRPr="00E25C87">
        <w:rPr>
          <w:snapToGrid/>
          <w:sz w:val="24"/>
          <w:lang w:val="en-GB"/>
        </w:rPr>
        <w:t xml:space="preserve"> MFA and LCA to study </w:t>
      </w:r>
      <w:r w:rsidR="009A6DBF" w:rsidRPr="00E25C87">
        <w:rPr>
          <w:snapToGrid/>
          <w:sz w:val="24"/>
          <w:lang w:val="en-GB"/>
        </w:rPr>
        <w:t>WEEE management in Italy</w:t>
      </w:r>
      <w:r w:rsidR="00A63B13" w:rsidRPr="00E25C87">
        <w:rPr>
          <w:snapToGrid/>
          <w:sz w:val="24"/>
          <w:lang w:val="en-GB"/>
        </w:rPr>
        <w:t xml:space="preserve"> </w:t>
      </w:r>
      <w:bookmarkStart w:id="4" w:name="_Hlk107005024"/>
      <w:r w:rsidR="00A63B13" w:rsidRPr="00E25C87">
        <w:rPr>
          <w:snapToGrid/>
          <w:sz w:val="24"/>
          <w:lang w:val="en-GB"/>
        </w:rPr>
        <w:t>(Fiore et al., 2019; Biganzoli et al., 2015).</w:t>
      </w:r>
      <w:bookmarkEnd w:id="4"/>
      <w:r w:rsidR="00A63B13" w:rsidRPr="00E25C87">
        <w:rPr>
          <w:snapToGrid/>
          <w:sz w:val="24"/>
          <w:lang w:val="en-GB"/>
        </w:rPr>
        <w:t xml:space="preserve"> Beyond the Italian </w:t>
      </w:r>
      <w:r w:rsidR="00295533" w:rsidRPr="00E25C87">
        <w:rPr>
          <w:snapToGrid/>
          <w:sz w:val="24"/>
          <w:lang w:val="en-GB"/>
        </w:rPr>
        <w:t>context a recent</w:t>
      </w:r>
      <w:r w:rsidR="009038CC" w:rsidRPr="00E25C87">
        <w:rPr>
          <w:snapToGrid/>
          <w:sz w:val="24"/>
          <w:lang w:val="en-GB"/>
        </w:rPr>
        <w:t xml:space="preserve"> paper</w:t>
      </w:r>
      <w:r w:rsidR="00C31D24" w:rsidRPr="00E25C87">
        <w:rPr>
          <w:snapToGrid/>
          <w:sz w:val="24"/>
          <w:lang w:val="en-GB"/>
        </w:rPr>
        <w:t xml:space="preserve"> applies </w:t>
      </w:r>
      <w:r w:rsidR="00295533" w:rsidRPr="00E25C87">
        <w:rPr>
          <w:snapToGrid/>
          <w:sz w:val="24"/>
          <w:lang w:val="en-GB"/>
        </w:rPr>
        <w:t>both LCA and MFA to study the WEEE</w:t>
      </w:r>
      <w:r w:rsidR="00B267AB" w:rsidRPr="00E25C87">
        <w:rPr>
          <w:snapToGrid/>
          <w:sz w:val="24"/>
          <w:lang w:val="en-GB"/>
        </w:rPr>
        <w:t xml:space="preserve"> management</w:t>
      </w:r>
      <w:r w:rsidR="00295533" w:rsidRPr="00E25C87">
        <w:rPr>
          <w:snapToGrid/>
          <w:sz w:val="24"/>
          <w:lang w:val="en-GB"/>
        </w:rPr>
        <w:t xml:space="preserve"> in UK whereas Souza et al. (2016) </w:t>
      </w:r>
      <w:r w:rsidR="00351A4F" w:rsidRPr="00E25C87">
        <w:rPr>
          <w:snapToGrid/>
          <w:sz w:val="24"/>
          <w:lang w:val="en-GB"/>
        </w:rPr>
        <w:t xml:space="preserve">uses </w:t>
      </w:r>
      <w:r w:rsidR="00C31D24" w:rsidRPr="00E25C87">
        <w:rPr>
          <w:snapToGrid/>
          <w:sz w:val="24"/>
          <w:lang w:val="en-GB"/>
        </w:rPr>
        <w:t>the LCA</w:t>
      </w:r>
      <w:r w:rsidR="009038CC" w:rsidRPr="00E25C87">
        <w:rPr>
          <w:snapToGrid/>
          <w:sz w:val="24"/>
          <w:lang w:val="en-GB"/>
        </w:rPr>
        <w:t xml:space="preserve"> </w:t>
      </w:r>
      <w:r w:rsidR="00295533" w:rsidRPr="00E25C87">
        <w:rPr>
          <w:snapToGrid/>
          <w:sz w:val="24"/>
          <w:lang w:val="en-GB"/>
        </w:rPr>
        <w:t>for the analysis of</w:t>
      </w:r>
      <w:r w:rsidR="009038CC" w:rsidRPr="00E25C87">
        <w:rPr>
          <w:snapToGrid/>
          <w:sz w:val="24"/>
          <w:lang w:val="en-GB"/>
        </w:rPr>
        <w:t xml:space="preserve"> the </w:t>
      </w:r>
      <w:r w:rsidR="00BC69FF" w:rsidRPr="00E25C87">
        <w:rPr>
          <w:snapToGrid/>
          <w:sz w:val="24"/>
          <w:lang w:val="en-GB"/>
        </w:rPr>
        <w:t xml:space="preserve">sustainability of </w:t>
      </w:r>
      <w:r w:rsidR="009038CC" w:rsidRPr="00E25C87">
        <w:rPr>
          <w:snapToGrid/>
          <w:sz w:val="24"/>
          <w:lang w:val="en-GB"/>
        </w:rPr>
        <w:t>WEEE management</w:t>
      </w:r>
      <w:r w:rsidR="00BC69FF" w:rsidRPr="00E25C87">
        <w:rPr>
          <w:snapToGrid/>
          <w:sz w:val="24"/>
          <w:lang w:val="en-GB"/>
        </w:rPr>
        <w:t xml:space="preserve"> options</w:t>
      </w:r>
      <w:r w:rsidR="009038CC" w:rsidRPr="00E25C87">
        <w:rPr>
          <w:snapToGrid/>
          <w:sz w:val="24"/>
          <w:lang w:val="en-GB"/>
        </w:rPr>
        <w:t xml:space="preserve"> in</w:t>
      </w:r>
      <w:r w:rsidR="00BC69FF" w:rsidRPr="00E25C87">
        <w:rPr>
          <w:snapToGrid/>
          <w:sz w:val="24"/>
          <w:lang w:val="en-GB"/>
        </w:rPr>
        <w:t xml:space="preserve"> the Metropolitan Region of Rio De Janeiro. </w:t>
      </w:r>
      <w:r w:rsidR="009038CC" w:rsidRPr="00E25C87">
        <w:rPr>
          <w:snapToGrid/>
          <w:sz w:val="24"/>
          <w:lang w:val="en-GB"/>
        </w:rPr>
        <w:t xml:space="preserve"> </w:t>
      </w:r>
      <w:r w:rsidR="00883434" w:rsidRPr="00E25C87">
        <w:rPr>
          <w:snapToGrid/>
          <w:sz w:val="24"/>
          <w:lang w:val="en-GB"/>
        </w:rPr>
        <w:t xml:space="preserve">Finally, </w:t>
      </w:r>
      <w:bookmarkStart w:id="5" w:name="_Hlk107005039"/>
      <w:r w:rsidR="00736B36" w:rsidRPr="00E25C87">
        <w:rPr>
          <w:snapToGrid/>
          <w:sz w:val="24"/>
          <w:lang w:val="en-GB"/>
        </w:rPr>
        <w:t xml:space="preserve">Angouria-Tsorochidou et al., </w:t>
      </w:r>
      <w:r w:rsidR="00883434" w:rsidRPr="00E25C87">
        <w:rPr>
          <w:snapToGrid/>
          <w:sz w:val="24"/>
          <w:lang w:val="en-GB"/>
        </w:rPr>
        <w:t>(</w:t>
      </w:r>
      <w:r w:rsidR="00736B36" w:rsidRPr="00E25C87">
        <w:rPr>
          <w:snapToGrid/>
          <w:sz w:val="24"/>
          <w:lang w:val="en-GB"/>
        </w:rPr>
        <w:t>2018)</w:t>
      </w:r>
      <w:bookmarkEnd w:id="5"/>
      <w:r w:rsidR="00883434" w:rsidRPr="00E25C87">
        <w:rPr>
          <w:snapToGrid/>
          <w:sz w:val="24"/>
          <w:lang w:val="en-GB"/>
        </w:rPr>
        <w:t xml:space="preserve"> applies the MFA to map the life cycle stages of WEEE in Denmark and integrating such method with an economic analysis </w:t>
      </w:r>
      <w:r w:rsidR="00351A4F" w:rsidRPr="00E25C87">
        <w:rPr>
          <w:snapToGrid/>
          <w:sz w:val="24"/>
          <w:lang w:val="en-GB"/>
        </w:rPr>
        <w:t>for</w:t>
      </w:r>
      <w:r w:rsidR="00883434" w:rsidRPr="00E25C87">
        <w:rPr>
          <w:snapToGrid/>
          <w:sz w:val="24"/>
          <w:lang w:val="en-GB"/>
        </w:rPr>
        <w:t xml:space="preserve"> the purpose of </w:t>
      </w:r>
      <w:r w:rsidR="00BC7A74" w:rsidRPr="00E25C87">
        <w:rPr>
          <w:snapToGrid/>
          <w:sz w:val="24"/>
          <w:lang w:val="en-GB"/>
        </w:rPr>
        <w:t>evaluating the opportunities for reuse rather than recycling</w:t>
      </w:r>
      <w:r w:rsidR="00351A4F" w:rsidRPr="00E25C87">
        <w:rPr>
          <w:snapToGrid/>
          <w:sz w:val="24"/>
          <w:lang w:val="en-GB"/>
        </w:rPr>
        <w:t>. They</w:t>
      </w:r>
      <w:r w:rsidR="00BC7A74" w:rsidRPr="00E25C87">
        <w:rPr>
          <w:snapToGrid/>
          <w:sz w:val="24"/>
          <w:lang w:val="en-GB"/>
        </w:rPr>
        <w:t xml:space="preserve"> found that a management system based on reuse </w:t>
      </w:r>
      <w:r w:rsidR="00351A4F" w:rsidRPr="00E25C87">
        <w:rPr>
          <w:snapToGrid/>
          <w:sz w:val="24"/>
          <w:lang w:val="en-GB"/>
        </w:rPr>
        <w:t xml:space="preserve">is economically viable and has the potential of </w:t>
      </w:r>
      <w:r w:rsidR="00BC7A74" w:rsidRPr="00E25C87">
        <w:rPr>
          <w:snapToGrid/>
          <w:sz w:val="24"/>
          <w:lang w:val="en-GB"/>
        </w:rPr>
        <w:t>provid</w:t>
      </w:r>
      <w:r w:rsidR="00351A4F" w:rsidRPr="00E25C87">
        <w:rPr>
          <w:snapToGrid/>
          <w:sz w:val="24"/>
          <w:lang w:val="en-GB"/>
        </w:rPr>
        <w:t>ing</w:t>
      </w:r>
      <w:r w:rsidR="00BC7A74" w:rsidRPr="00E25C87">
        <w:rPr>
          <w:snapToGrid/>
          <w:sz w:val="24"/>
          <w:lang w:val="en-GB"/>
        </w:rPr>
        <w:t xml:space="preserve"> environmental and soci</w:t>
      </w:r>
      <w:r w:rsidR="00351A4F" w:rsidRPr="00E25C87">
        <w:rPr>
          <w:snapToGrid/>
          <w:sz w:val="24"/>
          <w:lang w:val="en-GB"/>
        </w:rPr>
        <w:t>al</w:t>
      </w:r>
      <w:r w:rsidR="00BC7A74" w:rsidRPr="00E25C87">
        <w:rPr>
          <w:snapToGrid/>
          <w:sz w:val="24"/>
          <w:lang w:val="en-GB"/>
        </w:rPr>
        <w:t xml:space="preserve"> benefits.</w:t>
      </w:r>
    </w:p>
    <w:p w14:paraId="325D4E7D" w14:textId="4098EA0D" w:rsidR="00131E77" w:rsidRPr="00E25C87" w:rsidRDefault="00131E77" w:rsidP="00D66ED0">
      <w:pPr>
        <w:pStyle w:val="Abstract"/>
        <w:tabs>
          <w:tab w:val="left" w:pos="6379"/>
        </w:tabs>
        <w:spacing w:line="276" w:lineRule="auto"/>
        <w:ind w:left="0" w:right="-30"/>
        <w:rPr>
          <w:b/>
          <w:bCs/>
          <w:snapToGrid/>
          <w:sz w:val="24"/>
          <w:lang w:val="en-GB"/>
        </w:rPr>
      </w:pPr>
    </w:p>
    <w:p w14:paraId="62071FED" w14:textId="44021423" w:rsidR="00272FF7" w:rsidRPr="00E25C87" w:rsidRDefault="00272FF7" w:rsidP="00BA3D61">
      <w:pPr>
        <w:pStyle w:val="Abstract"/>
        <w:numPr>
          <w:ilvl w:val="1"/>
          <w:numId w:val="44"/>
        </w:numPr>
        <w:tabs>
          <w:tab w:val="left" w:pos="6379"/>
        </w:tabs>
        <w:spacing w:line="276" w:lineRule="auto"/>
        <w:ind w:right="-30"/>
        <w:rPr>
          <w:b/>
          <w:bCs/>
          <w:snapToGrid/>
          <w:sz w:val="24"/>
          <w:lang w:val="en-GB"/>
        </w:rPr>
      </w:pPr>
      <w:r w:rsidRPr="00E25C87">
        <w:rPr>
          <w:b/>
          <w:bCs/>
          <w:snapToGrid/>
          <w:sz w:val="22"/>
          <w:szCs w:val="22"/>
          <w:lang w:val="en-GB"/>
        </w:rPr>
        <w:t>Material and Methods</w:t>
      </w:r>
      <w:r w:rsidRPr="00E25C87">
        <w:rPr>
          <w:b/>
          <w:bCs/>
          <w:snapToGrid/>
          <w:sz w:val="24"/>
          <w:lang w:val="en-GB"/>
        </w:rPr>
        <w:t xml:space="preserve"> </w:t>
      </w:r>
    </w:p>
    <w:p w14:paraId="641991FA" w14:textId="22260F34" w:rsidR="00BA3D61" w:rsidRPr="00E25C87" w:rsidRDefault="00BA3D61" w:rsidP="00BA3D61">
      <w:pPr>
        <w:pStyle w:val="Abstract"/>
        <w:tabs>
          <w:tab w:val="left" w:pos="6379"/>
        </w:tabs>
        <w:spacing w:line="276" w:lineRule="auto"/>
        <w:ind w:right="-30"/>
        <w:rPr>
          <w:b/>
          <w:bCs/>
          <w:snapToGrid/>
          <w:sz w:val="24"/>
          <w:lang w:val="en-GB"/>
        </w:rPr>
      </w:pPr>
    </w:p>
    <w:p w14:paraId="3B23C1AD" w14:textId="5857C32F" w:rsidR="003215D6" w:rsidRPr="00E25C87" w:rsidRDefault="00682410" w:rsidP="004A758A">
      <w:pPr>
        <w:pStyle w:val="Abstract"/>
        <w:tabs>
          <w:tab w:val="left" w:pos="6379"/>
        </w:tabs>
        <w:spacing w:line="276" w:lineRule="auto"/>
        <w:ind w:left="0" w:right="-30"/>
        <w:rPr>
          <w:snapToGrid/>
          <w:sz w:val="24"/>
          <w:lang w:val="en-GB"/>
        </w:rPr>
      </w:pPr>
      <w:r w:rsidRPr="00E25C87">
        <w:rPr>
          <w:snapToGrid/>
          <w:sz w:val="24"/>
          <w:lang w:val="en-GB"/>
        </w:rPr>
        <w:t xml:space="preserve">This section </w:t>
      </w:r>
      <w:r w:rsidR="003E6F2A" w:rsidRPr="00E25C87">
        <w:rPr>
          <w:snapToGrid/>
          <w:sz w:val="24"/>
          <w:lang w:val="en-GB"/>
        </w:rPr>
        <w:t>provides</w:t>
      </w:r>
      <w:r w:rsidRPr="00E25C87">
        <w:rPr>
          <w:snapToGrid/>
          <w:sz w:val="24"/>
          <w:lang w:val="en-GB"/>
        </w:rPr>
        <w:t xml:space="preserve"> a brief introduction to the Life Cycle Assessment Method that is </w:t>
      </w:r>
      <w:r w:rsidR="002A36A5" w:rsidRPr="00E25C87">
        <w:rPr>
          <w:snapToGrid/>
          <w:sz w:val="24"/>
          <w:lang w:val="en-GB"/>
        </w:rPr>
        <w:t>adopted</w:t>
      </w:r>
      <w:r w:rsidRPr="00E25C87">
        <w:rPr>
          <w:snapToGrid/>
          <w:sz w:val="24"/>
          <w:lang w:val="en-GB"/>
        </w:rPr>
        <w:t xml:space="preserve"> in </w:t>
      </w:r>
      <w:r w:rsidR="00986DC5" w:rsidRPr="00E25C87">
        <w:rPr>
          <w:snapToGrid/>
          <w:sz w:val="24"/>
          <w:lang w:val="en-GB"/>
        </w:rPr>
        <w:t>the present</w:t>
      </w:r>
      <w:r w:rsidRPr="00E25C87">
        <w:rPr>
          <w:snapToGrid/>
          <w:sz w:val="24"/>
          <w:lang w:val="en-GB"/>
        </w:rPr>
        <w:t xml:space="preserve"> study</w:t>
      </w:r>
      <w:r w:rsidR="00B07AFF">
        <w:rPr>
          <w:snapToGrid/>
          <w:sz w:val="24"/>
          <w:lang w:val="en-GB"/>
        </w:rPr>
        <w:t xml:space="preserve"> jointly</w:t>
      </w:r>
      <w:r w:rsidR="00986DC5" w:rsidRPr="00E25C87">
        <w:rPr>
          <w:snapToGrid/>
          <w:sz w:val="24"/>
          <w:lang w:val="en-GB"/>
        </w:rPr>
        <w:t xml:space="preserve"> </w:t>
      </w:r>
      <w:r w:rsidR="00351A4F" w:rsidRPr="00E25C87">
        <w:rPr>
          <w:snapToGrid/>
          <w:sz w:val="24"/>
          <w:lang w:val="en-GB"/>
        </w:rPr>
        <w:t xml:space="preserve">with the MFA. </w:t>
      </w:r>
      <w:r w:rsidR="00680A8B" w:rsidRPr="00E25C87">
        <w:rPr>
          <w:snapToGrid/>
          <w:sz w:val="24"/>
          <w:lang w:val="en-GB"/>
        </w:rPr>
        <w:t>The system under investigation is</w:t>
      </w:r>
      <w:r w:rsidRPr="00E25C87">
        <w:rPr>
          <w:snapToGrid/>
          <w:sz w:val="24"/>
          <w:lang w:val="en-GB"/>
        </w:rPr>
        <w:t xml:space="preserve"> the Regional </w:t>
      </w:r>
      <w:r w:rsidR="004A758A" w:rsidRPr="00E25C87">
        <w:rPr>
          <w:snapToGrid/>
          <w:sz w:val="24"/>
          <w:lang w:val="en-GB"/>
        </w:rPr>
        <w:t>WEEE management</w:t>
      </w:r>
      <w:r w:rsidRPr="00E25C87">
        <w:rPr>
          <w:snapToGrid/>
          <w:sz w:val="24"/>
          <w:lang w:val="en-GB"/>
        </w:rPr>
        <w:t xml:space="preserve"> system</w:t>
      </w:r>
      <w:r w:rsidR="004A758A" w:rsidRPr="00E25C87">
        <w:rPr>
          <w:snapToGrid/>
          <w:sz w:val="24"/>
          <w:lang w:val="en-GB"/>
        </w:rPr>
        <w:t xml:space="preserve"> of Campania Region </w:t>
      </w:r>
      <w:r w:rsidR="008F378A" w:rsidRPr="00E25C87">
        <w:rPr>
          <w:snapToGrid/>
          <w:sz w:val="24"/>
          <w:lang w:val="en-GB"/>
        </w:rPr>
        <w:t>for</w:t>
      </w:r>
      <w:r w:rsidR="004A758A" w:rsidRPr="00E25C87">
        <w:rPr>
          <w:snapToGrid/>
          <w:sz w:val="24"/>
          <w:lang w:val="en-GB"/>
        </w:rPr>
        <w:t xml:space="preserve"> the five categories of</w:t>
      </w:r>
      <w:r w:rsidR="00351A4F" w:rsidRPr="00E25C87">
        <w:rPr>
          <w:snapToGrid/>
          <w:sz w:val="24"/>
          <w:lang w:val="en-GB"/>
        </w:rPr>
        <w:t xml:space="preserve"> collected</w:t>
      </w:r>
      <w:r w:rsidR="004A758A" w:rsidRPr="00E25C87">
        <w:rPr>
          <w:snapToGrid/>
          <w:sz w:val="24"/>
          <w:lang w:val="en-GB"/>
        </w:rPr>
        <w:t xml:space="preserve"> WEEE</w:t>
      </w:r>
      <w:r w:rsidR="000E758C" w:rsidRPr="00E25C87">
        <w:rPr>
          <w:snapToGrid/>
          <w:sz w:val="24"/>
          <w:lang w:val="en-GB"/>
        </w:rPr>
        <w:t xml:space="preserve"> (R1, R2, R3, R4 and R5)</w:t>
      </w:r>
      <w:r w:rsidR="004A758A" w:rsidRPr="00E25C87">
        <w:rPr>
          <w:snapToGrid/>
          <w:sz w:val="24"/>
          <w:lang w:val="en-GB"/>
        </w:rPr>
        <w:t xml:space="preserve"> </w:t>
      </w:r>
      <w:r w:rsidR="008F378A" w:rsidRPr="00E25C87">
        <w:rPr>
          <w:snapToGrid/>
          <w:sz w:val="24"/>
          <w:lang w:val="en-GB"/>
        </w:rPr>
        <w:t xml:space="preserve">in </w:t>
      </w:r>
      <w:r w:rsidR="004A758A" w:rsidRPr="00E25C87">
        <w:rPr>
          <w:snapToGrid/>
          <w:sz w:val="24"/>
          <w:lang w:val="en-GB"/>
        </w:rPr>
        <w:t>the year 202</w:t>
      </w:r>
      <w:r w:rsidR="00351A4F" w:rsidRPr="00E25C87">
        <w:rPr>
          <w:snapToGrid/>
          <w:sz w:val="24"/>
          <w:lang w:val="en-GB"/>
        </w:rPr>
        <w:t>0</w:t>
      </w:r>
      <w:r w:rsidR="004A758A" w:rsidRPr="00E25C87">
        <w:rPr>
          <w:snapToGrid/>
          <w:sz w:val="24"/>
          <w:lang w:val="en-GB"/>
        </w:rPr>
        <w:t xml:space="preserve">. </w:t>
      </w:r>
    </w:p>
    <w:p w14:paraId="5D07A625" w14:textId="262D55E5" w:rsidR="00BA3D61" w:rsidRPr="00E25C87" w:rsidRDefault="004A758A" w:rsidP="008F378A">
      <w:pPr>
        <w:pStyle w:val="Abstract"/>
        <w:tabs>
          <w:tab w:val="left" w:pos="6379"/>
        </w:tabs>
        <w:spacing w:line="276" w:lineRule="auto"/>
        <w:ind w:left="0" w:right="-30"/>
        <w:rPr>
          <w:b/>
          <w:bCs/>
          <w:snapToGrid/>
          <w:sz w:val="24"/>
          <w:lang w:val="en-GB"/>
        </w:rPr>
      </w:pPr>
      <w:r w:rsidRPr="00E25C87">
        <w:rPr>
          <w:snapToGrid/>
          <w:sz w:val="24"/>
          <w:lang w:val="en-GB"/>
        </w:rPr>
        <w:t xml:space="preserve">As applied by </w:t>
      </w:r>
      <w:r w:rsidR="00F25FBD" w:rsidRPr="00E25C87">
        <w:rPr>
          <w:snapToGrid/>
          <w:sz w:val="24"/>
          <w:lang w:val="en-GB"/>
        </w:rPr>
        <w:t xml:space="preserve">the </w:t>
      </w:r>
      <w:r w:rsidRPr="00E25C87">
        <w:rPr>
          <w:snapToGrid/>
          <w:sz w:val="24"/>
          <w:lang w:val="en-GB"/>
        </w:rPr>
        <w:t xml:space="preserve">previous literature (Biganzoli et al., 2015) each one of the five categories of WEEE have been </w:t>
      </w:r>
      <w:r w:rsidR="003215D6" w:rsidRPr="00E25C87">
        <w:rPr>
          <w:snapToGrid/>
          <w:sz w:val="24"/>
          <w:lang w:val="en-GB"/>
        </w:rPr>
        <w:t>analyzed separately</w:t>
      </w:r>
      <w:r w:rsidR="007F3B7E" w:rsidRPr="00E25C87">
        <w:rPr>
          <w:snapToGrid/>
          <w:sz w:val="24"/>
          <w:lang w:val="en-GB"/>
        </w:rPr>
        <w:t xml:space="preserve"> as well as </w:t>
      </w:r>
      <w:r w:rsidR="00B41D35" w:rsidRPr="00E25C87">
        <w:rPr>
          <w:snapToGrid/>
          <w:sz w:val="24"/>
          <w:lang w:val="en-GB"/>
        </w:rPr>
        <w:t>jointly</w:t>
      </w:r>
      <w:r w:rsidR="00F25FBD" w:rsidRPr="00E25C87">
        <w:rPr>
          <w:snapToGrid/>
          <w:sz w:val="24"/>
          <w:lang w:val="en-GB"/>
        </w:rPr>
        <w:t xml:space="preserve">. </w:t>
      </w:r>
      <w:r w:rsidR="00865675" w:rsidRPr="00E25C87">
        <w:rPr>
          <w:snapToGrid/>
          <w:sz w:val="24"/>
          <w:lang w:val="en-GB"/>
        </w:rPr>
        <w:t xml:space="preserve"> </w:t>
      </w:r>
      <w:r w:rsidR="00BC7A74" w:rsidRPr="00E25C87">
        <w:rPr>
          <w:snapToGrid/>
          <w:sz w:val="24"/>
          <w:lang w:val="en-GB"/>
        </w:rPr>
        <w:t>T</w:t>
      </w:r>
      <w:r w:rsidR="00AF45AB" w:rsidRPr="00E25C87">
        <w:rPr>
          <w:snapToGrid/>
          <w:sz w:val="24"/>
          <w:lang w:val="en-GB"/>
        </w:rPr>
        <w:t>h</w:t>
      </w:r>
      <w:r w:rsidR="00F25FBD" w:rsidRPr="00E25C87">
        <w:rPr>
          <w:snapToGrid/>
          <w:sz w:val="24"/>
          <w:lang w:val="en-GB"/>
        </w:rPr>
        <w:t>e present</w:t>
      </w:r>
      <w:r w:rsidR="00AF45AB" w:rsidRPr="00E25C87">
        <w:rPr>
          <w:snapToGrid/>
          <w:sz w:val="24"/>
          <w:lang w:val="en-GB"/>
        </w:rPr>
        <w:t xml:space="preserve"> study shows the preliminary results of the recovery processes for the categor</w:t>
      </w:r>
      <w:r w:rsidR="00D60B36" w:rsidRPr="00E25C87">
        <w:rPr>
          <w:snapToGrid/>
          <w:sz w:val="24"/>
          <w:lang w:val="en-GB"/>
        </w:rPr>
        <w:t>ies</w:t>
      </w:r>
      <w:r w:rsidR="00AF45AB" w:rsidRPr="00E25C87">
        <w:rPr>
          <w:snapToGrid/>
          <w:sz w:val="24"/>
          <w:lang w:val="en-GB"/>
        </w:rPr>
        <w:t xml:space="preserve"> R1 and R2 of WEEE and consider</w:t>
      </w:r>
      <w:r w:rsidR="00D60B36" w:rsidRPr="00E25C87">
        <w:rPr>
          <w:snapToGrid/>
          <w:sz w:val="24"/>
          <w:lang w:val="en-GB"/>
        </w:rPr>
        <w:t>s</w:t>
      </w:r>
      <w:r w:rsidR="00AF45AB" w:rsidRPr="00E25C87">
        <w:rPr>
          <w:snapToGrid/>
          <w:sz w:val="24"/>
          <w:lang w:val="en-GB"/>
        </w:rPr>
        <w:t xml:space="preserve"> the treatment process </w:t>
      </w:r>
      <w:r w:rsidR="00F25FBD" w:rsidRPr="00E25C87">
        <w:rPr>
          <w:snapToGrid/>
          <w:sz w:val="24"/>
          <w:lang w:val="en-GB"/>
        </w:rPr>
        <w:lastRenderedPageBreak/>
        <w:t xml:space="preserve">performed in the first treatment plants </w:t>
      </w:r>
      <w:r w:rsidR="00AF45AB" w:rsidRPr="00E25C87">
        <w:rPr>
          <w:snapToGrid/>
          <w:sz w:val="24"/>
          <w:lang w:val="en-GB"/>
        </w:rPr>
        <w:t>involving the dismantling of the WEEE</w:t>
      </w:r>
      <w:r w:rsidR="00F25FBD" w:rsidRPr="00E25C87">
        <w:rPr>
          <w:snapToGrid/>
          <w:sz w:val="24"/>
          <w:lang w:val="en-GB"/>
        </w:rPr>
        <w:t xml:space="preserve">, </w:t>
      </w:r>
      <w:r w:rsidR="003331B5" w:rsidRPr="00E25C87">
        <w:rPr>
          <w:snapToGrid/>
          <w:sz w:val="24"/>
          <w:lang w:val="en-GB"/>
        </w:rPr>
        <w:t xml:space="preserve">the </w:t>
      </w:r>
      <w:r w:rsidR="00AF45AB" w:rsidRPr="00E25C87">
        <w:rPr>
          <w:snapToGrid/>
          <w:sz w:val="24"/>
          <w:lang w:val="en-GB"/>
        </w:rPr>
        <w:t>separation of the main components</w:t>
      </w:r>
      <w:r w:rsidR="003331B5" w:rsidRPr="00E25C87">
        <w:rPr>
          <w:snapToGrid/>
          <w:sz w:val="24"/>
          <w:lang w:val="en-GB"/>
        </w:rPr>
        <w:t xml:space="preserve"> (such as </w:t>
      </w:r>
      <w:r w:rsidR="00F25FBD" w:rsidRPr="00E25C87">
        <w:rPr>
          <w:snapToGrid/>
          <w:sz w:val="24"/>
          <w:lang w:val="en-GB"/>
        </w:rPr>
        <w:t>e.g.,</w:t>
      </w:r>
      <w:r w:rsidR="003331B5" w:rsidRPr="00E25C87">
        <w:rPr>
          <w:snapToGrid/>
          <w:sz w:val="24"/>
          <w:lang w:val="en-GB"/>
        </w:rPr>
        <w:t xml:space="preserve"> cables, compressors, motors, capacitors, </w:t>
      </w:r>
      <w:r w:rsidR="00F25FBD" w:rsidRPr="00E25C87">
        <w:rPr>
          <w:snapToGrid/>
          <w:sz w:val="24"/>
          <w:lang w:val="en-GB"/>
        </w:rPr>
        <w:t>etcetera</w:t>
      </w:r>
      <w:r w:rsidR="003331B5" w:rsidRPr="00E25C87">
        <w:rPr>
          <w:snapToGrid/>
          <w:sz w:val="24"/>
          <w:lang w:val="en-GB"/>
        </w:rPr>
        <w:t>)</w:t>
      </w:r>
      <w:r w:rsidR="00F25FBD" w:rsidRPr="00E25C87">
        <w:rPr>
          <w:snapToGrid/>
          <w:sz w:val="24"/>
          <w:lang w:val="en-GB"/>
        </w:rPr>
        <w:t xml:space="preserve"> and the recovery of the materials</w:t>
      </w:r>
      <w:r w:rsidR="003331B5" w:rsidRPr="00E25C87">
        <w:rPr>
          <w:snapToGrid/>
          <w:sz w:val="24"/>
          <w:lang w:val="en-GB"/>
        </w:rPr>
        <w:t xml:space="preserve">. </w:t>
      </w:r>
      <w:r w:rsidR="00F25FBD" w:rsidRPr="00E25C87">
        <w:rPr>
          <w:snapToGrid/>
          <w:sz w:val="24"/>
          <w:lang w:val="en-GB"/>
        </w:rPr>
        <w:t>Actually,</w:t>
      </w:r>
      <w:r w:rsidR="003331B5" w:rsidRPr="00E25C87">
        <w:rPr>
          <w:snapToGrid/>
          <w:sz w:val="24"/>
          <w:lang w:val="en-GB"/>
        </w:rPr>
        <w:t xml:space="preserve"> the study aims at providing the results for all the other WEEE categories </w:t>
      </w:r>
      <w:r w:rsidR="00D60B36" w:rsidRPr="00E25C87">
        <w:rPr>
          <w:snapToGrid/>
          <w:sz w:val="24"/>
          <w:lang w:val="en-GB"/>
        </w:rPr>
        <w:t xml:space="preserve">(R3, R4 and R5) in Campania Region </w:t>
      </w:r>
      <w:r w:rsidR="003331B5" w:rsidRPr="00E25C87">
        <w:rPr>
          <w:snapToGrid/>
          <w:sz w:val="24"/>
          <w:lang w:val="en-GB"/>
        </w:rPr>
        <w:t xml:space="preserve">and </w:t>
      </w:r>
      <w:r w:rsidR="00D60B36" w:rsidRPr="00E25C87">
        <w:rPr>
          <w:snapToGrid/>
          <w:sz w:val="24"/>
          <w:lang w:val="en-GB"/>
        </w:rPr>
        <w:t xml:space="preserve">additional processing </w:t>
      </w:r>
      <w:r w:rsidR="003331B5" w:rsidRPr="00E25C87">
        <w:rPr>
          <w:snapToGrid/>
          <w:sz w:val="24"/>
          <w:lang w:val="en-GB"/>
        </w:rPr>
        <w:t>stages after</w:t>
      </w:r>
      <w:r w:rsidR="00F25FBD" w:rsidRPr="00E25C87">
        <w:rPr>
          <w:snapToGrid/>
          <w:sz w:val="24"/>
          <w:lang w:val="en-GB"/>
        </w:rPr>
        <w:t xml:space="preserve"> those performed in</w:t>
      </w:r>
      <w:r w:rsidR="003331B5" w:rsidRPr="00E25C87">
        <w:rPr>
          <w:snapToGrid/>
          <w:sz w:val="24"/>
          <w:lang w:val="en-GB"/>
        </w:rPr>
        <w:t xml:space="preserve"> the first treatment plants</w:t>
      </w:r>
      <w:r w:rsidR="00D60B36" w:rsidRPr="00E25C87">
        <w:rPr>
          <w:snapToGrid/>
          <w:sz w:val="24"/>
          <w:lang w:val="en-GB"/>
        </w:rPr>
        <w:t>,</w:t>
      </w:r>
      <w:r w:rsidR="003331B5" w:rsidRPr="00E25C87">
        <w:rPr>
          <w:snapToGrid/>
          <w:sz w:val="24"/>
          <w:lang w:val="en-GB"/>
        </w:rPr>
        <w:t xml:space="preserve"> </w:t>
      </w:r>
      <w:r w:rsidR="00F25FBD" w:rsidRPr="00E25C87">
        <w:rPr>
          <w:snapToGrid/>
          <w:sz w:val="24"/>
          <w:lang w:val="en-GB"/>
        </w:rPr>
        <w:t xml:space="preserve">also showing the </w:t>
      </w:r>
      <w:r w:rsidR="003331B5" w:rsidRPr="00E25C87">
        <w:rPr>
          <w:snapToGrid/>
          <w:sz w:val="24"/>
          <w:lang w:val="en-GB"/>
        </w:rPr>
        <w:t>separati</w:t>
      </w:r>
      <w:r w:rsidR="00F25FBD" w:rsidRPr="00E25C87">
        <w:rPr>
          <w:snapToGrid/>
          <w:sz w:val="24"/>
          <w:lang w:val="en-GB"/>
        </w:rPr>
        <w:t>on of</w:t>
      </w:r>
      <w:r w:rsidR="003331B5" w:rsidRPr="00E25C87">
        <w:rPr>
          <w:snapToGrid/>
          <w:sz w:val="24"/>
          <w:lang w:val="en-GB"/>
        </w:rPr>
        <w:t xml:space="preserve"> all the </w:t>
      </w:r>
      <w:r w:rsidR="00F25FBD" w:rsidRPr="00E25C87">
        <w:rPr>
          <w:snapToGrid/>
          <w:sz w:val="24"/>
          <w:lang w:val="en-GB"/>
        </w:rPr>
        <w:t>above-mentioned</w:t>
      </w:r>
      <w:r w:rsidR="003331B5" w:rsidRPr="00E25C87">
        <w:rPr>
          <w:snapToGrid/>
          <w:sz w:val="24"/>
          <w:lang w:val="en-GB"/>
        </w:rPr>
        <w:t xml:space="preserve"> components into their constituent materials (iron, steel, copper, plastic, precious materials, </w:t>
      </w:r>
      <w:r w:rsidR="00F25FBD" w:rsidRPr="00E25C87">
        <w:rPr>
          <w:snapToGrid/>
          <w:sz w:val="24"/>
          <w:lang w:val="en-GB"/>
        </w:rPr>
        <w:t>etcetera</w:t>
      </w:r>
      <w:r w:rsidR="003331B5" w:rsidRPr="00E25C87">
        <w:rPr>
          <w:snapToGrid/>
          <w:sz w:val="24"/>
          <w:lang w:val="en-GB"/>
        </w:rPr>
        <w:t xml:space="preserve">). Further results will be presented later on. </w:t>
      </w:r>
      <w:r w:rsidR="00AF45AB" w:rsidRPr="00E25C87">
        <w:rPr>
          <w:snapToGrid/>
          <w:sz w:val="24"/>
          <w:lang w:val="en-GB"/>
        </w:rPr>
        <w:t xml:space="preserve"> </w:t>
      </w:r>
    </w:p>
    <w:p w14:paraId="190829D6" w14:textId="3EB93870" w:rsidR="00272FF7" w:rsidRPr="00E25C87" w:rsidRDefault="00272FF7" w:rsidP="00D66ED0">
      <w:pPr>
        <w:pStyle w:val="Abstract"/>
        <w:tabs>
          <w:tab w:val="left" w:pos="6379"/>
        </w:tabs>
        <w:spacing w:line="276" w:lineRule="auto"/>
        <w:ind w:left="0" w:right="-30"/>
        <w:rPr>
          <w:b/>
          <w:bCs/>
          <w:snapToGrid/>
          <w:sz w:val="24"/>
          <w:lang w:val="en-GB"/>
        </w:rPr>
      </w:pPr>
    </w:p>
    <w:p w14:paraId="62B6F4D5" w14:textId="727CFE2D" w:rsidR="00272FF7" w:rsidRPr="00E25C87" w:rsidRDefault="00272FF7" w:rsidP="00BA3D61">
      <w:pPr>
        <w:pStyle w:val="Abstract"/>
        <w:numPr>
          <w:ilvl w:val="2"/>
          <w:numId w:val="44"/>
        </w:numPr>
        <w:tabs>
          <w:tab w:val="left" w:pos="6379"/>
        </w:tabs>
        <w:spacing w:line="276" w:lineRule="auto"/>
        <w:ind w:right="-30"/>
        <w:rPr>
          <w:b/>
          <w:bCs/>
          <w:i/>
          <w:iCs/>
          <w:snapToGrid/>
          <w:sz w:val="22"/>
          <w:szCs w:val="22"/>
          <w:lang w:val="en-GB"/>
        </w:rPr>
      </w:pPr>
      <w:r w:rsidRPr="00E25C87">
        <w:rPr>
          <w:b/>
          <w:bCs/>
          <w:i/>
          <w:iCs/>
          <w:snapToGrid/>
          <w:sz w:val="22"/>
          <w:szCs w:val="22"/>
          <w:lang w:val="en-GB"/>
        </w:rPr>
        <w:t xml:space="preserve">Life Cycle Assessment </w:t>
      </w:r>
    </w:p>
    <w:p w14:paraId="38676AE7" w14:textId="77777777" w:rsidR="00BA3D61" w:rsidRPr="00E25C87" w:rsidRDefault="00BA3D61" w:rsidP="00BA3D61">
      <w:pPr>
        <w:pStyle w:val="Abstract"/>
        <w:tabs>
          <w:tab w:val="left" w:pos="6379"/>
        </w:tabs>
        <w:spacing w:line="276" w:lineRule="auto"/>
        <w:ind w:right="-30"/>
        <w:rPr>
          <w:b/>
          <w:bCs/>
          <w:i/>
          <w:iCs/>
          <w:snapToGrid/>
          <w:sz w:val="22"/>
          <w:szCs w:val="22"/>
          <w:lang w:val="en-GB"/>
        </w:rPr>
      </w:pPr>
    </w:p>
    <w:p w14:paraId="13651492" w14:textId="5DDDB06E" w:rsidR="00272FF7" w:rsidRPr="00E25C87" w:rsidRDefault="00073CDE" w:rsidP="00D66ED0">
      <w:pPr>
        <w:pStyle w:val="Abstract"/>
        <w:tabs>
          <w:tab w:val="left" w:pos="6379"/>
        </w:tabs>
        <w:spacing w:line="276" w:lineRule="auto"/>
        <w:ind w:left="0" w:right="-30"/>
        <w:rPr>
          <w:snapToGrid/>
          <w:sz w:val="24"/>
          <w:lang w:val="en-GB"/>
        </w:rPr>
      </w:pPr>
      <w:r w:rsidRPr="00E25C87">
        <w:rPr>
          <w:snapToGrid/>
          <w:sz w:val="24"/>
          <w:lang w:val="en-GB"/>
        </w:rPr>
        <w:t>The Life Cycle Assessment Method is performed taking into account the standard ISO 14040:2006 that is the reference framework for applying the LCA. The ISO 14040:2006 suggests the following four stages for an LCA study: Goal and scope, Inventory analysis, Impact Assessment and Interpretation.</w:t>
      </w:r>
    </w:p>
    <w:p w14:paraId="330E1D11" w14:textId="77777777" w:rsidR="00073CDE" w:rsidRPr="00E25C87" w:rsidRDefault="00073CDE" w:rsidP="00D66ED0">
      <w:pPr>
        <w:pStyle w:val="Abstract"/>
        <w:tabs>
          <w:tab w:val="left" w:pos="6379"/>
        </w:tabs>
        <w:spacing w:line="276" w:lineRule="auto"/>
        <w:ind w:left="0" w:right="-30"/>
        <w:rPr>
          <w:b/>
          <w:bCs/>
          <w:snapToGrid/>
          <w:sz w:val="24"/>
          <w:lang w:val="en-GB"/>
        </w:rPr>
      </w:pPr>
    </w:p>
    <w:p w14:paraId="5E8134DB" w14:textId="79FB4F04" w:rsidR="00272FF7" w:rsidRPr="00E25C87" w:rsidRDefault="00272FF7" w:rsidP="00BA3D61">
      <w:pPr>
        <w:pStyle w:val="Abstract"/>
        <w:numPr>
          <w:ilvl w:val="3"/>
          <w:numId w:val="44"/>
        </w:numPr>
        <w:tabs>
          <w:tab w:val="left" w:pos="6379"/>
        </w:tabs>
        <w:spacing w:line="276" w:lineRule="auto"/>
        <w:ind w:right="-30"/>
        <w:rPr>
          <w:i/>
          <w:iCs/>
          <w:snapToGrid/>
          <w:sz w:val="22"/>
          <w:szCs w:val="22"/>
          <w:lang w:val="en-GB"/>
        </w:rPr>
      </w:pPr>
      <w:r w:rsidRPr="00E25C87">
        <w:rPr>
          <w:i/>
          <w:iCs/>
          <w:snapToGrid/>
          <w:sz w:val="22"/>
          <w:szCs w:val="22"/>
          <w:lang w:val="en-GB"/>
        </w:rPr>
        <w:t xml:space="preserve">Goal and Scope Definition </w:t>
      </w:r>
    </w:p>
    <w:p w14:paraId="56619E1B" w14:textId="2F2ABD5E" w:rsidR="00BA3D61" w:rsidRPr="00E25C87" w:rsidRDefault="00BA3D61" w:rsidP="00BA3D61">
      <w:pPr>
        <w:pStyle w:val="Abstract"/>
        <w:tabs>
          <w:tab w:val="left" w:pos="6379"/>
        </w:tabs>
        <w:spacing w:line="276" w:lineRule="auto"/>
        <w:ind w:right="-30"/>
        <w:rPr>
          <w:i/>
          <w:iCs/>
          <w:snapToGrid/>
          <w:sz w:val="22"/>
          <w:szCs w:val="22"/>
          <w:lang w:val="en-GB"/>
        </w:rPr>
      </w:pPr>
    </w:p>
    <w:p w14:paraId="6E031390" w14:textId="130FB3DD" w:rsidR="00F0580A" w:rsidRPr="00E25C87" w:rsidRDefault="008F378A" w:rsidP="00BA3D61">
      <w:pPr>
        <w:spacing w:line="276" w:lineRule="auto"/>
        <w:rPr>
          <w:sz w:val="24"/>
          <w:szCs w:val="24"/>
          <w:lang w:val="en-GB"/>
        </w:rPr>
      </w:pPr>
      <w:r w:rsidRPr="00E25C87">
        <w:rPr>
          <w:sz w:val="24"/>
          <w:szCs w:val="24"/>
          <w:lang w:val="en-GB"/>
        </w:rPr>
        <w:t xml:space="preserve">The main goals of this LCA study are </w:t>
      </w:r>
      <w:r w:rsidR="0033281A" w:rsidRPr="00E25C87">
        <w:rPr>
          <w:sz w:val="24"/>
          <w:szCs w:val="24"/>
          <w:lang w:val="en-GB"/>
        </w:rPr>
        <w:t xml:space="preserve">the evaluation of the environmental </w:t>
      </w:r>
      <w:r w:rsidR="005F6023" w:rsidRPr="00E25C87">
        <w:rPr>
          <w:sz w:val="24"/>
          <w:szCs w:val="24"/>
          <w:lang w:val="en-GB"/>
        </w:rPr>
        <w:t>impacts associated to the collection of the five categories of WEEE of Campania Region and their recovery</w:t>
      </w:r>
      <w:r w:rsidR="00082690" w:rsidRPr="00E25C87">
        <w:rPr>
          <w:sz w:val="24"/>
          <w:szCs w:val="24"/>
          <w:lang w:val="en-GB"/>
        </w:rPr>
        <w:t xml:space="preserve"> and by this improving the transparency of the life cycle of the WEEE collected at </w:t>
      </w:r>
      <w:r w:rsidR="00F0580A" w:rsidRPr="00E25C87">
        <w:rPr>
          <w:sz w:val="24"/>
          <w:szCs w:val="24"/>
          <w:lang w:val="en-GB"/>
        </w:rPr>
        <w:t>Regional</w:t>
      </w:r>
      <w:r w:rsidR="00082690" w:rsidRPr="00E25C87">
        <w:rPr>
          <w:sz w:val="24"/>
          <w:szCs w:val="24"/>
          <w:lang w:val="en-GB"/>
        </w:rPr>
        <w:t xml:space="preserve"> level in a perspective of sustainability</w:t>
      </w:r>
      <w:r w:rsidR="00F0580A" w:rsidRPr="00E25C87">
        <w:rPr>
          <w:sz w:val="24"/>
          <w:szCs w:val="24"/>
          <w:lang w:val="en-GB"/>
        </w:rPr>
        <w:t xml:space="preserve"> according to the three dimensions and a just transition to the circular economy.</w:t>
      </w:r>
      <w:r w:rsidR="00082690" w:rsidRPr="00E25C87">
        <w:rPr>
          <w:sz w:val="24"/>
          <w:szCs w:val="24"/>
          <w:lang w:val="en-GB"/>
        </w:rPr>
        <w:t xml:space="preserve"> </w:t>
      </w:r>
    </w:p>
    <w:p w14:paraId="1A10F691" w14:textId="2C3EA5F9" w:rsidR="008F378A" w:rsidRPr="00E25C87" w:rsidRDefault="00DB163E" w:rsidP="00BA3D61">
      <w:pPr>
        <w:spacing w:line="276" w:lineRule="auto"/>
        <w:rPr>
          <w:sz w:val="24"/>
          <w:szCs w:val="24"/>
          <w:lang w:val="en-GB"/>
        </w:rPr>
      </w:pPr>
      <w:r w:rsidRPr="00E25C87">
        <w:rPr>
          <w:sz w:val="24"/>
          <w:szCs w:val="24"/>
          <w:lang w:val="en-GB"/>
        </w:rPr>
        <w:t xml:space="preserve">The stages included in this LCA study are the following: </w:t>
      </w:r>
    </w:p>
    <w:p w14:paraId="37DD8451" w14:textId="6833325D" w:rsidR="00DB163E" w:rsidRPr="00E25C87" w:rsidRDefault="00DB163E" w:rsidP="001A4672">
      <w:pPr>
        <w:pStyle w:val="Paragrafoelenco"/>
        <w:numPr>
          <w:ilvl w:val="0"/>
          <w:numId w:val="46"/>
        </w:numPr>
        <w:spacing w:line="276" w:lineRule="auto"/>
        <w:ind w:hanging="436"/>
        <w:rPr>
          <w:sz w:val="24"/>
          <w:szCs w:val="24"/>
          <w:lang w:val="en-GB"/>
        </w:rPr>
      </w:pPr>
      <w:r w:rsidRPr="00E25C87">
        <w:rPr>
          <w:sz w:val="24"/>
          <w:szCs w:val="24"/>
          <w:lang w:val="en-GB"/>
        </w:rPr>
        <w:t>Collection of the WEEE in the five provinces of Campania Region</w:t>
      </w:r>
      <w:r w:rsidR="00082690" w:rsidRPr="00E25C87">
        <w:rPr>
          <w:sz w:val="24"/>
          <w:szCs w:val="24"/>
          <w:lang w:val="en-GB"/>
        </w:rPr>
        <w:t xml:space="preserve"> (Naples, Caserta, Benevento, Avellino and Salerno)</w:t>
      </w:r>
      <w:r w:rsidRPr="00E25C87">
        <w:rPr>
          <w:sz w:val="24"/>
          <w:szCs w:val="24"/>
          <w:lang w:val="en-GB"/>
        </w:rPr>
        <w:t xml:space="preserve"> and </w:t>
      </w:r>
      <w:r w:rsidR="00082690" w:rsidRPr="00E25C87">
        <w:rPr>
          <w:sz w:val="24"/>
          <w:szCs w:val="24"/>
          <w:lang w:val="en-GB"/>
        </w:rPr>
        <w:t>their t</w:t>
      </w:r>
      <w:r w:rsidRPr="00E25C87">
        <w:rPr>
          <w:sz w:val="24"/>
          <w:szCs w:val="24"/>
          <w:lang w:val="en-GB"/>
        </w:rPr>
        <w:t xml:space="preserve">ransport outside the </w:t>
      </w:r>
      <w:r w:rsidR="00082690" w:rsidRPr="00E25C87">
        <w:rPr>
          <w:sz w:val="24"/>
          <w:szCs w:val="24"/>
          <w:lang w:val="en-GB"/>
        </w:rPr>
        <w:t>R</w:t>
      </w:r>
      <w:r w:rsidRPr="00E25C87">
        <w:rPr>
          <w:sz w:val="24"/>
          <w:szCs w:val="24"/>
          <w:lang w:val="en-GB"/>
        </w:rPr>
        <w:t>egion</w:t>
      </w:r>
      <w:r w:rsidR="00082690" w:rsidRPr="00E25C87">
        <w:rPr>
          <w:sz w:val="24"/>
          <w:szCs w:val="24"/>
          <w:lang w:val="en-GB"/>
        </w:rPr>
        <w:t xml:space="preserve"> towards the first treatment plants;</w:t>
      </w:r>
      <w:r w:rsidRPr="00E25C87">
        <w:rPr>
          <w:sz w:val="24"/>
          <w:szCs w:val="24"/>
          <w:lang w:val="en-GB"/>
        </w:rPr>
        <w:t xml:space="preserve"> </w:t>
      </w:r>
    </w:p>
    <w:p w14:paraId="549619B0" w14:textId="0E592BE9" w:rsidR="008F378A" w:rsidRPr="00E25C87" w:rsidRDefault="00DB163E" w:rsidP="001A4672">
      <w:pPr>
        <w:pStyle w:val="Paragrafoelenco"/>
        <w:numPr>
          <w:ilvl w:val="0"/>
          <w:numId w:val="46"/>
        </w:numPr>
        <w:spacing w:line="276" w:lineRule="auto"/>
        <w:ind w:left="709" w:hanging="425"/>
        <w:rPr>
          <w:sz w:val="24"/>
          <w:szCs w:val="24"/>
          <w:lang w:val="en-GB"/>
        </w:rPr>
      </w:pPr>
      <w:r w:rsidRPr="00E25C87">
        <w:rPr>
          <w:sz w:val="24"/>
          <w:szCs w:val="24"/>
          <w:lang w:val="en-GB"/>
        </w:rPr>
        <w:t>Recovery of the WEEE in the first treatment plant</w:t>
      </w:r>
      <w:r w:rsidR="00142884" w:rsidRPr="00E25C87">
        <w:rPr>
          <w:sz w:val="24"/>
          <w:szCs w:val="24"/>
          <w:lang w:val="en-GB"/>
        </w:rPr>
        <w:t>s</w:t>
      </w:r>
      <w:r w:rsidRPr="00E25C87">
        <w:rPr>
          <w:sz w:val="24"/>
          <w:szCs w:val="24"/>
          <w:lang w:val="en-GB"/>
        </w:rPr>
        <w:t xml:space="preserve"> </w:t>
      </w:r>
      <w:r w:rsidR="00142884" w:rsidRPr="00E25C87">
        <w:rPr>
          <w:sz w:val="24"/>
          <w:szCs w:val="24"/>
          <w:lang w:val="en-GB"/>
        </w:rPr>
        <w:t xml:space="preserve">mainly </w:t>
      </w:r>
      <w:r w:rsidRPr="00E25C87">
        <w:rPr>
          <w:sz w:val="24"/>
          <w:szCs w:val="24"/>
          <w:lang w:val="en-GB"/>
        </w:rPr>
        <w:t xml:space="preserve">located in Balvano (Potenza) and Sessano del Molise (Isernia). </w:t>
      </w:r>
      <w:r w:rsidR="00D32E56" w:rsidRPr="00E25C87">
        <w:rPr>
          <w:sz w:val="24"/>
          <w:szCs w:val="24"/>
          <w:lang w:val="en-GB"/>
        </w:rPr>
        <w:t>In overall these two plants treat a relevant share of the WEEE collected in Campania Region. In the year 202</w:t>
      </w:r>
      <w:r w:rsidR="00F72887" w:rsidRPr="00E25C87">
        <w:rPr>
          <w:sz w:val="24"/>
          <w:szCs w:val="24"/>
          <w:lang w:val="en-GB"/>
        </w:rPr>
        <w:t>0</w:t>
      </w:r>
      <w:r w:rsidR="00D32E56" w:rsidRPr="00E25C87">
        <w:rPr>
          <w:sz w:val="24"/>
          <w:szCs w:val="24"/>
          <w:lang w:val="en-GB"/>
        </w:rPr>
        <w:t xml:space="preserve">, they treated about 75% of the total WEEE collected in Campania Region. </w:t>
      </w:r>
      <w:r w:rsidR="00F72887" w:rsidRPr="00E25C87">
        <w:rPr>
          <w:sz w:val="24"/>
          <w:szCs w:val="24"/>
          <w:lang w:val="en-GB"/>
        </w:rPr>
        <w:t>Due</w:t>
      </w:r>
      <w:r w:rsidR="00AD1047" w:rsidRPr="00E25C87">
        <w:rPr>
          <w:sz w:val="24"/>
          <w:szCs w:val="24"/>
          <w:lang w:val="en-GB"/>
        </w:rPr>
        <w:t xml:space="preserve"> to the lack of data </w:t>
      </w:r>
      <w:r w:rsidR="00AD1047" w:rsidRPr="00E25C87">
        <w:rPr>
          <w:sz w:val="24"/>
          <w:szCs w:val="24"/>
          <w:lang w:val="en-GB"/>
        </w:rPr>
        <w:lastRenderedPageBreak/>
        <w:t xml:space="preserve">about the other plants treating the </w:t>
      </w:r>
      <w:r w:rsidR="00D60B36" w:rsidRPr="00E25C87">
        <w:rPr>
          <w:sz w:val="24"/>
          <w:szCs w:val="24"/>
          <w:lang w:val="en-GB"/>
        </w:rPr>
        <w:t xml:space="preserve">residual </w:t>
      </w:r>
      <w:r w:rsidR="00AD1047" w:rsidRPr="00E25C87">
        <w:rPr>
          <w:sz w:val="24"/>
          <w:szCs w:val="24"/>
          <w:lang w:val="en-GB"/>
        </w:rPr>
        <w:t>25%</w:t>
      </w:r>
      <w:r w:rsidR="00D60B36" w:rsidRPr="00E25C87">
        <w:rPr>
          <w:sz w:val="24"/>
          <w:szCs w:val="24"/>
          <w:lang w:val="en-GB"/>
        </w:rPr>
        <w:t>,</w:t>
      </w:r>
      <w:r w:rsidR="00AD1047" w:rsidRPr="00E25C87">
        <w:rPr>
          <w:sz w:val="24"/>
          <w:szCs w:val="24"/>
          <w:lang w:val="en-GB"/>
        </w:rPr>
        <w:t xml:space="preserve"> we assumed that they have </w:t>
      </w:r>
      <w:r w:rsidR="00F72887" w:rsidRPr="00E25C87">
        <w:rPr>
          <w:sz w:val="24"/>
          <w:szCs w:val="24"/>
          <w:lang w:val="en-GB"/>
        </w:rPr>
        <w:t xml:space="preserve">been treated in plants with similar </w:t>
      </w:r>
      <w:r w:rsidR="00B218AA" w:rsidRPr="00E25C87">
        <w:rPr>
          <w:sz w:val="24"/>
          <w:szCs w:val="24"/>
          <w:lang w:val="en-GB"/>
        </w:rPr>
        <w:t xml:space="preserve">characteristics of </w:t>
      </w:r>
      <w:r w:rsidR="00F72887" w:rsidRPr="00E25C87">
        <w:rPr>
          <w:sz w:val="24"/>
          <w:szCs w:val="24"/>
          <w:lang w:val="en-GB"/>
        </w:rPr>
        <w:t xml:space="preserve">the plants of Balvano and Sessano del Molise. </w:t>
      </w:r>
    </w:p>
    <w:p w14:paraId="01FEF8CB" w14:textId="20397093" w:rsidR="00073CDE" w:rsidRPr="00E25C87" w:rsidRDefault="00073CDE" w:rsidP="00073CDE">
      <w:pPr>
        <w:spacing w:line="276" w:lineRule="auto"/>
        <w:rPr>
          <w:sz w:val="24"/>
          <w:szCs w:val="24"/>
          <w:lang w:val="en-GB"/>
        </w:rPr>
      </w:pPr>
      <w:r w:rsidRPr="00E25C87">
        <w:rPr>
          <w:sz w:val="24"/>
          <w:szCs w:val="24"/>
          <w:lang w:val="en-GB"/>
        </w:rPr>
        <w:t>The considered functional unit is 1 tonne of collected and recovered WEEE.</w:t>
      </w:r>
    </w:p>
    <w:p w14:paraId="1E817934" w14:textId="77777777" w:rsidR="00BA3D61" w:rsidRPr="00E25C87" w:rsidRDefault="00BA3D61" w:rsidP="00BA3D61">
      <w:pPr>
        <w:pStyle w:val="Abstract"/>
        <w:tabs>
          <w:tab w:val="left" w:pos="6379"/>
        </w:tabs>
        <w:spacing w:line="276" w:lineRule="auto"/>
        <w:ind w:right="-30"/>
        <w:rPr>
          <w:i/>
          <w:iCs/>
          <w:snapToGrid/>
          <w:sz w:val="22"/>
          <w:szCs w:val="22"/>
          <w:lang w:val="en-GB"/>
        </w:rPr>
      </w:pPr>
    </w:p>
    <w:p w14:paraId="3412C867" w14:textId="3DDC8F56" w:rsidR="00272FF7" w:rsidRPr="00E25C87" w:rsidRDefault="00272FF7" w:rsidP="00D66ED0">
      <w:pPr>
        <w:pStyle w:val="Abstract"/>
        <w:tabs>
          <w:tab w:val="left" w:pos="6379"/>
        </w:tabs>
        <w:spacing w:line="276" w:lineRule="auto"/>
        <w:ind w:left="0" w:right="-30"/>
        <w:rPr>
          <w:i/>
          <w:iCs/>
          <w:snapToGrid/>
          <w:sz w:val="24"/>
          <w:lang w:val="en-GB"/>
        </w:rPr>
      </w:pPr>
      <w:r w:rsidRPr="00E25C87">
        <w:rPr>
          <w:i/>
          <w:iCs/>
          <w:snapToGrid/>
          <w:sz w:val="22"/>
          <w:szCs w:val="22"/>
          <w:lang w:val="en-GB"/>
        </w:rPr>
        <w:t>1.3.1.2 Life Cycle Inventory</w:t>
      </w:r>
      <w:r w:rsidRPr="00E25C87">
        <w:rPr>
          <w:i/>
          <w:iCs/>
          <w:snapToGrid/>
          <w:sz w:val="24"/>
          <w:lang w:val="en-GB"/>
        </w:rPr>
        <w:t xml:space="preserve"> </w:t>
      </w:r>
    </w:p>
    <w:p w14:paraId="1F12D859" w14:textId="77777777" w:rsidR="00272FF7" w:rsidRPr="00E25C87" w:rsidRDefault="00272FF7" w:rsidP="00D66ED0">
      <w:pPr>
        <w:pStyle w:val="Abstract"/>
        <w:tabs>
          <w:tab w:val="left" w:pos="6379"/>
        </w:tabs>
        <w:spacing w:line="276" w:lineRule="auto"/>
        <w:ind w:left="0" w:right="-30"/>
        <w:rPr>
          <w:b/>
          <w:bCs/>
          <w:snapToGrid/>
          <w:sz w:val="24"/>
          <w:lang w:val="en-GB"/>
        </w:rPr>
      </w:pPr>
    </w:p>
    <w:p w14:paraId="53FAEF73" w14:textId="1C5B107C" w:rsidR="005571FB" w:rsidRPr="00E25C87" w:rsidRDefault="005A5AC8" w:rsidP="00D66ED0">
      <w:pPr>
        <w:pStyle w:val="Abstract"/>
        <w:tabs>
          <w:tab w:val="left" w:pos="6379"/>
        </w:tabs>
        <w:spacing w:line="276" w:lineRule="auto"/>
        <w:ind w:left="0" w:right="-30"/>
        <w:rPr>
          <w:snapToGrid/>
          <w:sz w:val="24"/>
          <w:lang w:val="en-GB"/>
        </w:rPr>
      </w:pPr>
      <w:r w:rsidRPr="00E25C87">
        <w:rPr>
          <w:snapToGrid/>
          <w:sz w:val="24"/>
          <w:lang w:val="en-GB"/>
        </w:rPr>
        <w:t>The second stage of the LCA involves</w:t>
      </w:r>
      <w:r w:rsidR="00D32287" w:rsidRPr="00E25C87">
        <w:rPr>
          <w:snapToGrid/>
          <w:sz w:val="24"/>
          <w:lang w:val="en-GB"/>
        </w:rPr>
        <w:t xml:space="preserve"> the definition of the boundaries of the system</w:t>
      </w:r>
      <w:r w:rsidR="00DB7838">
        <w:rPr>
          <w:snapToGrid/>
          <w:sz w:val="24"/>
          <w:lang w:val="en-GB"/>
        </w:rPr>
        <w:t>,</w:t>
      </w:r>
      <w:r w:rsidR="00D32287" w:rsidRPr="00E25C87">
        <w:rPr>
          <w:snapToGrid/>
          <w:sz w:val="24"/>
          <w:lang w:val="en-GB"/>
        </w:rPr>
        <w:t xml:space="preserve"> </w:t>
      </w:r>
      <w:r w:rsidR="00DB7838">
        <w:rPr>
          <w:snapToGrid/>
          <w:sz w:val="24"/>
          <w:lang w:val="en-GB"/>
        </w:rPr>
        <w:t>to point out</w:t>
      </w:r>
      <w:r w:rsidR="00F944BB" w:rsidRPr="00E25C87">
        <w:rPr>
          <w:snapToGrid/>
          <w:sz w:val="24"/>
          <w:lang w:val="en-GB"/>
        </w:rPr>
        <w:t xml:space="preserve"> the relations between the economic system and the environment (de Bruijn, H. et al., 2002)</w:t>
      </w:r>
      <w:r w:rsidR="00DB7838">
        <w:rPr>
          <w:snapToGrid/>
          <w:sz w:val="24"/>
          <w:lang w:val="en-GB"/>
        </w:rPr>
        <w:t xml:space="preserve">, the </w:t>
      </w:r>
      <w:r w:rsidR="00B07AFF">
        <w:rPr>
          <w:snapToGrid/>
          <w:sz w:val="24"/>
          <w:lang w:val="en-GB"/>
        </w:rPr>
        <w:t xml:space="preserve">material and energy </w:t>
      </w:r>
      <w:r w:rsidR="00DB7838">
        <w:rPr>
          <w:snapToGrid/>
          <w:sz w:val="24"/>
          <w:lang w:val="en-GB"/>
        </w:rPr>
        <w:t xml:space="preserve">inventory of investigated processes as well as </w:t>
      </w:r>
      <w:r w:rsidR="00DB7838" w:rsidRPr="00E25C87">
        <w:rPr>
          <w:snapToGrid/>
          <w:sz w:val="24"/>
          <w:lang w:val="en-GB"/>
        </w:rPr>
        <w:t xml:space="preserve">the definition of </w:t>
      </w:r>
      <w:r w:rsidR="00DB7838">
        <w:rPr>
          <w:snapToGrid/>
          <w:sz w:val="24"/>
          <w:lang w:val="en-GB"/>
        </w:rPr>
        <w:t xml:space="preserve">the </w:t>
      </w:r>
      <w:r w:rsidR="00DB7838" w:rsidRPr="00E25C87">
        <w:rPr>
          <w:snapToGrid/>
          <w:sz w:val="24"/>
          <w:lang w:val="en-GB"/>
        </w:rPr>
        <w:t>product system</w:t>
      </w:r>
      <w:r w:rsidR="003100D7" w:rsidRPr="00E25C87">
        <w:rPr>
          <w:snapToGrid/>
          <w:sz w:val="24"/>
          <w:lang w:val="en-GB"/>
        </w:rPr>
        <w:t>.</w:t>
      </w:r>
      <w:r w:rsidR="00F944BB" w:rsidRPr="00E25C87">
        <w:rPr>
          <w:snapToGrid/>
          <w:sz w:val="24"/>
          <w:lang w:val="en-GB"/>
        </w:rPr>
        <w:t xml:space="preserve"> </w:t>
      </w:r>
      <w:r w:rsidR="00AF3C18" w:rsidRPr="00E25C87">
        <w:rPr>
          <w:snapToGrid/>
          <w:sz w:val="24"/>
          <w:lang w:val="en-GB"/>
        </w:rPr>
        <w:t xml:space="preserve">The </w:t>
      </w:r>
      <w:r w:rsidR="00DB7838">
        <w:rPr>
          <w:snapToGrid/>
          <w:sz w:val="24"/>
          <w:lang w:val="en-GB"/>
        </w:rPr>
        <w:t xml:space="preserve">main </w:t>
      </w:r>
      <w:r w:rsidR="003100D7" w:rsidRPr="00E25C87">
        <w:rPr>
          <w:snapToGrid/>
          <w:sz w:val="24"/>
          <w:lang w:val="en-GB"/>
        </w:rPr>
        <w:t>steps</w:t>
      </w:r>
      <w:r w:rsidR="0029546D" w:rsidRPr="00E25C87">
        <w:rPr>
          <w:snapToGrid/>
          <w:sz w:val="24"/>
          <w:lang w:val="en-GB"/>
        </w:rPr>
        <w:t xml:space="preserve"> in this stage</w:t>
      </w:r>
      <w:r w:rsidR="00AF3C18" w:rsidRPr="00E25C87">
        <w:rPr>
          <w:snapToGrid/>
          <w:sz w:val="24"/>
          <w:lang w:val="en-GB"/>
        </w:rPr>
        <w:t xml:space="preserve"> include</w:t>
      </w:r>
      <w:r w:rsidR="0029546D" w:rsidRPr="00E25C87">
        <w:rPr>
          <w:snapToGrid/>
          <w:sz w:val="24"/>
          <w:lang w:val="en-GB"/>
        </w:rPr>
        <w:t xml:space="preserve"> </w:t>
      </w:r>
      <w:r w:rsidR="00B07AFF">
        <w:rPr>
          <w:snapToGrid/>
          <w:sz w:val="24"/>
          <w:lang w:val="en-GB"/>
        </w:rPr>
        <w:t xml:space="preserve">material flow </w:t>
      </w:r>
      <w:r w:rsidR="00DB7838">
        <w:rPr>
          <w:snapToGrid/>
          <w:sz w:val="24"/>
          <w:lang w:val="en-GB"/>
        </w:rPr>
        <w:t>data</w:t>
      </w:r>
      <w:r w:rsidR="00DB7838" w:rsidRPr="00E25C87">
        <w:rPr>
          <w:snapToGrid/>
          <w:sz w:val="24"/>
          <w:lang w:val="en-GB"/>
        </w:rPr>
        <w:t xml:space="preserve"> </w:t>
      </w:r>
      <w:r w:rsidR="00844298" w:rsidRPr="00E25C87">
        <w:rPr>
          <w:snapToGrid/>
          <w:sz w:val="24"/>
          <w:lang w:val="en-GB"/>
        </w:rPr>
        <w:t xml:space="preserve">collection </w:t>
      </w:r>
      <w:r w:rsidR="0029546D" w:rsidRPr="00E25C87">
        <w:rPr>
          <w:snapToGrid/>
          <w:sz w:val="24"/>
          <w:lang w:val="en-GB"/>
        </w:rPr>
        <w:t>and</w:t>
      </w:r>
      <w:r w:rsidR="00844298" w:rsidRPr="00E25C87">
        <w:rPr>
          <w:snapToGrid/>
          <w:sz w:val="24"/>
          <w:lang w:val="en-GB"/>
        </w:rPr>
        <w:t xml:space="preserve"> the adoption of allocation</w:t>
      </w:r>
      <w:r w:rsidR="00DB7838">
        <w:rPr>
          <w:snapToGrid/>
          <w:sz w:val="24"/>
          <w:lang w:val="en-GB"/>
        </w:rPr>
        <w:t xml:space="preserve"> procedures</w:t>
      </w:r>
      <w:r w:rsidR="00844298" w:rsidRPr="00E25C87">
        <w:rPr>
          <w:snapToGrid/>
          <w:sz w:val="24"/>
          <w:lang w:val="en-GB"/>
        </w:rPr>
        <w:t xml:space="preserve"> in case of multifunctional processes (de Bruijn, H. et al., 2002). The </w:t>
      </w:r>
      <w:r w:rsidR="00DB7838">
        <w:rPr>
          <w:snapToGrid/>
          <w:sz w:val="24"/>
          <w:lang w:val="en-GB"/>
        </w:rPr>
        <w:t xml:space="preserve">input and output </w:t>
      </w:r>
      <w:r w:rsidR="00844298" w:rsidRPr="00E25C87">
        <w:rPr>
          <w:snapToGrid/>
          <w:sz w:val="24"/>
          <w:lang w:val="en-GB"/>
        </w:rPr>
        <w:t>inventor</w:t>
      </w:r>
      <w:r w:rsidR="00DB7838">
        <w:rPr>
          <w:snapToGrid/>
          <w:sz w:val="24"/>
          <w:lang w:val="en-GB"/>
        </w:rPr>
        <w:t>ies</w:t>
      </w:r>
      <w:r w:rsidR="00844298" w:rsidRPr="00E25C87">
        <w:rPr>
          <w:snapToGrid/>
          <w:sz w:val="24"/>
          <w:lang w:val="en-GB"/>
        </w:rPr>
        <w:t xml:space="preserve"> </w:t>
      </w:r>
      <w:r w:rsidR="008C6472" w:rsidRPr="00E25C87">
        <w:rPr>
          <w:snapToGrid/>
          <w:sz w:val="24"/>
          <w:lang w:val="en-GB"/>
        </w:rPr>
        <w:t xml:space="preserve">are </w:t>
      </w:r>
      <w:r w:rsidR="00192D52" w:rsidRPr="00E25C87">
        <w:rPr>
          <w:snapToGrid/>
          <w:sz w:val="24"/>
          <w:lang w:val="en-GB"/>
        </w:rPr>
        <w:t>quantified according to the</w:t>
      </w:r>
      <w:r w:rsidR="00DB7838">
        <w:rPr>
          <w:snapToGrid/>
          <w:sz w:val="24"/>
          <w:lang w:val="en-GB"/>
        </w:rPr>
        <w:t xml:space="preserve"> selected</w:t>
      </w:r>
      <w:r w:rsidR="00192D52" w:rsidRPr="00E25C87">
        <w:rPr>
          <w:snapToGrid/>
          <w:sz w:val="24"/>
          <w:lang w:val="en-GB"/>
        </w:rPr>
        <w:t xml:space="preserve"> functional unit. </w:t>
      </w:r>
    </w:p>
    <w:p w14:paraId="4F70CE6D" w14:textId="75D5FEAB" w:rsidR="00EE6381" w:rsidRPr="00E25C87" w:rsidRDefault="003100D7" w:rsidP="00EE6381">
      <w:pPr>
        <w:pStyle w:val="Abstract"/>
        <w:tabs>
          <w:tab w:val="left" w:pos="6379"/>
        </w:tabs>
        <w:spacing w:line="276" w:lineRule="auto"/>
        <w:ind w:left="0" w:right="-30"/>
        <w:rPr>
          <w:snapToGrid/>
          <w:sz w:val="24"/>
          <w:lang w:val="en-GB"/>
        </w:rPr>
      </w:pPr>
      <w:r w:rsidRPr="00E25C87">
        <w:rPr>
          <w:snapToGrid/>
          <w:sz w:val="24"/>
          <w:lang w:val="en-GB"/>
        </w:rPr>
        <w:t>The data collected in this study are both primary and secondary data</w:t>
      </w:r>
      <w:r w:rsidR="00522FC9" w:rsidRPr="00E25C87">
        <w:rPr>
          <w:snapToGrid/>
          <w:sz w:val="24"/>
          <w:lang w:val="en-GB"/>
        </w:rPr>
        <w:t xml:space="preserve">. The first </w:t>
      </w:r>
      <w:r w:rsidR="00DB7838">
        <w:rPr>
          <w:snapToGrid/>
          <w:sz w:val="24"/>
          <w:lang w:val="en-GB"/>
        </w:rPr>
        <w:t xml:space="preserve">ones </w:t>
      </w:r>
      <w:r w:rsidR="00522FC9" w:rsidRPr="00E25C87">
        <w:rPr>
          <w:snapToGrid/>
          <w:sz w:val="24"/>
          <w:lang w:val="en-GB"/>
        </w:rPr>
        <w:t>regard the annual flows of WEEE collected in Campania Region in the five provinces</w:t>
      </w:r>
      <w:r w:rsidR="005A331D" w:rsidRPr="00E25C87">
        <w:rPr>
          <w:snapToGrid/>
          <w:sz w:val="24"/>
          <w:lang w:val="en-GB"/>
        </w:rPr>
        <w:t xml:space="preserve"> as well as the data about the material input and output flows in the treatment plants</w:t>
      </w:r>
      <w:r w:rsidR="00522FC9" w:rsidRPr="00E25C87">
        <w:rPr>
          <w:snapToGrid/>
          <w:sz w:val="24"/>
          <w:lang w:val="en-GB"/>
        </w:rPr>
        <w:t xml:space="preserve"> </w:t>
      </w:r>
      <w:r w:rsidR="000C618B" w:rsidRPr="00E25C87">
        <w:rPr>
          <w:snapToGrid/>
          <w:sz w:val="24"/>
          <w:lang w:val="en-GB"/>
        </w:rPr>
        <w:t xml:space="preserve">while the secondary data regard in particular the transport stage of the collected WEEE from </w:t>
      </w:r>
      <w:r w:rsidR="00B43CFB" w:rsidRPr="00E25C87">
        <w:rPr>
          <w:snapToGrid/>
          <w:sz w:val="24"/>
          <w:lang w:val="en-GB"/>
        </w:rPr>
        <w:t>each</w:t>
      </w:r>
      <w:r w:rsidR="000C618B" w:rsidRPr="00E25C87">
        <w:rPr>
          <w:snapToGrid/>
          <w:sz w:val="24"/>
          <w:lang w:val="en-GB"/>
        </w:rPr>
        <w:t xml:space="preserve"> province of Campania to the treatment plants of Balvano and Sessano del Molise modelled using Ecoinvent and the electricity consumption in the treatement plant</w:t>
      </w:r>
      <w:r w:rsidR="005A331D" w:rsidRPr="00E25C87">
        <w:rPr>
          <w:snapToGrid/>
          <w:sz w:val="24"/>
          <w:lang w:val="en-GB"/>
        </w:rPr>
        <w:t>s</w:t>
      </w:r>
      <w:r w:rsidR="000C618B" w:rsidRPr="00E25C87">
        <w:rPr>
          <w:snapToGrid/>
          <w:sz w:val="24"/>
          <w:lang w:val="en-GB"/>
        </w:rPr>
        <w:t xml:space="preserve"> </w:t>
      </w:r>
      <w:r w:rsidR="008F4E05" w:rsidRPr="00E25C87">
        <w:rPr>
          <w:snapToGrid/>
          <w:sz w:val="24"/>
          <w:lang w:val="en-GB"/>
        </w:rPr>
        <w:t xml:space="preserve">for the recovery operations </w:t>
      </w:r>
      <w:r w:rsidR="000C618B" w:rsidRPr="00E25C87">
        <w:rPr>
          <w:snapToGrid/>
          <w:sz w:val="24"/>
          <w:lang w:val="en-GB"/>
        </w:rPr>
        <w:t>from Biganzoli et al. (2015).</w:t>
      </w:r>
      <w:r w:rsidR="0029546D" w:rsidRPr="00E25C87">
        <w:rPr>
          <w:snapToGrid/>
          <w:sz w:val="24"/>
          <w:lang w:val="en-GB"/>
        </w:rPr>
        <w:t xml:space="preserve"> Table 1 and Table 2 show the primary and secondary data </w:t>
      </w:r>
      <w:r w:rsidR="008C628D" w:rsidRPr="00E25C87">
        <w:rPr>
          <w:snapToGrid/>
          <w:sz w:val="24"/>
          <w:lang w:val="en-GB"/>
        </w:rPr>
        <w:t>of</w:t>
      </w:r>
      <w:r w:rsidR="0029546D" w:rsidRPr="00E25C87">
        <w:rPr>
          <w:snapToGrid/>
          <w:sz w:val="24"/>
          <w:lang w:val="en-GB"/>
        </w:rPr>
        <w:t xml:space="preserve"> the collection and treatment stages </w:t>
      </w:r>
      <w:r w:rsidR="008C628D" w:rsidRPr="00E25C87">
        <w:rPr>
          <w:snapToGrid/>
          <w:sz w:val="24"/>
          <w:lang w:val="en-GB"/>
        </w:rPr>
        <w:t xml:space="preserve">for the R1 and R2 WEEE category. The data have been collected </w:t>
      </w:r>
      <w:r w:rsidR="0029546D" w:rsidRPr="00E25C87">
        <w:rPr>
          <w:snapToGrid/>
          <w:sz w:val="24"/>
          <w:lang w:val="en-GB"/>
        </w:rPr>
        <w:t xml:space="preserve">on the basis of </w:t>
      </w:r>
      <w:r w:rsidR="00DB7838">
        <w:rPr>
          <w:snapToGrid/>
          <w:sz w:val="24"/>
          <w:lang w:val="en-GB"/>
        </w:rPr>
        <w:t>a</w:t>
      </w:r>
      <w:r w:rsidR="00DB7838" w:rsidRPr="00E25C87">
        <w:rPr>
          <w:snapToGrid/>
          <w:sz w:val="24"/>
          <w:lang w:val="en-GB"/>
        </w:rPr>
        <w:t xml:space="preserve"> </w:t>
      </w:r>
      <w:r w:rsidR="0029546D" w:rsidRPr="00E25C87">
        <w:rPr>
          <w:snapToGrid/>
          <w:sz w:val="24"/>
          <w:lang w:val="en-GB"/>
        </w:rPr>
        <w:t>functional unit</w:t>
      </w:r>
      <w:r w:rsidR="008C628D" w:rsidRPr="00E25C87">
        <w:rPr>
          <w:snapToGrid/>
          <w:sz w:val="24"/>
          <w:lang w:val="en-GB"/>
        </w:rPr>
        <w:t xml:space="preserve"> </w:t>
      </w:r>
      <w:r w:rsidR="00DB7838">
        <w:rPr>
          <w:snapToGrid/>
          <w:sz w:val="24"/>
          <w:lang w:val="en-GB"/>
        </w:rPr>
        <w:t xml:space="preserve">of </w:t>
      </w:r>
      <w:r w:rsidR="008C628D" w:rsidRPr="00E25C87">
        <w:rPr>
          <w:snapToGrid/>
          <w:sz w:val="24"/>
          <w:lang w:val="en-GB"/>
        </w:rPr>
        <w:t>1 tonne</w:t>
      </w:r>
      <w:r w:rsidR="00DB7838">
        <w:rPr>
          <w:snapToGrid/>
          <w:sz w:val="24"/>
          <w:lang w:val="en-GB"/>
        </w:rPr>
        <w:t xml:space="preserve"> of treated R1 or R2 WEEE</w:t>
      </w:r>
      <w:r w:rsidR="0029546D" w:rsidRPr="00E25C87">
        <w:rPr>
          <w:snapToGrid/>
          <w:sz w:val="24"/>
          <w:lang w:val="en-GB"/>
        </w:rPr>
        <w:t xml:space="preserve">. </w:t>
      </w:r>
      <w:r w:rsidR="00EE6381" w:rsidRPr="00E25C87">
        <w:rPr>
          <w:snapToGrid/>
          <w:sz w:val="24"/>
          <w:lang w:val="en-GB"/>
        </w:rPr>
        <w:t>The allocation of the environmental impacts on the basis of the economic value of the materials and components ha</w:t>
      </w:r>
      <w:r w:rsidR="00DB7838">
        <w:rPr>
          <w:snapToGrid/>
          <w:sz w:val="24"/>
          <w:lang w:val="en-GB"/>
        </w:rPr>
        <w:t>s</w:t>
      </w:r>
      <w:r w:rsidR="00EE6381" w:rsidRPr="00E25C87">
        <w:rPr>
          <w:snapToGrid/>
          <w:sz w:val="24"/>
          <w:lang w:val="en-GB"/>
        </w:rPr>
        <w:t xml:space="preserve"> been </w:t>
      </w:r>
      <w:r w:rsidR="00DB7838">
        <w:rPr>
          <w:snapToGrid/>
          <w:sz w:val="24"/>
          <w:lang w:val="en-GB"/>
        </w:rPr>
        <w:t>implemented</w:t>
      </w:r>
      <w:r w:rsidR="00DB7838" w:rsidRPr="00E25C87">
        <w:rPr>
          <w:snapToGrid/>
          <w:sz w:val="24"/>
          <w:lang w:val="en-GB"/>
        </w:rPr>
        <w:t xml:space="preserve"> </w:t>
      </w:r>
      <w:r w:rsidR="00EE6381" w:rsidRPr="00E25C87">
        <w:rPr>
          <w:snapToGrid/>
          <w:sz w:val="24"/>
          <w:lang w:val="en-GB"/>
        </w:rPr>
        <w:t>in this study. Most of the prices have been collected from Borsino dei Rifiuti.</w:t>
      </w:r>
      <w:r w:rsidR="00EE6381" w:rsidRPr="00E25C87">
        <w:rPr>
          <w:snapToGrid/>
          <w:sz w:val="24"/>
          <w:vertAlign w:val="superscript"/>
          <w:lang w:val="en-GB"/>
        </w:rPr>
        <w:footnoteReference w:id="3"/>
      </w:r>
      <w:r w:rsidR="00EE6381" w:rsidRPr="00E25C87">
        <w:rPr>
          <w:snapToGrid/>
          <w:sz w:val="24"/>
          <w:lang w:val="en-GB"/>
        </w:rPr>
        <w:t xml:space="preserve"> </w:t>
      </w:r>
    </w:p>
    <w:p w14:paraId="29CA2191" w14:textId="77777777" w:rsidR="00B43CFB" w:rsidRPr="00E25C87" w:rsidRDefault="00B43CFB" w:rsidP="00D66ED0">
      <w:pPr>
        <w:pStyle w:val="Abstract"/>
        <w:tabs>
          <w:tab w:val="left" w:pos="6379"/>
        </w:tabs>
        <w:spacing w:line="276" w:lineRule="auto"/>
        <w:ind w:left="0" w:right="-30"/>
        <w:rPr>
          <w:snapToGrid/>
          <w:sz w:val="24"/>
          <w:lang w:val="en-GB"/>
        </w:rPr>
      </w:pPr>
    </w:p>
    <w:p w14:paraId="23DE5A27" w14:textId="2D97EAE5" w:rsidR="00F72887" w:rsidRPr="00E25C87" w:rsidRDefault="00B43CFB" w:rsidP="00B43CFB">
      <w:pPr>
        <w:spacing w:line="240" w:lineRule="auto"/>
        <w:rPr>
          <w:sz w:val="24"/>
          <w:lang w:val="en-GB"/>
        </w:rPr>
      </w:pPr>
      <w:r w:rsidRPr="00E25C87">
        <w:rPr>
          <w:rFonts w:eastAsia="Calibri"/>
          <w:sz w:val="18"/>
          <w:szCs w:val="18"/>
          <w:lang w:val="en-GB"/>
        </w:rPr>
        <w:t xml:space="preserve">Table 1. </w:t>
      </w:r>
      <w:r w:rsidR="00B07AFF">
        <w:rPr>
          <w:rFonts w:eastAsia="Calibri"/>
          <w:sz w:val="18"/>
          <w:szCs w:val="18"/>
          <w:lang w:val="en-GB"/>
        </w:rPr>
        <w:t>Material and energy inventory</w:t>
      </w:r>
      <w:r w:rsidR="00B07AFF" w:rsidRPr="00E25C87">
        <w:rPr>
          <w:rFonts w:eastAsia="Calibri"/>
          <w:sz w:val="18"/>
          <w:szCs w:val="18"/>
          <w:lang w:val="en-GB"/>
        </w:rPr>
        <w:t xml:space="preserve"> </w:t>
      </w:r>
      <w:r w:rsidRPr="00E25C87">
        <w:rPr>
          <w:rFonts w:eastAsia="Calibri"/>
          <w:sz w:val="18"/>
          <w:szCs w:val="18"/>
          <w:lang w:val="en-GB"/>
        </w:rPr>
        <w:t xml:space="preserve">data for 1 tonne of R1 WEEE </w:t>
      </w:r>
      <w:r w:rsidR="00154902" w:rsidRPr="00E25C87">
        <w:rPr>
          <w:rFonts w:eastAsia="Calibri"/>
          <w:sz w:val="18"/>
          <w:szCs w:val="18"/>
          <w:lang w:val="en-GB"/>
        </w:rPr>
        <w:t>category</w:t>
      </w:r>
      <w:r w:rsidRPr="00E25C87">
        <w:rPr>
          <w:rFonts w:eastAsia="Calibri"/>
          <w:sz w:val="18"/>
          <w:szCs w:val="18"/>
          <w:lang w:val="en-GB"/>
        </w:rPr>
        <w:t xml:space="preserve"> collected in Campania Region and treated in Balvano and Sessano del Molise treatment plants.</w:t>
      </w:r>
    </w:p>
    <w:tbl>
      <w:tblPr>
        <w:tblStyle w:val="Grigliatabella1"/>
        <w:tblW w:w="0" w:type="auto"/>
        <w:tblLook w:val="04A0" w:firstRow="1" w:lastRow="0" w:firstColumn="1" w:lastColumn="0" w:noHBand="0" w:noVBand="1"/>
      </w:tblPr>
      <w:tblGrid>
        <w:gridCol w:w="967"/>
        <w:gridCol w:w="2734"/>
        <w:gridCol w:w="1566"/>
        <w:gridCol w:w="847"/>
        <w:gridCol w:w="1076"/>
      </w:tblGrid>
      <w:tr w:rsidR="00F72887" w:rsidRPr="00E25C87" w14:paraId="7E028601" w14:textId="77777777" w:rsidTr="0067426D">
        <w:tc>
          <w:tcPr>
            <w:tcW w:w="926" w:type="dxa"/>
          </w:tcPr>
          <w:p w14:paraId="2072C2CF" w14:textId="77777777" w:rsidR="00F72887" w:rsidRPr="00E25C87" w:rsidRDefault="00F72887" w:rsidP="00F72887">
            <w:pPr>
              <w:spacing w:line="240" w:lineRule="auto"/>
              <w:jc w:val="left"/>
              <w:rPr>
                <w:rFonts w:ascii="Times New Roman" w:hAnsi="Times New Roman"/>
                <w:sz w:val="18"/>
                <w:szCs w:val="18"/>
                <w:lang w:val="en-GB"/>
              </w:rPr>
            </w:pPr>
          </w:p>
        </w:tc>
        <w:tc>
          <w:tcPr>
            <w:tcW w:w="4739" w:type="dxa"/>
          </w:tcPr>
          <w:p w14:paraId="6DA834EC" w14:textId="55AF1532" w:rsidR="00F72887" w:rsidRPr="00E25C87" w:rsidRDefault="00F72887" w:rsidP="00F72887">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Flow</w:t>
            </w:r>
            <w:r w:rsidR="003A5919" w:rsidRPr="00E25C87">
              <w:rPr>
                <w:rFonts w:ascii="Times New Roman" w:hAnsi="Times New Roman"/>
                <w:b/>
                <w:bCs/>
                <w:sz w:val="18"/>
                <w:szCs w:val="18"/>
                <w:lang w:val="en-GB"/>
              </w:rPr>
              <w:t>s</w:t>
            </w:r>
            <w:r w:rsidRPr="00E25C87">
              <w:rPr>
                <w:rFonts w:ascii="Times New Roman" w:hAnsi="Times New Roman"/>
                <w:b/>
                <w:bCs/>
                <w:sz w:val="18"/>
                <w:szCs w:val="18"/>
                <w:lang w:val="en-GB"/>
              </w:rPr>
              <w:t xml:space="preserve"> </w:t>
            </w:r>
          </w:p>
        </w:tc>
        <w:tc>
          <w:tcPr>
            <w:tcW w:w="2302" w:type="dxa"/>
          </w:tcPr>
          <w:p w14:paraId="690324A3" w14:textId="77777777" w:rsidR="00F72887" w:rsidRPr="00E25C87" w:rsidRDefault="00F72887" w:rsidP="00F72887">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Data Sources </w:t>
            </w:r>
          </w:p>
        </w:tc>
        <w:tc>
          <w:tcPr>
            <w:tcW w:w="807" w:type="dxa"/>
          </w:tcPr>
          <w:p w14:paraId="38A1786D" w14:textId="77777777" w:rsidR="00F72887" w:rsidRPr="00E25C87" w:rsidRDefault="00F72887" w:rsidP="00F72887">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Amount </w:t>
            </w:r>
          </w:p>
        </w:tc>
        <w:tc>
          <w:tcPr>
            <w:tcW w:w="854" w:type="dxa"/>
          </w:tcPr>
          <w:p w14:paraId="2595C710" w14:textId="77777777" w:rsidR="00F72887" w:rsidRPr="00E25C87" w:rsidRDefault="00F72887" w:rsidP="00F72887">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Unit </w:t>
            </w:r>
          </w:p>
        </w:tc>
      </w:tr>
      <w:tr w:rsidR="00F72887" w:rsidRPr="00E25C87" w14:paraId="5876B8FA" w14:textId="77777777" w:rsidTr="0067426D">
        <w:tc>
          <w:tcPr>
            <w:tcW w:w="926" w:type="dxa"/>
          </w:tcPr>
          <w:p w14:paraId="41DBC25C" w14:textId="77777777" w:rsidR="00F72887" w:rsidRPr="00E25C87" w:rsidRDefault="00F72887" w:rsidP="00F72887">
            <w:pPr>
              <w:spacing w:line="240" w:lineRule="auto"/>
              <w:rPr>
                <w:rFonts w:ascii="Times New Roman" w:hAnsi="Times New Roman"/>
                <w:b/>
                <w:bCs/>
                <w:sz w:val="18"/>
                <w:szCs w:val="18"/>
                <w:lang w:val="en-GB"/>
              </w:rPr>
            </w:pPr>
            <w:r w:rsidRPr="00E25C87">
              <w:rPr>
                <w:rFonts w:ascii="Times New Roman" w:hAnsi="Times New Roman"/>
                <w:b/>
                <w:bCs/>
                <w:sz w:val="18"/>
                <w:szCs w:val="18"/>
                <w:lang w:val="en-GB"/>
              </w:rPr>
              <w:t>INPUT</w:t>
            </w:r>
          </w:p>
        </w:tc>
        <w:tc>
          <w:tcPr>
            <w:tcW w:w="4739" w:type="dxa"/>
          </w:tcPr>
          <w:p w14:paraId="26BC0FC7" w14:textId="46B1A043"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WEEE collected and treated </w:t>
            </w:r>
          </w:p>
        </w:tc>
        <w:tc>
          <w:tcPr>
            <w:tcW w:w="2302" w:type="dxa"/>
          </w:tcPr>
          <w:p w14:paraId="17B5FC4B" w14:textId="1A703AA5" w:rsidR="00F72887" w:rsidRPr="00E25C87" w:rsidRDefault="00F72887" w:rsidP="00F72887">
            <w:pPr>
              <w:spacing w:line="240" w:lineRule="auto"/>
              <w:jc w:val="left"/>
              <w:rPr>
                <w:rFonts w:ascii="Times New Roman" w:hAnsi="Times New Roman"/>
                <w:sz w:val="18"/>
                <w:szCs w:val="18"/>
                <w:lang w:val="en-GB"/>
              </w:rPr>
            </w:pPr>
          </w:p>
        </w:tc>
        <w:tc>
          <w:tcPr>
            <w:tcW w:w="807" w:type="dxa"/>
          </w:tcPr>
          <w:p w14:paraId="3B9C8929"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w:t>
            </w:r>
          </w:p>
        </w:tc>
        <w:tc>
          <w:tcPr>
            <w:tcW w:w="854" w:type="dxa"/>
          </w:tcPr>
          <w:p w14:paraId="7F46C168"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Tonne </w:t>
            </w:r>
          </w:p>
        </w:tc>
      </w:tr>
      <w:tr w:rsidR="00F72887" w:rsidRPr="00E25C87" w14:paraId="4CA5921E" w14:textId="77777777" w:rsidTr="0067426D">
        <w:tc>
          <w:tcPr>
            <w:tcW w:w="926" w:type="dxa"/>
          </w:tcPr>
          <w:p w14:paraId="5DA334F2" w14:textId="77777777" w:rsidR="00F72887" w:rsidRPr="00E25C87" w:rsidRDefault="00F72887" w:rsidP="00F72887">
            <w:pPr>
              <w:spacing w:line="240" w:lineRule="auto"/>
              <w:rPr>
                <w:rFonts w:ascii="Times New Roman" w:hAnsi="Times New Roman"/>
                <w:sz w:val="18"/>
                <w:szCs w:val="18"/>
                <w:lang w:val="en-GB"/>
              </w:rPr>
            </w:pPr>
          </w:p>
        </w:tc>
        <w:tc>
          <w:tcPr>
            <w:tcW w:w="4739" w:type="dxa"/>
          </w:tcPr>
          <w:p w14:paraId="593317DB"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Transport from Regional collection points to treatment plants</w:t>
            </w:r>
          </w:p>
        </w:tc>
        <w:tc>
          <w:tcPr>
            <w:tcW w:w="2302" w:type="dxa"/>
          </w:tcPr>
          <w:p w14:paraId="182714A3"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Transport, freight, lorry 3.5-7.5 metric tonne (Ecoinvent 3.8)</w:t>
            </w:r>
          </w:p>
        </w:tc>
        <w:tc>
          <w:tcPr>
            <w:tcW w:w="807" w:type="dxa"/>
          </w:tcPr>
          <w:p w14:paraId="2E4F7028"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133.5</w:t>
            </w:r>
          </w:p>
        </w:tc>
        <w:tc>
          <w:tcPr>
            <w:tcW w:w="854" w:type="dxa"/>
          </w:tcPr>
          <w:p w14:paraId="388E7830"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Tonne*Km</w:t>
            </w:r>
          </w:p>
        </w:tc>
      </w:tr>
      <w:tr w:rsidR="00F72887" w:rsidRPr="00E25C87" w14:paraId="0AFCC6D0" w14:textId="77777777" w:rsidTr="0067426D">
        <w:tc>
          <w:tcPr>
            <w:tcW w:w="926" w:type="dxa"/>
          </w:tcPr>
          <w:p w14:paraId="06E36A16" w14:textId="77777777" w:rsidR="00F72887" w:rsidRPr="00E25C87" w:rsidRDefault="00F72887" w:rsidP="00F72887">
            <w:pPr>
              <w:spacing w:line="240" w:lineRule="auto"/>
              <w:jc w:val="left"/>
              <w:rPr>
                <w:rFonts w:ascii="Times New Roman" w:hAnsi="Times New Roman"/>
                <w:sz w:val="18"/>
                <w:szCs w:val="18"/>
                <w:lang w:val="en-GB"/>
              </w:rPr>
            </w:pPr>
          </w:p>
        </w:tc>
        <w:tc>
          <w:tcPr>
            <w:tcW w:w="4739" w:type="dxa"/>
          </w:tcPr>
          <w:p w14:paraId="5D6971A8"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Electricity, medium voltage – IT  </w:t>
            </w:r>
          </w:p>
        </w:tc>
        <w:tc>
          <w:tcPr>
            <w:tcW w:w="2302" w:type="dxa"/>
          </w:tcPr>
          <w:p w14:paraId="313A258E"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Ecoinvent 3.8 and Biganzoli et al., (2015)</w:t>
            </w:r>
          </w:p>
        </w:tc>
        <w:tc>
          <w:tcPr>
            <w:tcW w:w="807" w:type="dxa"/>
          </w:tcPr>
          <w:p w14:paraId="1EBF852A"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100</w:t>
            </w:r>
          </w:p>
        </w:tc>
        <w:tc>
          <w:tcPr>
            <w:tcW w:w="854" w:type="dxa"/>
          </w:tcPr>
          <w:p w14:paraId="34646829" w14:textId="1FF5FA28"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kWh</w:t>
            </w:r>
            <w:r w:rsidR="00F24473" w:rsidRPr="00E25C87">
              <w:rPr>
                <w:rFonts w:ascii="Times New Roman" w:hAnsi="Times New Roman"/>
                <w:sz w:val="18"/>
                <w:szCs w:val="18"/>
                <w:lang w:val="en-GB"/>
              </w:rPr>
              <w:t>/Tonne</w:t>
            </w:r>
          </w:p>
        </w:tc>
      </w:tr>
      <w:tr w:rsidR="00F72887" w:rsidRPr="00E25C87" w14:paraId="19025AA7" w14:textId="77777777" w:rsidTr="0067426D">
        <w:tc>
          <w:tcPr>
            <w:tcW w:w="926" w:type="dxa"/>
          </w:tcPr>
          <w:p w14:paraId="1E63CBD7" w14:textId="77777777" w:rsidR="00F72887" w:rsidRPr="00E25C87" w:rsidRDefault="00F72887" w:rsidP="00F72887">
            <w:pPr>
              <w:spacing w:line="240" w:lineRule="auto"/>
              <w:jc w:val="left"/>
              <w:rPr>
                <w:rFonts w:ascii="Times New Roman" w:hAnsi="Times New Roman"/>
                <w:sz w:val="18"/>
                <w:szCs w:val="18"/>
                <w:lang w:val="en-GB"/>
              </w:rPr>
            </w:pPr>
          </w:p>
        </w:tc>
        <w:tc>
          <w:tcPr>
            <w:tcW w:w="4739" w:type="dxa"/>
          </w:tcPr>
          <w:p w14:paraId="758FCC5F"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Landfilling of residual waste and poliurethane from WEEE </w:t>
            </w:r>
          </w:p>
        </w:tc>
        <w:tc>
          <w:tcPr>
            <w:tcW w:w="2302" w:type="dxa"/>
          </w:tcPr>
          <w:p w14:paraId="28A04D7A"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Ecoinvent 3.8 (Waste treatment and disposal)</w:t>
            </w:r>
          </w:p>
        </w:tc>
        <w:tc>
          <w:tcPr>
            <w:tcW w:w="807" w:type="dxa"/>
          </w:tcPr>
          <w:p w14:paraId="28C909A1"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186.5</w:t>
            </w:r>
          </w:p>
        </w:tc>
        <w:tc>
          <w:tcPr>
            <w:tcW w:w="854" w:type="dxa"/>
          </w:tcPr>
          <w:p w14:paraId="438323D4" w14:textId="259AEE6B" w:rsidR="00F72887" w:rsidRPr="00E25C87" w:rsidRDefault="00F24473"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w:t>
            </w:r>
            <w:r w:rsidR="00F72887" w:rsidRPr="00E25C87">
              <w:rPr>
                <w:rFonts w:ascii="Times New Roman" w:hAnsi="Times New Roman"/>
                <w:sz w:val="18"/>
                <w:szCs w:val="18"/>
                <w:lang w:val="en-GB"/>
              </w:rPr>
              <w:t>g</w:t>
            </w:r>
            <w:r w:rsidRPr="00E25C87">
              <w:rPr>
                <w:rFonts w:ascii="Times New Roman" w:hAnsi="Times New Roman"/>
                <w:sz w:val="18"/>
                <w:szCs w:val="18"/>
                <w:lang w:val="en-GB"/>
              </w:rPr>
              <w:t>/Tonne</w:t>
            </w:r>
          </w:p>
        </w:tc>
      </w:tr>
      <w:tr w:rsidR="00F72887" w:rsidRPr="00E25C87" w14:paraId="66C66FFB" w14:textId="77777777" w:rsidTr="0067426D">
        <w:tc>
          <w:tcPr>
            <w:tcW w:w="926" w:type="dxa"/>
          </w:tcPr>
          <w:p w14:paraId="0A5C7BF5" w14:textId="77777777" w:rsidR="00F72887" w:rsidRPr="00E25C87" w:rsidRDefault="00F72887" w:rsidP="00F72887">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OUTPUT</w:t>
            </w:r>
          </w:p>
        </w:tc>
        <w:tc>
          <w:tcPr>
            <w:tcW w:w="4739" w:type="dxa"/>
          </w:tcPr>
          <w:p w14:paraId="190C1DD4" w14:textId="7E9BB606"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Recovered </w:t>
            </w:r>
            <w:r w:rsidR="00F24473" w:rsidRPr="00E25C87">
              <w:rPr>
                <w:rFonts w:ascii="Times New Roman" w:hAnsi="Times New Roman"/>
                <w:sz w:val="18"/>
                <w:szCs w:val="18"/>
                <w:lang w:val="en-GB"/>
              </w:rPr>
              <w:t>Aluminium</w:t>
            </w:r>
            <w:r w:rsidRPr="00E25C87">
              <w:rPr>
                <w:rFonts w:ascii="Times New Roman" w:hAnsi="Times New Roman"/>
                <w:sz w:val="18"/>
                <w:szCs w:val="18"/>
                <w:lang w:val="en-GB"/>
              </w:rPr>
              <w:t xml:space="preserve"> </w:t>
            </w:r>
          </w:p>
        </w:tc>
        <w:tc>
          <w:tcPr>
            <w:tcW w:w="2302" w:type="dxa"/>
          </w:tcPr>
          <w:p w14:paraId="00E10DDC" w14:textId="77777777" w:rsidR="00F72887" w:rsidRPr="00E25C87" w:rsidRDefault="00F72887" w:rsidP="00F72887">
            <w:pPr>
              <w:spacing w:line="240" w:lineRule="auto"/>
              <w:jc w:val="left"/>
              <w:rPr>
                <w:rFonts w:ascii="Times New Roman" w:hAnsi="Times New Roman"/>
                <w:sz w:val="18"/>
                <w:szCs w:val="18"/>
                <w:lang w:val="en-GB"/>
              </w:rPr>
            </w:pPr>
          </w:p>
        </w:tc>
        <w:tc>
          <w:tcPr>
            <w:tcW w:w="807" w:type="dxa"/>
          </w:tcPr>
          <w:p w14:paraId="54DD5B1B"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4.8</w:t>
            </w:r>
          </w:p>
        </w:tc>
        <w:tc>
          <w:tcPr>
            <w:tcW w:w="854" w:type="dxa"/>
          </w:tcPr>
          <w:p w14:paraId="4AFCFEC4"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0C20EB2B" w14:textId="77777777" w:rsidTr="0067426D">
        <w:tc>
          <w:tcPr>
            <w:tcW w:w="926" w:type="dxa"/>
          </w:tcPr>
          <w:p w14:paraId="65C2D4A9" w14:textId="77777777" w:rsidR="00F72887" w:rsidRPr="00E25C87" w:rsidRDefault="00F72887" w:rsidP="00F72887">
            <w:pPr>
              <w:spacing w:line="240" w:lineRule="auto"/>
              <w:jc w:val="left"/>
              <w:rPr>
                <w:lang w:val="en-GB"/>
              </w:rPr>
            </w:pPr>
          </w:p>
        </w:tc>
        <w:tc>
          <w:tcPr>
            <w:tcW w:w="4739" w:type="dxa"/>
          </w:tcPr>
          <w:p w14:paraId="7E65477C" w14:textId="77777777" w:rsidR="00F72887" w:rsidRPr="00E25C87" w:rsidRDefault="00F72887" w:rsidP="00F72887">
            <w:pPr>
              <w:spacing w:line="240" w:lineRule="auto"/>
              <w:rPr>
                <w:lang w:val="en-GB"/>
              </w:rPr>
            </w:pPr>
            <w:r w:rsidRPr="00E25C87">
              <w:rPr>
                <w:rFonts w:ascii="Times New Roman" w:hAnsi="Times New Roman"/>
                <w:sz w:val="18"/>
                <w:szCs w:val="18"/>
                <w:lang w:val="en-GB"/>
              </w:rPr>
              <w:t xml:space="preserve">Recovered Cables </w:t>
            </w:r>
          </w:p>
        </w:tc>
        <w:tc>
          <w:tcPr>
            <w:tcW w:w="2302" w:type="dxa"/>
          </w:tcPr>
          <w:p w14:paraId="0E745610" w14:textId="77777777" w:rsidR="00F72887" w:rsidRPr="00E25C87" w:rsidRDefault="00F72887" w:rsidP="00F72887">
            <w:pPr>
              <w:spacing w:line="240" w:lineRule="auto"/>
              <w:jc w:val="left"/>
              <w:rPr>
                <w:lang w:val="en-GB"/>
              </w:rPr>
            </w:pPr>
          </w:p>
        </w:tc>
        <w:tc>
          <w:tcPr>
            <w:tcW w:w="807" w:type="dxa"/>
          </w:tcPr>
          <w:p w14:paraId="20165A96"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2.3</w:t>
            </w:r>
          </w:p>
        </w:tc>
        <w:tc>
          <w:tcPr>
            <w:tcW w:w="854" w:type="dxa"/>
          </w:tcPr>
          <w:p w14:paraId="149DFDDE" w14:textId="77777777" w:rsidR="00F72887" w:rsidRPr="00E25C87" w:rsidRDefault="00F72887" w:rsidP="00F72887">
            <w:pPr>
              <w:spacing w:line="240" w:lineRule="auto"/>
              <w:jc w:val="left"/>
              <w:rPr>
                <w:lang w:val="en-GB"/>
              </w:rPr>
            </w:pPr>
            <w:r w:rsidRPr="00E25C87">
              <w:rPr>
                <w:rFonts w:ascii="Times New Roman" w:hAnsi="Times New Roman"/>
                <w:sz w:val="18"/>
                <w:szCs w:val="18"/>
                <w:lang w:val="en-GB"/>
              </w:rPr>
              <w:t>Kg/tonne</w:t>
            </w:r>
          </w:p>
        </w:tc>
      </w:tr>
      <w:tr w:rsidR="00F72887" w:rsidRPr="00E25C87" w14:paraId="50FC6D00" w14:textId="77777777" w:rsidTr="0067426D">
        <w:tc>
          <w:tcPr>
            <w:tcW w:w="926" w:type="dxa"/>
          </w:tcPr>
          <w:p w14:paraId="65EA88F7" w14:textId="77777777" w:rsidR="00F72887" w:rsidRPr="00E25C87" w:rsidRDefault="00F72887" w:rsidP="00F72887">
            <w:pPr>
              <w:spacing w:line="240" w:lineRule="auto"/>
              <w:jc w:val="left"/>
              <w:rPr>
                <w:lang w:val="en-GB"/>
              </w:rPr>
            </w:pPr>
          </w:p>
        </w:tc>
        <w:tc>
          <w:tcPr>
            <w:tcW w:w="4739" w:type="dxa"/>
          </w:tcPr>
          <w:p w14:paraId="71955C58"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Compressors </w:t>
            </w:r>
          </w:p>
        </w:tc>
        <w:tc>
          <w:tcPr>
            <w:tcW w:w="2302" w:type="dxa"/>
          </w:tcPr>
          <w:p w14:paraId="0A049C66" w14:textId="77777777" w:rsidR="00F72887" w:rsidRPr="00E25C87" w:rsidRDefault="00F72887" w:rsidP="00F72887">
            <w:pPr>
              <w:spacing w:line="240" w:lineRule="auto"/>
              <w:jc w:val="left"/>
              <w:rPr>
                <w:lang w:val="en-GB"/>
              </w:rPr>
            </w:pPr>
          </w:p>
        </w:tc>
        <w:tc>
          <w:tcPr>
            <w:tcW w:w="807" w:type="dxa"/>
          </w:tcPr>
          <w:p w14:paraId="6DF0B56A"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140</w:t>
            </w:r>
          </w:p>
        </w:tc>
        <w:tc>
          <w:tcPr>
            <w:tcW w:w="854" w:type="dxa"/>
          </w:tcPr>
          <w:p w14:paraId="466CA4D6"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Kg/tonne </w:t>
            </w:r>
          </w:p>
        </w:tc>
      </w:tr>
      <w:tr w:rsidR="00F72887" w:rsidRPr="00E25C87" w14:paraId="07BFB7B3" w14:textId="77777777" w:rsidTr="0067426D">
        <w:tc>
          <w:tcPr>
            <w:tcW w:w="926" w:type="dxa"/>
          </w:tcPr>
          <w:p w14:paraId="7EEE68DF" w14:textId="77777777" w:rsidR="00F72887" w:rsidRPr="00E25C87" w:rsidRDefault="00F72887" w:rsidP="00F72887">
            <w:pPr>
              <w:spacing w:line="240" w:lineRule="auto"/>
              <w:jc w:val="left"/>
              <w:rPr>
                <w:lang w:val="en-GB"/>
              </w:rPr>
            </w:pPr>
          </w:p>
        </w:tc>
        <w:tc>
          <w:tcPr>
            <w:tcW w:w="4739" w:type="dxa"/>
          </w:tcPr>
          <w:p w14:paraId="1B3A24FB"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Electronic Boards </w:t>
            </w:r>
          </w:p>
        </w:tc>
        <w:tc>
          <w:tcPr>
            <w:tcW w:w="2302" w:type="dxa"/>
          </w:tcPr>
          <w:p w14:paraId="20A96F4D" w14:textId="77777777" w:rsidR="00F72887" w:rsidRPr="00E25C87" w:rsidRDefault="00F72887" w:rsidP="00F72887">
            <w:pPr>
              <w:spacing w:line="240" w:lineRule="auto"/>
              <w:jc w:val="left"/>
              <w:rPr>
                <w:lang w:val="en-GB"/>
              </w:rPr>
            </w:pPr>
          </w:p>
        </w:tc>
        <w:tc>
          <w:tcPr>
            <w:tcW w:w="807" w:type="dxa"/>
          </w:tcPr>
          <w:p w14:paraId="1F1FA6B4"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0.90</w:t>
            </w:r>
          </w:p>
        </w:tc>
        <w:tc>
          <w:tcPr>
            <w:tcW w:w="854" w:type="dxa"/>
          </w:tcPr>
          <w:p w14:paraId="1C4B170B"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79CDA897" w14:textId="77777777" w:rsidTr="0067426D">
        <w:tc>
          <w:tcPr>
            <w:tcW w:w="926" w:type="dxa"/>
          </w:tcPr>
          <w:p w14:paraId="60F6F211" w14:textId="77777777" w:rsidR="00F72887" w:rsidRPr="00E25C87" w:rsidRDefault="00F72887" w:rsidP="00F72887">
            <w:pPr>
              <w:spacing w:line="240" w:lineRule="auto"/>
              <w:jc w:val="left"/>
              <w:rPr>
                <w:lang w:val="en-GB"/>
              </w:rPr>
            </w:pPr>
          </w:p>
        </w:tc>
        <w:tc>
          <w:tcPr>
            <w:tcW w:w="4739" w:type="dxa"/>
          </w:tcPr>
          <w:p w14:paraId="7CB15E2C"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Glass </w:t>
            </w:r>
          </w:p>
        </w:tc>
        <w:tc>
          <w:tcPr>
            <w:tcW w:w="2302" w:type="dxa"/>
          </w:tcPr>
          <w:p w14:paraId="3B76C2AF" w14:textId="77777777" w:rsidR="00F72887" w:rsidRPr="00E25C87" w:rsidRDefault="00F72887" w:rsidP="00F72887">
            <w:pPr>
              <w:spacing w:line="240" w:lineRule="auto"/>
              <w:jc w:val="left"/>
              <w:rPr>
                <w:lang w:val="en-GB"/>
              </w:rPr>
            </w:pPr>
          </w:p>
        </w:tc>
        <w:tc>
          <w:tcPr>
            <w:tcW w:w="807" w:type="dxa"/>
          </w:tcPr>
          <w:p w14:paraId="5617816C"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10.60</w:t>
            </w:r>
          </w:p>
        </w:tc>
        <w:tc>
          <w:tcPr>
            <w:tcW w:w="854" w:type="dxa"/>
          </w:tcPr>
          <w:p w14:paraId="5ECD01DF"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37F68470" w14:textId="77777777" w:rsidTr="0067426D">
        <w:tc>
          <w:tcPr>
            <w:tcW w:w="926" w:type="dxa"/>
          </w:tcPr>
          <w:p w14:paraId="61C9AE3A" w14:textId="77777777" w:rsidR="00F72887" w:rsidRPr="00E25C87" w:rsidRDefault="00F72887" w:rsidP="00F72887">
            <w:pPr>
              <w:spacing w:line="240" w:lineRule="auto"/>
              <w:jc w:val="left"/>
              <w:rPr>
                <w:lang w:val="en-GB"/>
              </w:rPr>
            </w:pPr>
          </w:p>
        </w:tc>
        <w:tc>
          <w:tcPr>
            <w:tcW w:w="4739" w:type="dxa"/>
          </w:tcPr>
          <w:p w14:paraId="112DCD33"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Wood </w:t>
            </w:r>
          </w:p>
        </w:tc>
        <w:tc>
          <w:tcPr>
            <w:tcW w:w="2302" w:type="dxa"/>
          </w:tcPr>
          <w:p w14:paraId="2525E71C" w14:textId="77777777" w:rsidR="00F72887" w:rsidRPr="00E25C87" w:rsidRDefault="00F72887" w:rsidP="00F72887">
            <w:pPr>
              <w:spacing w:line="240" w:lineRule="auto"/>
              <w:jc w:val="left"/>
              <w:rPr>
                <w:lang w:val="en-GB"/>
              </w:rPr>
            </w:pPr>
          </w:p>
        </w:tc>
        <w:tc>
          <w:tcPr>
            <w:tcW w:w="807" w:type="dxa"/>
          </w:tcPr>
          <w:p w14:paraId="3A1FDEE2"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1.20</w:t>
            </w:r>
          </w:p>
        </w:tc>
        <w:tc>
          <w:tcPr>
            <w:tcW w:w="854" w:type="dxa"/>
          </w:tcPr>
          <w:p w14:paraId="73B66967"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5527DD51" w14:textId="77777777" w:rsidTr="0067426D">
        <w:tc>
          <w:tcPr>
            <w:tcW w:w="926" w:type="dxa"/>
          </w:tcPr>
          <w:p w14:paraId="07438572" w14:textId="77777777" w:rsidR="00F72887" w:rsidRPr="00E25C87" w:rsidRDefault="00F72887" w:rsidP="00F72887">
            <w:pPr>
              <w:spacing w:line="240" w:lineRule="auto"/>
              <w:jc w:val="left"/>
              <w:rPr>
                <w:lang w:val="en-GB"/>
              </w:rPr>
            </w:pPr>
          </w:p>
        </w:tc>
        <w:tc>
          <w:tcPr>
            <w:tcW w:w="4739" w:type="dxa"/>
          </w:tcPr>
          <w:p w14:paraId="44632833"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Plastic </w:t>
            </w:r>
          </w:p>
        </w:tc>
        <w:tc>
          <w:tcPr>
            <w:tcW w:w="2302" w:type="dxa"/>
          </w:tcPr>
          <w:p w14:paraId="2B0A18CD" w14:textId="77777777" w:rsidR="00F72887" w:rsidRPr="00E25C87" w:rsidRDefault="00F72887" w:rsidP="00F72887">
            <w:pPr>
              <w:spacing w:line="240" w:lineRule="auto"/>
              <w:jc w:val="left"/>
              <w:rPr>
                <w:lang w:val="en-GB"/>
              </w:rPr>
            </w:pPr>
          </w:p>
        </w:tc>
        <w:tc>
          <w:tcPr>
            <w:tcW w:w="807" w:type="dxa"/>
          </w:tcPr>
          <w:p w14:paraId="3D663602"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160.30</w:t>
            </w:r>
          </w:p>
        </w:tc>
        <w:tc>
          <w:tcPr>
            <w:tcW w:w="854" w:type="dxa"/>
          </w:tcPr>
          <w:p w14:paraId="1532B3C9"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158BD488" w14:textId="77777777" w:rsidTr="0067426D">
        <w:tc>
          <w:tcPr>
            <w:tcW w:w="926" w:type="dxa"/>
          </w:tcPr>
          <w:p w14:paraId="75624836" w14:textId="77777777" w:rsidR="00F72887" w:rsidRPr="00E25C87" w:rsidRDefault="00F72887" w:rsidP="00F72887">
            <w:pPr>
              <w:spacing w:line="240" w:lineRule="auto"/>
              <w:jc w:val="left"/>
              <w:rPr>
                <w:lang w:val="en-GB"/>
              </w:rPr>
            </w:pPr>
          </w:p>
        </w:tc>
        <w:tc>
          <w:tcPr>
            <w:tcW w:w="4739" w:type="dxa"/>
          </w:tcPr>
          <w:p w14:paraId="56792D03"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Recovered Oil</w:t>
            </w:r>
          </w:p>
        </w:tc>
        <w:tc>
          <w:tcPr>
            <w:tcW w:w="2302" w:type="dxa"/>
          </w:tcPr>
          <w:p w14:paraId="01C0AD6D" w14:textId="77777777" w:rsidR="00F72887" w:rsidRPr="00E25C87" w:rsidRDefault="00F72887" w:rsidP="00F72887">
            <w:pPr>
              <w:spacing w:line="240" w:lineRule="auto"/>
              <w:jc w:val="left"/>
              <w:rPr>
                <w:lang w:val="en-GB"/>
              </w:rPr>
            </w:pPr>
          </w:p>
        </w:tc>
        <w:tc>
          <w:tcPr>
            <w:tcW w:w="807" w:type="dxa"/>
          </w:tcPr>
          <w:p w14:paraId="57C9E033"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2.90</w:t>
            </w:r>
          </w:p>
        </w:tc>
        <w:tc>
          <w:tcPr>
            <w:tcW w:w="854" w:type="dxa"/>
          </w:tcPr>
          <w:p w14:paraId="76AAE7CF"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61933BC0" w14:textId="77777777" w:rsidTr="0067426D">
        <w:tc>
          <w:tcPr>
            <w:tcW w:w="926" w:type="dxa"/>
          </w:tcPr>
          <w:p w14:paraId="30652146" w14:textId="77777777" w:rsidR="00F72887" w:rsidRPr="00E25C87" w:rsidRDefault="00F72887" w:rsidP="00F72887">
            <w:pPr>
              <w:spacing w:line="240" w:lineRule="auto"/>
              <w:jc w:val="left"/>
              <w:rPr>
                <w:lang w:val="en-GB"/>
              </w:rPr>
            </w:pPr>
          </w:p>
        </w:tc>
        <w:tc>
          <w:tcPr>
            <w:tcW w:w="4739" w:type="dxa"/>
          </w:tcPr>
          <w:p w14:paraId="32BA594A"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Gas </w:t>
            </w:r>
          </w:p>
        </w:tc>
        <w:tc>
          <w:tcPr>
            <w:tcW w:w="2302" w:type="dxa"/>
          </w:tcPr>
          <w:p w14:paraId="32004413" w14:textId="77777777" w:rsidR="00F72887" w:rsidRPr="00E25C87" w:rsidRDefault="00F72887" w:rsidP="00F72887">
            <w:pPr>
              <w:spacing w:line="240" w:lineRule="auto"/>
              <w:jc w:val="left"/>
              <w:rPr>
                <w:lang w:val="en-GB"/>
              </w:rPr>
            </w:pPr>
          </w:p>
        </w:tc>
        <w:tc>
          <w:tcPr>
            <w:tcW w:w="807" w:type="dxa"/>
          </w:tcPr>
          <w:p w14:paraId="4F405EB9"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5.30</w:t>
            </w:r>
          </w:p>
        </w:tc>
        <w:tc>
          <w:tcPr>
            <w:tcW w:w="854" w:type="dxa"/>
          </w:tcPr>
          <w:p w14:paraId="737EC688"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26889541" w14:textId="77777777" w:rsidTr="0067426D">
        <w:tc>
          <w:tcPr>
            <w:tcW w:w="926" w:type="dxa"/>
          </w:tcPr>
          <w:p w14:paraId="686827C3" w14:textId="77777777" w:rsidR="00F72887" w:rsidRPr="00E25C87" w:rsidRDefault="00F72887" w:rsidP="00F72887">
            <w:pPr>
              <w:spacing w:line="240" w:lineRule="auto"/>
              <w:jc w:val="left"/>
              <w:rPr>
                <w:lang w:val="en-GB"/>
              </w:rPr>
            </w:pPr>
          </w:p>
        </w:tc>
        <w:tc>
          <w:tcPr>
            <w:tcW w:w="4739" w:type="dxa"/>
          </w:tcPr>
          <w:p w14:paraId="7ECA5D12"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Lamps </w:t>
            </w:r>
          </w:p>
        </w:tc>
        <w:tc>
          <w:tcPr>
            <w:tcW w:w="2302" w:type="dxa"/>
          </w:tcPr>
          <w:p w14:paraId="346177B2" w14:textId="77777777" w:rsidR="00F72887" w:rsidRPr="00E25C87" w:rsidRDefault="00F72887" w:rsidP="00F72887">
            <w:pPr>
              <w:spacing w:line="240" w:lineRule="auto"/>
              <w:jc w:val="left"/>
              <w:rPr>
                <w:lang w:val="en-GB"/>
              </w:rPr>
            </w:pPr>
          </w:p>
        </w:tc>
        <w:tc>
          <w:tcPr>
            <w:tcW w:w="807" w:type="dxa"/>
          </w:tcPr>
          <w:p w14:paraId="1A39C0C2"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0.20</w:t>
            </w:r>
          </w:p>
        </w:tc>
        <w:tc>
          <w:tcPr>
            <w:tcW w:w="854" w:type="dxa"/>
          </w:tcPr>
          <w:p w14:paraId="34A484D4"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18DA6014" w14:textId="77777777" w:rsidTr="0067426D">
        <w:tc>
          <w:tcPr>
            <w:tcW w:w="926" w:type="dxa"/>
          </w:tcPr>
          <w:p w14:paraId="60D2A917" w14:textId="77777777" w:rsidR="00F72887" w:rsidRPr="00E25C87" w:rsidRDefault="00F72887" w:rsidP="00F72887">
            <w:pPr>
              <w:spacing w:line="240" w:lineRule="auto"/>
              <w:jc w:val="left"/>
              <w:rPr>
                <w:lang w:val="en-GB"/>
              </w:rPr>
            </w:pPr>
          </w:p>
        </w:tc>
        <w:tc>
          <w:tcPr>
            <w:tcW w:w="4739" w:type="dxa"/>
          </w:tcPr>
          <w:p w14:paraId="0CADC654"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Recovered Capacitors</w:t>
            </w:r>
          </w:p>
        </w:tc>
        <w:tc>
          <w:tcPr>
            <w:tcW w:w="2302" w:type="dxa"/>
          </w:tcPr>
          <w:p w14:paraId="019E385F" w14:textId="77777777" w:rsidR="00F72887" w:rsidRPr="00E25C87" w:rsidRDefault="00F72887" w:rsidP="00F72887">
            <w:pPr>
              <w:spacing w:line="240" w:lineRule="auto"/>
              <w:jc w:val="left"/>
              <w:rPr>
                <w:lang w:val="en-GB"/>
              </w:rPr>
            </w:pPr>
          </w:p>
        </w:tc>
        <w:tc>
          <w:tcPr>
            <w:tcW w:w="807" w:type="dxa"/>
          </w:tcPr>
          <w:p w14:paraId="2DE53C4D"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0.20</w:t>
            </w:r>
          </w:p>
        </w:tc>
        <w:tc>
          <w:tcPr>
            <w:tcW w:w="854" w:type="dxa"/>
          </w:tcPr>
          <w:p w14:paraId="4E471AC2"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0277D33E" w14:textId="77777777" w:rsidTr="0067426D">
        <w:tc>
          <w:tcPr>
            <w:tcW w:w="926" w:type="dxa"/>
          </w:tcPr>
          <w:p w14:paraId="0CA4A819" w14:textId="77777777" w:rsidR="00F72887" w:rsidRPr="00E25C87" w:rsidRDefault="00F72887" w:rsidP="00F72887">
            <w:pPr>
              <w:spacing w:line="240" w:lineRule="auto"/>
              <w:jc w:val="left"/>
              <w:rPr>
                <w:lang w:val="en-GB"/>
              </w:rPr>
            </w:pPr>
          </w:p>
        </w:tc>
        <w:tc>
          <w:tcPr>
            <w:tcW w:w="4739" w:type="dxa"/>
          </w:tcPr>
          <w:p w14:paraId="23D18FD7" w14:textId="7777777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Copper </w:t>
            </w:r>
          </w:p>
        </w:tc>
        <w:tc>
          <w:tcPr>
            <w:tcW w:w="2302" w:type="dxa"/>
          </w:tcPr>
          <w:p w14:paraId="3987ECE5" w14:textId="77777777" w:rsidR="00F72887" w:rsidRPr="00E25C87" w:rsidRDefault="00F72887" w:rsidP="00F72887">
            <w:pPr>
              <w:spacing w:line="240" w:lineRule="auto"/>
              <w:jc w:val="left"/>
              <w:rPr>
                <w:lang w:val="en-GB"/>
              </w:rPr>
            </w:pPr>
          </w:p>
        </w:tc>
        <w:tc>
          <w:tcPr>
            <w:tcW w:w="807" w:type="dxa"/>
          </w:tcPr>
          <w:p w14:paraId="2E97D31A"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0.40</w:t>
            </w:r>
          </w:p>
        </w:tc>
        <w:tc>
          <w:tcPr>
            <w:tcW w:w="854" w:type="dxa"/>
          </w:tcPr>
          <w:p w14:paraId="118A51FB"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5447387B" w14:textId="77777777" w:rsidTr="0067426D">
        <w:tc>
          <w:tcPr>
            <w:tcW w:w="926" w:type="dxa"/>
          </w:tcPr>
          <w:p w14:paraId="49EFA8D2" w14:textId="77777777" w:rsidR="00F72887" w:rsidRPr="00E25C87" w:rsidRDefault="00F72887" w:rsidP="00F72887">
            <w:pPr>
              <w:spacing w:line="240" w:lineRule="auto"/>
              <w:jc w:val="left"/>
              <w:rPr>
                <w:lang w:val="en-GB"/>
              </w:rPr>
            </w:pPr>
          </w:p>
        </w:tc>
        <w:tc>
          <w:tcPr>
            <w:tcW w:w="4739" w:type="dxa"/>
          </w:tcPr>
          <w:p w14:paraId="0A2C5C15" w14:textId="65DE4D90" w:rsidR="00F72887" w:rsidRPr="00E25C87" w:rsidRDefault="00F24473"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Polyurethane</w:t>
            </w:r>
            <w:r w:rsidR="00D60B36" w:rsidRPr="00E25C87">
              <w:rPr>
                <w:rFonts w:ascii="Times New Roman" w:hAnsi="Times New Roman"/>
                <w:sz w:val="18"/>
                <w:szCs w:val="18"/>
                <w:lang w:val="en-GB"/>
              </w:rPr>
              <w:t>, to be</w:t>
            </w:r>
            <w:r w:rsidR="00F72887" w:rsidRPr="00E25C87">
              <w:rPr>
                <w:rFonts w:ascii="Times New Roman" w:hAnsi="Times New Roman"/>
                <w:sz w:val="18"/>
                <w:szCs w:val="18"/>
                <w:lang w:val="en-GB"/>
              </w:rPr>
              <w:t xml:space="preserve"> disposed of in landfill</w:t>
            </w:r>
          </w:p>
        </w:tc>
        <w:tc>
          <w:tcPr>
            <w:tcW w:w="2302" w:type="dxa"/>
          </w:tcPr>
          <w:p w14:paraId="62D5494D" w14:textId="77777777" w:rsidR="00F72887" w:rsidRPr="00E25C87" w:rsidRDefault="00F72887" w:rsidP="00F72887">
            <w:pPr>
              <w:spacing w:line="240" w:lineRule="auto"/>
              <w:jc w:val="left"/>
              <w:rPr>
                <w:lang w:val="en-GB"/>
              </w:rPr>
            </w:pPr>
          </w:p>
        </w:tc>
        <w:tc>
          <w:tcPr>
            <w:tcW w:w="807" w:type="dxa"/>
          </w:tcPr>
          <w:p w14:paraId="2B69E73D"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166.00</w:t>
            </w:r>
          </w:p>
        </w:tc>
        <w:tc>
          <w:tcPr>
            <w:tcW w:w="854" w:type="dxa"/>
          </w:tcPr>
          <w:p w14:paraId="18D8E7F4"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F72887" w:rsidRPr="00E25C87" w14:paraId="38C6D57C" w14:textId="77777777" w:rsidTr="0067426D">
        <w:tc>
          <w:tcPr>
            <w:tcW w:w="926" w:type="dxa"/>
          </w:tcPr>
          <w:p w14:paraId="4B4EB367" w14:textId="77777777" w:rsidR="00F72887" w:rsidRPr="00E25C87" w:rsidRDefault="00F72887" w:rsidP="00F72887">
            <w:pPr>
              <w:spacing w:line="240" w:lineRule="auto"/>
              <w:jc w:val="left"/>
              <w:rPr>
                <w:lang w:val="en-GB"/>
              </w:rPr>
            </w:pPr>
          </w:p>
        </w:tc>
        <w:tc>
          <w:tcPr>
            <w:tcW w:w="4739" w:type="dxa"/>
          </w:tcPr>
          <w:p w14:paraId="254565C3" w14:textId="77512FF7" w:rsidR="00F72887" w:rsidRPr="00E25C87" w:rsidRDefault="00F72887" w:rsidP="00F72887">
            <w:pPr>
              <w:spacing w:line="240" w:lineRule="auto"/>
              <w:rPr>
                <w:rFonts w:ascii="Times New Roman" w:hAnsi="Times New Roman"/>
                <w:sz w:val="18"/>
                <w:szCs w:val="18"/>
                <w:lang w:val="en-GB"/>
              </w:rPr>
            </w:pPr>
            <w:r w:rsidRPr="00E25C87">
              <w:rPr>
                <w:rFonts w:ascii="Times New Roman" w:hAnsi="Times New Roman"/>
                <w:sz w:val="18"/>
                <w:szCs w:val="18"/>
                <w:lang w:val="en-GB"/>
              </w:rPr>
              <w:t>Residual Waste</w:t>
            </w:r>
            <w:r w:rsidR="00D60B36" w:rsidRPr="00E25C87">
              <w:rPr>
                <w:rFonts w:ascii="Times New Roman" w:hAnsi="Times New Roman"/>
                <w:sz w:val="18"/>
                <w:szCs w:val="18"/>
                <w:lang w:val="en-GB"/>
              </w:rPr>
              <w:t>, to be</w:t>
            </w:r>
            <w:r w:rsidRPr="00E25C87">
              <w:rPr>
                <w:rFonts w:ascii="Times New Roman" w:hAnsi="Times New Roman"/>
                <w:sz w:val="18"/>
                <w:szCs w:val="18"/>
                <w:lang w:val="en-GB"/>
              </w:rPr>
              <w:t xml:space="preserve"> disposed of in landfill</w:t>
            </w:r>
          </w:p>
        </w:tc>
        <w:tc>
          <w:tcPr>
            <w:tcW w:w="2302" w:type="dxa"/>
          </w:tcPr>
          <w:p w14:paraId="725DC087" w14:textId="77777777" w:rsidR="00F72887" w:rsidRPr="00E25C87" w:rsidRDefault="00F72887" w:rsidP="00F72887">
            <w:pPr>
              <w:spacing w:line="240" w:lineRule="auto"/>
              <w:jc w:val="left"/>
              <w:rPr>
                <w:lang w:val="en-GB"/>
              </w:rPr>
            </w:pPr>
          </w:p>
        </w:tc>
        <w:tc>
          <w:tcPr>
            <w:tcW w:w="807" w:type="dxa"/>
          </w:tcPr>
          <w:p w14:paraId="11B00151" w14:textId="77777777" w:rsidR="00F72887" w:rsidRPr="00E25C87" w:rsidRDefault="00F72887" w:rsidP="00F72887">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20.50</w:t>
            </w:r>
          </w:p>
        </w:tc>
        <w:tc>
          <w:tcPr>
            <w:tcW w:w="854" w:type="dxa"/>
          </w:tcPr>
          <w:p w14:paraId="282F4716" w14:textId="77777777" w:rsidR="00F72887" w:rsidRPr="00E25C87" w:rsidRDefault="00F72887" w:rsidP="00F72887">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bl>
    <w:p w14:paraId="7534DF24" w14:textId="36761521" w:rsidR="00D15554" w:rsidRPr="00E25C87" w:rsidRDefault="00D15554" w:rsidP="00D15554">
      <w:pPr>
        <w:pStyle w:val="Abstract"/>
        <w:tabs>
          <w:tab w:val="left" w:pos="6379"/>
        </w:tabs>
        <w:ind w:left="0" w:right="-30"/>
        <w:jc w:val="center"/>
        <w:rPr>
          <w:b/>
          <w:sz w:val="18"/>
          <w:szCs w:val="18"/>
          <w:u w:val="single"/>
          <w:lang w:val="en-GB"/>
        </w:rPr>
      </w:pPr>
      <w:r w:rsidRPr="00E25C87">
        <w:rPr>
          <w:sz w:val="18"/>
          <w:szCs w:val="18"/>
          <w:lang w:val="en-GB"/>
        </w:rPr>
        <w:t>Sources: Elaboration of the Authors</w:t>
      </w:r>
    </w:p>
    <w:p w14:paraId="05D0F244" w14:textId="77777777" w:rsidR="008C628D" w:rsidRPr="00E25C87" w:rsidRDefault="008C628D" w:rsidP="00154902">
      <w:pPr>
        <w:spacing w:line="259" w:lineRule="auto"/>
        <w:rPr>
          <w:rFonts w:eastAsia="Calibri"/>
          <w:sz w:val="18"/>
          <w:szCs w:val="18"/>
          <w:lang w:val="en-GB"/>
        </w:rPr>
      </w:pPr>
    </w:p>
    <w:p w14:paraId="582CB05B" w14:textId="381B27F0" w:rsidR="008F4E05" w:rsidRPr="00E25C87" w:rsidRDefault="00154902" w:rsidP="00154902">
      <w:pPr>
        <w:spacing w:line="259" w:lineRule="auto"/>
        <w:rPr>
          <w:sz w:val="24"/>
          <w:lang w:val="en-GB"/>
        </w:rPr>
      </w:pPr>
      <w:r w:rsidRPr="00E25C87">
        <w:rPr>
          <w:rFonts w:eastAsia="Calibri"/>
          <w:sz w:val="18"/>
          <w:szCs w:val="18"/>
          <w:lang w:val="en-GB"/>
        </w:rPr>
        <w:t xml:space="preserve">Table 2. </w:t>
      </w:r>
      <w:r w:rsidR="00B07AFF">
        <w:rPr>
          <w:rFonts w:eastAsia="Calibri"/>
          <w:sz w:val="18"/>
          <w:szCs w:val="18"/>
          <w:lang w:val="en-GB"/>
        </w:rPr>
        <w:t>Material and energy inventory</w:t>
      </w:r>
      <w:r w:rsidR="00B07AFF" w:rsidRPr="00E25C87">
        <w:rPr>
          <w:rFonts w:eastAsia="Calibri"/>
          <w:sz w:val="18"/>
          <w:szCs w:val="18"/>
          <w:lang w:val="en-GB"/>
        </w:rPr>
        <w:t xml:space="preserve"> </w:t>
      </w:r>
      <w:r w:rsidRPr="00E25C87">
        <w:rPr>
          <w:rFonts w:eastAsia="Calibri"/>
          <w:sz w:val="18"/>
          <w:szCs w:val="18"/>
          <w:lang w:val="en-GB"/>
        </w:rPr>
        <w:t xml:space="preserve">data for 1 tonne of collected WEEE R2 category in Campania Region and treated in the plants of Balvano and Sessano del Molise. </w:t>
      </w:r>
    </w:p>
    <w:tbl>
      <w:tblPr>
        <w:tblStyle w:val="Grigliatabella2"/>
        <w:tblW w:w="0" w:type="auto"/>
        <w:tblLook w:val="04A0" w:firstRow="1" w:lastRow="0" w:firstColumn="1" w:lastColumn="0" w:noHBand="0" w:noVBand="1"/>
      </w:tblPr>
      <w:tblGrid>
        <w:gridCol w:w="967"/>
        <w:gridCol w:w="2706"/>
        <w:gridCol w:w="1594"/>
        <w:gridCol w:w="847"/>
        <w:gridCol w:w="1076"/>
      </w:tblGrid>
      <w:tr w:rsidR="00154902" w:rsidRPr="00E25C87" w14:paraId="062E3D39" w14:textId="77777777" w:rsidTr="008C628D">
        <w:tc>
          <w:tcPr>
            <w:tcW w:w="967" w:type="dxa"/>
          </w:tcPr>
          <w:p w14:paraId="140DD309" w14:textId="77777777" w:rsidR="00154902" w:rsidRPr="00E25C87" w:rsidRDefault="00154902" w:rsidP="00154902">
            <w:pPr>
              <w:spacing w:line="240" w:lineRule="auto"/>
              <w:jc w:val="left"/>
              <w:rPr>
                <w:rFonts w:ascii="Times New Roman" w:hAnsi="Times New Roman"/>
                <w:sz w:val="18"/>
                <w:szCs w:val="18"/>
                <w:lang w:val="en-GB"/>
              </w:rPr>
            </w:pPr>
          </w:p>
        </w:tc>
        <w:tc>
          <w:tcPr>
            <w:tcW w:w="2706" w:type="dxa"/>
          </w:tcPr>
          <w:p w14:paraId="7165C44D" w14:textId="77777777" w:rsidR="00154902" w:rsidRPr="00E25C87" w:rsidRDefault="00154902" w:rsidP="00154902">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Flow </w:t>
            </w:r>
          </w:p>
        </w:tc>
        <w:tc>
          <w:tcPr>
            <w:tcW w:w="1594" w:type="dxa"/>
          </w:tcPr>
          <w:p w14:paraId="6828BB7A" w14:textId="77777777" w:rsidR="00154902" w:rsidRPr="00E25C87" w:rsidRDefault="00154902" w:rsidP="00154902">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Data Sources </w:t>
            </w:r>
          </w:p>
        </w:tc>
        <w:tc>
          <w:tcPr>
            <w:tcW w:w="847" w:type="dxa"/>
          </w:tcPr>
          <w:p w14:paraId="7DAD1ABF" w14:textId="77777777" w:rsidR="00154902" w:rsidRPr="00E25C87" w:rsidRDefault="00154902" w:rsidP="00154902">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Amount </w:t>
            </w:r>
          </w:p>
        </w:tc>
        <w:tc>
          <w:tcPr>
            <w:tcW w:w="1076" w:type="dxa"/>
          </w:tcPr>
          <w:p w14:paraId="74E81303" w14:textId="77777777" w:rsidR="00154902" w:rsidRPr="00E25C87" w:rsidRDefault="00154902" w:rsidP="00154902">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Unit </w:t>
            </w:r>
          </w:p>
        </w:tc>
      </w:tr>
      <w:tr w:rsidR="00154902" w:rsidRPr="00E25C87" w14:paraId="59A0D08C" w14:textId="77777777" w:rsidTr="008C628D">
        <w:tc>
          <w:tcPr>
            <w:tcW w:w="967" w:type="dxa"/>
          </w:tcPr>
          <w:p w14:paraId="36EF732C" w14:textId="77777777" w:rsidR="00154902" w:rsidRPr="00E25C87" w:rsidRDefault="00154902" w:rsidP="00154902">
            <w:pPr>
              <w:spacing w:line="240" w:lineRule="auto"/>
              <w:rPr>
                <w:rFonts w:ascii="Times New Roman" w:hAnsi="Times New Roman"/>
                <w:b/>
                <w:bCs/>
                <w:sz w:val="18"/>
                <w:szCs w:val="18"/>
                <w:lang w:val="en-GB"/>
              </w:rPr>
            </w:pPr>
            <w:r w:rsidRPr="00E25C87">
              <w:rPr>
                <w:rFonts w:ascii="Times New Roman" w:hAnsi="Times New Roman"/>
                <w:b/>
                <w:bCs/>
                <w:sz w:val="18"/>
                <w:szCs w:val="18"/>
                <w:lang w:val="en-GB"/>
              </w:rPr>
              <w:t>INPUT</w:t>
            </w:r>
          </w:p>
        </w:tc>
        <w:tc>
          <w:tcPr>
            <w:tcW w:w="2706" w:type="dxa"/>
          </w:tcPr>
          <w:p w14:paraId="1B22330E"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WEEE collected and treated </w:t>
            </w:r>
          </w:p>
        </w:tc>
        <w:tc>
          <w:tcPr>
            <w:tcW w:w="1594" w:type="dxa"/>
          </w:tcPr>
          <w:p w14:paraId="0A0D7249" w14:textId="77777777" w:rsidR="00154902" w:rsidRPr="00E25C87" w:rsidRDefault="00154902" w:rsidP="00154902">
            <w:pPr>
              <w:spacing w:line="240" w:lineRule="auto"/>
              <w:jc w:val="left"/>
              <w:rPr>
                <w:rFonts w:ascii="Times New Roman" w:hAnsi="Times New Roman"/>
                <w:sz w:val="18"/>
                <w:szCs w:val="18"/>
                <w:lang w:val="en-GB"/>
              </w:rPr>
            </w:pPr>
          </w:p>
        </w:tc>
        <w:tc>
          <w:tcPr>
            <w:tcW w:w="847" w:type="dxa"/>
          </w:tcPr>
          <w:p w14:paraId="40E617F6"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w:t>
            </w:r>
          </w:p>
        </w:tc>
        <w:tc>
          <w:tcPr>
            <w:tcW w:w="1076" w:type="dxa"/>
          </w:tcPr>
          <w:p w14:paraId="5632101B"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Tonne </w:t>
            </w:r>
          </w:p>
        </w:tc>
      </w:tr>
      <w:tr w:rsidR="00154902" w:rsidRPr="00E25C87" w14:paraId="41731CE8" w14:textId="77777777" w:rsidTr="008C628D">
        <w:tc>
          <w:tcPr>
            <w:tcW w:w="967" w:type="dxa"/>
          </w:tcPr>
          <w:p w14:paraId="096D648D" w14:textId="77777777" w:rsidR="00154902" w:rsidRPr="00E25C87" w:rsidRDefault="00154902" w:rsidP="00154902">
            <w:pPr>
              <w:spacing w:line="240" w:lineRule="auto"/>
              <w:rPr>
                <w:rFonts w:ascii="Times New Roman" w:hAnsi="Times New Roman"/>
                <w:sz w:val="18"/>
                <w:szCs w:val="18"/>
                <w:lang w:val="en-GB"/>
              </w:rPr>
            </w:pPr>
          </w:p>
        </w:tc>
        <w:tc>
          <w:tcPr>
            <w:tcW w:w="2706" w:type="dxa"/>
          </w:tcPr>
          <w:p w14:paraId="44B738F5"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Transport from Regional collection points to treatment plants</w:t>
            </w:r>
          </w:p>
        </w:tc>
        <w:tc>
          <w:tcPr>
            <w:tcW w:w="1594" w:type="dxa"/>
          </w:tcPr>
          <w:p w14:paraId="4410F0A3"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Transport, freight, lorry 3.5-7.5 metric tonne (Ecoinvent 3.8)</w:t>
            </w:r>
          </w:p>
        </w:tc>
        <w:tc>
          <w:tcPr>
            <w:tcW w:w="847" w:type="dxa"/>
          </w:tcPr>
          <w:p w14:paraId="58EC6AB1"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133.5</w:t>
            </w:r>
          </w:p>
        </w:tc>
        <w:tc>
          <w:tcPr>
            <w:tcW w:w="1076" w:type="dxa"/>
          </w:tcPr>
          <w:p w14:paraId="00C5DB1A"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Tonne*Km</w:t>
            </w:r>
          </w:p>
        </w:tc>
      </w:tr>
      <w:tr w:rsidR="00154902" w:rsidRPr="00E25C87" w14:paraId="3AA05F3F" w14:textId="77777777" w:rsidTr="008C628D">
        <w:tc>
          <w:tcPr>
            <w:tcW w:w="967" w:type="dxa"/>
          </w:tcPr>
          <w:p w14:paraId="7828CD6A" w14:textId="77777777" w:rsidR="00154902" w:rsidRPr="00E25C87" w:rsidRDefault="00154902" w:rsidP="00154902">
            <w:pPr>
              <w:spacing w:line="240" w:lineRule="auto"/>
              <w:jc w:val="left"/>
              <w:rPr>
                <w:rFonts w:ascii="Times New Roman" w:hAnsi="Times New Roman"/>
                <w:sz w:val="18"/>
                <w:szCs w:val="18"/>
                <w:lang w:val="en-GB"/>
              </w:rPr>
            </w:pPr>
          </w:p>
        </w:tc>
        <w:tc>
          <w:tcPr>
            <w:tcW w:w="2706" w:type="dxa"/>
          </w:tcPr>
          <w:p w14:paraId="505D5EB5"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Electricity, medium voltage – IT  </w:t>
            </w:r>
          </w:p>
        </w:tc>
        <w:tc>
          <w:tcPr>
            <w:tcW w:w="1594" w:type="dxa"/>
          </w:tcPr>
          <w:p w14:paraId="290721B1"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Ecoinvent 3.8 and Biganzoli et al., (2015)</w:t>
            </w:r>
          </w:p>
        </w:tc>
        <w:tc>
          <w:tcPr>
            <w:tcW w:w="847" w:type="dxa"/>
          </w:tcPr>
          <w:p w14:paraId="11A45846"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66</w:t>
            </w:r>
          </w:p>
        </w:tc>
        <w:tc>
          <w:tcPr>
            <w:tcW w:w="1076" w:type="dxa"/>
          </w:tcPr>
          <w:p w14:paraId="68DB2827" w14:textId="2216AE85"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kWh</w:t>
            </w:r>
            <w:r w:rsidR="00F24473" w:rsidRPr="00E25C87">
              <w:rPr>
                <w:rFonts w:ascii="Times New Roman" w:hAnsi="Times New Roman"/>
                <w:sz w:val="18"/>
                <w:szCs w:val="18"/>
                <w:lang w:val="en-GB"/>
              </w:rPr>
              <w:t>/Tonne</w:t>
            </w:r>
          </w:p>
        </w:tc>
      </w:tr>
      <w:tr w:rsidR="00154902" w:rsidRPr="00E25C87" w14:paraId="42ED5F35" w14:textId="77777777" w:rsidTr="008C628D">
        <w:tc>
          <w:tcPr>
            <w:tcW w:w="967" w:type="dxa"/>
          </w:tcPr>
          <w:p w14:paraId="3572D020" w14:textId="77777777" w:rsidR="00154902" w:rsidRPr="00E25C87" w:rsidRDefault="00154902" w:rsidP="00154902">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OUTPUT</w:t>
            </w:r>
          </w:p>
        </w:tc>
        <w:tc>
          <w:tcPr>
            <w:tcW w:w="2706" w:type="dxa"/>
          </w:tcPr>
          <w:p w14:paraId="10A7261B"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Recovered Steel and Iron</w:t>
            </w:r>
          </w:p>
        </w:tc>
        <w:tc>
          <w:tcPr>
            <w:tcW w:w="1594" w:type="dxa"/>
          </w:tcPr>
          <w:p w14:paraId="776DA269" w14:textId="77777777" w:rsidR="00154902" w:rsidRPr="00E25C87" w:rsidRDefault="00154902" w:rsidP="00154902">
            <w:pPr>
              <w:spacing w:line="240" w:lineRule="auto"/>
              <w:jc w:val="left"/>
              <w:rPr>
                <w:rFonts w:ascii="Times New Roman" w:hAnsi="Times New Roman"/>
                <w:sz w:val="18"/>
                <w:szCs w:val="18"/>
                <w:lang w:val="en-GB"/>
              </w:rPr>
            </w:pPr>
          </w:p>
        </w:tc>
        <w:tc>
          <w:tcPr>
            <w:tcW w:w="847" w:type="dxa"/>
          </w:tcPr>
          <w:p w14:paraId="43FC96B9"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648.10</w:t>
            </w:r>
          </w:p>
        </w:tc>
        <w:tc>
          <w:tcPr>
            <w:tcW w:w="1076" w:type="dxa"/>
          </w:tcPr>
          <w:p w14:paraId="4C2F055B"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154902" w:rsidRPr="00E25C87" w14:paraId="5481F519" w14:textId="77777777" w:rsidTr="008C628D">
        <w:tc>
          <w:tcPr>
            <w:tcW w:w="967" w:type="dxa"/>
          </w:tcPr>
          <w:p w14:paraId="276A445B" w14:textId="77777777" w:rsidR="00154902" w:rsidRPr="00E25C87" w:rsidRDefault="00154902" w:rsidP="00154902">
            <w:pPr>
              <w:spacing w:line="240" w:lineRule="auto"/>
              <w:jc w:val="left"/>
              <w:rPr>
                <w:lang w:val="en-GB"/>
              </w:rPr>
            </w:pPr>
          </w:p>
        </w:tc>
        <w:tc>
          <w:tcPr>
            <w:tcW w:w="2706" w:type="dxa"/>
          </w:tcPr>
          <w:p w14:paraId="32CD1134" w14:textId="77777777" w:rsidR="00154902" w:rsidRPr="00E25C87" w:rsidRDefault="00154902" w:rsidP="00154902">
            <w:pPr>
              <w:spacing w:line="240" w:lineRule="auto"/>
              <w:rPr>
                <w:lang w:val="en-GB"/>
              </w:rPr>
            </w:pPr>
            <w:r w:rsidRPr="00E25C87">
              <w:rPr>
                <w:rFonts w:ascii="Times New Roman" w:hAnsi="Times New Roman"/>
                <w:sz w:val="18"/>
                <w:szCs w:val="18"/>
                <w:lang w:val="en-GB"/>
              </w:rPr>
              <w:t xml:space="preserve">Recovered Concrete </w:t>
            </w:r>
          </w:p>
        </w:tc>
        <w:tc>
          <w:tcPr>
            <w:tcW w:w="1594" w:type="dxa"/>
          </w:tcPr>
          <w:p w14:paraId="0019CFF0" w14:textId="77777777" w:rsidR="00154902" w:rsidRPr="00E25C87" w:rsidRDefault="00154902" w:rsidP="00154902">
            <w:pPr>
              <w:spacing w:line="240" w:lineRule="auto"/>
              <w:jc w:val="left"/>
              <w:rPr>
                <w:lang w:val="en-GB"/>
              </w:rPr>
            </w:pPr>
          </w:p>
        </w:tc>
        <w:tc>
          <w:tcPr>
            <w:tcW w:w="847" w:type="dxa"/>
          </w:tcPr>
          <w:p w14:paraId="794AC7B5"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274. 00</w:t>
            </w:r>
          </w:p>
        </w:tc>
        <w:tc>
          <w:tcPr>
            <w:tcW w:w="1076" w:type="dxa"/>
          </w:tcPr>
          <w:p w14:paraId="44DC5A53" w14:textId="77777777" w:rsidR="00154902" w:rsidRPr="00E25C87" w:rsidRDefault="00154902" w:rsidP="00154902">
            <w:pPr>
              <w:spacing w:line="240" w:lineRule="auto"/>
              <w:jc w:val="left"/>
              <w:rPr>
                <w:lang w:val="en-GB"/>
              </w:rPr>
            </w:pPr>
            <w:r w:rsidRPr="00E25C87">
              <w:rPr>
                <w:rFonts w:ascii="Times New Roman" w:hAnsi="Times New Roman"/>
                <w:sz w:val="18"/>
                <w:szCs w:val="18"/>
                <w:lang w:val="en-GB"/>
              </w:rPr>
              <w:t>Kg/tonne</w:t>
            </w:r>
          </w:p>
        </w:tc>
      </w:tr>
      <w:tr w:rsidR="00154902" w:rsidRPr="00E25C87" w14:paraId="20C6D5B7" w14:textId="77777777" w:rsidTr="008C628D">
        <w:tc>
          <w:tcPr>
            <w:tcW w:w="967" w:type="dxa"/>
          </w:tcPr>
          <w:p w14:paraId="18A49CD9" w14:textId="77777777" w:rsidR="00154902" w:rsidRPr="00E25C87" w:rsidRDefault="00154902" w:rsidP="00154902">
            <w:pPr>
              <w:spacing w:line="240" w:lineRule="auto"/>
              <w:jc w:val="left"/>
              <w:rPr>
                <w:lang w:val="en-GB"/>
              </w:rPr>
            </w:pPr>
          </w:p>
        </w:tc>
        <w:tc>
          <w:tcPr>
            <w:tcW w:w="2706" w:type="dxa"/>
          </w:tcPr>
          <w:p w14:paraId="7E21DF5C"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Recovered Motors</w:t>
            </w:r>
          </w:p>
        </w:tc>
        <w:tc>
          <w:tcPr>
            <w:tcW w:w="1594" w:type="dxa"/>
          </w:tcPr>
          <w:p w14:paraId="7482C4E7" w14:textId="77777777" w:rsidR="00154902" w:rsidRPr="00E25C87" w:rsidRDefault="00154902" w:rsidP="00154902">
            <w:pPr>
              <w:spacing w:line="240" w:lineRule="auto"/>
              <w:jc w:val="left"/>
              <w:rPr>
                <w:lang w:val="en-GB"/>
              </w:rPr>
            </w:pPr>
          </w:p>
        </w:tc>
        <w:tc>
          <w:tcPr>
            <w:tcW w:w="847" w:type="dxa"/>
          </w:tcPr>
          <w:p w14:paraId="57C8D51E"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70.00</w:t>
            </w:r>
          </w:p>
        </w:tc>
        <w:tc>
          <w:tcPr>
            <w:tcW w:w="1076" w:type="dxa"/>
          </w:tcPr>
          <w:p w14:paraId="4EA4BBD6"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 xml:space="preserve">Kg/tonne </w:t>
            </w:r>
          </w:p>
        </w:tc>
      </w:tr>
      <w:tr w:rsidR="00154902" w:rsidRPr="00E25C87" w14:paraId="7BFBA6C1" w14:textId="77777777" w:rsidTr="008C628D">
        <w:tc>
          <w:tcPr>
            <w:tcW w:w="967" w:type="dxa"/>
          </w:tcPr>
          <w:p w14:paraId="07018036" w14:textId="77777777" w:rsidR="00154902" w:rsidRPr="00E25C87" w:rsidRDefault="00154902" w:rsidP="00154902">
            <w:pPr>
              <w:spacing w:line="240" w:lineRule="auto"/>
              <w:jc w:val="left"/>
              <w:rPr>
                <w:lang w:val="en-GB"/>
              </w:rPr>
            </w:pPr>
          </w:p>
        </w:tc>
        <w:tc>
          <w:tcPr>
            <w:tcW w:w="2706" w:type="dxa"/>
          </w:tcPr>
          <w:p w14:paraId="5FA049F8"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Cables </w:t>
            </w:r>
          </w:p>
        </w:tc>
        <w:tc>
          <w:tcPr>
            <w:tcW w:w="1594" w:type="dxa"/>
          </w:tcPr>
          <w:p w14:paraId="23428B55" w14:textId="77777777" w:rsidR="00154902" w:rsidRPr="00E25C87" w:rsidRDefault="00154902" w:rsidP="00154902">
            <w:pPr>
              <w:spacing w:line="240" w:lineRule="auto"/>
              <w:jc w:val="left"/>
              <w:rPr>
                <w:lang w:val="en-GB"/>
              </w:rPr>
            </w:pPr>
          </w:p>
        </w:tc>
        <w:tc>
          <w:tcPr>
            <w:tcW w:w="847" w:type="dxa"/>
          </w:tcPr>
          <w:p w14:paraId="4AE8065B"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5.00</w:t>
            </w:r>
          </w:p>
        </w:tc>
        <w:tc>
          <w:tcPr>
            <w:tcW w:w="1076" w:type="dxa"/>
          </w:tcPr>
          <w:p w14:paraId="4248C007"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154902" w:rsidRPr="00E25C87" w14:paraId="6A57EAF6" w14:textId="77777777" w:rsidTr="008C628D">
        <w:tc>
          <w:tcPr>
            <w:tcW w:w="967" w:type="dxa"/>
          </w:tcPr>
          <w:p w14:paraId="00392EA2" w14:textId="77777777" w:rsidR="00154902" w:rsidRPr="00E25C87" w:rsidRDefault="00154902" w:rsidP="00154902">
            <w:pPr>
              <w:spacing w:line="240" w:lineRule="auto"/>
              <w:jc w:val="left"/>
              <w:rPr>
                <w:lang w:val="en-GB"/>
              </w:rPr>
            </w:pPr>
          </w:p>
        </w:tc>
        <w:tc>
          <w:tcPr>
            <w:tcW w:w="2706" w:type="dxa"/>
          </w:tcPr>
          <w:p w14:paraId="2CBE9B59"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 xml:space="preserve">Recovered Capacitors </w:t>
            </w:r>
          </w:p>
        </w:tc>
        <w:tc>
          <w:tcPr>
            <w:tcW w:w="1594" w:type="dxa"/>
          </w:tcPr>
          <w:p w14:paraId="275A7C67" w14:textId="77777777" w:rsidR="00154902" w:rsidRPr="00E25C87" w:rsidRDefault="00154902" w:rsidP="00154902">
            <w:pPr>
              <w:spacing w:line="240" w:lineRule="auto"/>
              <w:jc w:val="left"/>
              <w:rPr>
                <w:lang w:val="en-GB"/>
              </w:rPr>
            </w:pPr>
          </w:p>
        </w:tc>
        <w:tc>
          <w:tcPr>
            <w:tcW w:w="847" w:type="dxa"/>
          </w:tcPr>
          <w:p w14:paraId="55633FD4"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 xml:space="preserve">1.20 </w:t>
            </w:r>
          </w:p>
        </w:tc>
        <w:tc>
          <w:tcPr>
            <w:tcW w:w="1076" w:type="dxa"/>
          </w:tcPr>
          <w:p w14:paraId="5B947BA2"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r w:rsidR="00154902" w:rsidRPr="00E25C87" w14:paraId="5B9C58C0" w14:textId="77777777" w:rsidTr="008C628D">
        <w:tc>
          <w:tcPr>
            <w:tcW w:w="967" w:type="dxa"/>
          </w:tcPr>
          <w:p w14:paraId="49DDDBE6" w14:textId="77777777" w:rsidR="00154902" w:rsidRPr="00E25C87" w:rsidRDefault="00154902" w:rsidP="00154902">
            <w:pPr>
              <w:spacing w:line="240" w:lineRule="auto"/>
              <w:jc w:val="left"/>
              <w:rPr>
                <w:lang w:val="en-GB"/>
              </w:rPr>
            </w:pPr>
          </w:p>
        </w:tc>
        <w:tc>
          <w:tcPr>
            <w:tcW w:w="2706" w:type="dxa"/>
          </w:tcPr>
          <w:p w14:paraId="5F49DC0C" w14:textId="77777777" w:rsidR="00154902" w:rsidRPr="00E25C87" w:rsidRDefault="00154902" w:rsidP="00154902">
            <w:pPr>
              <w:spacing w:line="240" w:lineRule="auto"/>
              <w:rPr>
                <w:rFonts w:ascii="Times New Roman" w:hAnsi="Times New Roman"/>
                <w:sz w:val="18"/>
                <w:szCs w:val="18"/>
                <w:lang w:val="en-GB"/>
              </w:rPr>
            </w:pPr>
            <w:r w:rsidRPr="00E25C87">
              <w:rPr>
                <w:rFonts w:ascii="Times New Roman" w:hAnsi="Times New Roman"/>
                <w:sz w:val="18"/>
                <w:szCs w:val="18"/>
                <w:lang w:val="en-GB"/>
              </w:rPr>
              <w:t>Recovered Electronic boards</w:t>
            </w:r>
          </w:p>
        </w:tc>
        <w:tc>
          <w:tcPr>
            <w:tcW w:w="1594" w:type="dxa"/>
          </w:tcPr>
          <w:p w14:paraId="2F8B9BDE" w14:textId="77777777" w:rsidR="00154902" w:rsidRPr="00E25C87" w:rsidRDefault="00154902" w:rsidP="00154902">
            <w:pPr>
              <w:spacing w:line="240" w:lineRule="auto"/>
              <w:jc w:val="left"/>
              <w:rPr>
                <w:lang w:val="en-GB"/>
              </w:rPr>
            </w:pPr>
          </w:p>
        </w:tc>
        <w:tc>
          <w:tcPr>
            <w:tcW w:w="847" w:type="dxa"/>
          </w:tcPr>
          <w:p w14:paraId="19E74F85" w14:textId="77777777" w:rsidR="00154902" w:rsidRPr="00E25C87" w:rsidRDefault="00154902" w:rsidP="00154902">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1.70</w:t>
            </w:r>
          </w:p>
        </w:tc>
        <w:tc>
          <w:tcPr>
            <w:tcW w:w="1076" w:type="dxa"/>
          </w:tcPr>
          <w:p w14:paraId="59E259D0" w14:textId="77777777" w:rsidR="00154902" w:rsidRPr="00E25C87" w:rsidRDefault="00154902" w:rsidP="00154902">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Kg/tonne</w:t>
            </w:r>
          </w:p>
        </w:tc>
      </w:tr>
    </w:tbl>
    <w:p w14:paraId="326A32F1" w14:textId="77777777" w:rsidR="008C628D" w:rsidRPr="00E25C87" w:rsidRDefault="008C628D" w:rsidP="008C628D">
      <w:pPr>
        <w:pStyle w:val="Abstract"/>
        <w:spacing w:line="276" w:lineRule="auto"/>
        <w:jc w:val="center"/>
        <w:rPr>
          <w:b/>
          <w:sz w:val="18"/>
          <w:szCs w:val="18"/>
          <w:u w:val="single"/>
          <w:lang w:val="en-GB"/>
        </w:rPr>
      </w:pPr>
      <w:r w:rsidRPr="00E25C87">
        <w:rPr>
          <w:sz w:val="18"/>
          <w:szCs w:val="18"/>
          <w:lang w:val="en-GB"/>
        </w:rPr>
        <w:t>Sources: Elaboration of the Authors</w:t>
      </w:r>
    </w:p>
    <w:p w14:paraId="6B258642" w14:textId="199C8C56" w:rsidR="008F4E05" w:rsidRPr="00E25C87" w:rsidRDefault="008F4E05" w:rsidP="00D66ED0">
      <w:pPr>
        <w:pStyle w:val="Abstract"/>
        <w:tabs>
          <w:tab w:val="left" w:pos="6379"/>
        </w:tabs>
        <w:spacing w:line="276" w:lineRule="auto"/>
        <w:ind w:left="0" w:right="-30"/>
        <w:rPr>
          <w:snapToGrid/>
          <w:sz w:val="24"/>
          <w:lang w:val="en-GB"/>
        </w:rPr>
      </w:pPr>
    </w:p>
    <w:p w14:paraId="25C08A8C" w14:textId="5F960F51" w:rsidR="008F4E05" w:rsidRPr="00E25C87" w:rsidRDefault="00BA2174" w:rsidP="00D66ED0">
      <w:pPr>
        <w:pStyle w:val="Abstract"/>
        <w:tabs>
          <w:tab w:val="left" w:pos="6379"/>
        </w:tabs>
        <w:spacing w:line="276" w:lineRule="auto"/>
        <w:ind w:left="0" w:right="-30"/>
        <w:rPr>
          <w:i/>
          <w:iCs/>
          <w:snapToGrid/>
          <w:sz w:val="22"/>
          <w:szCs w:val="22"/>
          <w:lang w:val="en-GB"/>
        </w:rPr>
      </w:pPr>
      <w:r w:rsidRPr="00E25C87">
        <w:rPr>
          <w:i/>
          <w:iCs/>
          <w:snapToGrid/>
          <w:sz w:val="22"/>
          <w:szCs w:val="22"/>
          <w:lang w:val="en-GB"/>
        </w:rPr>
        <w:t>1.3.1.</w:t>
      </w:r>
      <w:r w:rsidR="00113DAF" w:rsidRPr="00E25C87">
        <w:rPr>
          <w:i/>
          <w:iCs/>
          <w:snapToGrid/>
          <w:sz w:val="22"/>
          <w:szCs w:val="22"/>
          <w:lang w:val="en-GB"/>
        </w:rPr>
        <w:t>3</w:t>
      </w:r>
      <w:r w:rsidRPr="00E25C87">
        <w:rPr>
          <w:i/>
          <w:iCs/>
          <w:snapToGrid/>
          <w:sz w:val="22"/>
          <w:szCs w:val="22"/>
          <w:lang w:val="en-GB"/>
        </w:rPr>
        <w:t xml:space="preserve"> Life Cycle Impact Assessment </w:t>
      </w:r>
    </w:p>
    <w:p w14:paraId="71CDCE5E" w14:textId="77777777" w:rsidR="005571FB" w:rsidRPr="00E25C87" w:rsidRDefault="005571FB" w:rsidP="00D66ED0">
      <w:pPr>
        <w:pStyle w:val="Abstract"/>
        <w:tabs>
          <w:tab w:val="left" w:pos="6379"/>
        </w:tabs>
        <w:spacing w:line="276" w:lineRule="auto"/>
        <w:ind w:left="0" w:right="-30"/>
        <w:rPr>
          <w:snapToGrid/>
          <w:sz w:val="24"/>
          <w:lang w:val="en-GB"/>
        </w:rPr>
      </w:pPr>
    </w:p>
    <w:p w14:paraId="73D70D69" w14:textId="7FE91522" w:rsidR="005571FB" w:rsidRPr="00E25C87" w:rsidRDefault="00113DAF" w:rsidP="00D66ED0">
      <w:pPr>
        <w:pStyle w:val="Abstract"/>
        <w:tabs>
          <w:tab w:val="left" w:pos="6379"/>
        </w:tabs>
        <w:spacing w:line="276" w:lineRule="auto"/>
        <w:ind w:left="0" w:right="-30"/>
        <w:rPr>
          <w:snapToGrid/>
          <w:sz w:val="24"/>
          <w:lang w:val="en-GB"/>
        </w:rPr>
      </w:pPr>
      <w:r w:rsidRPr="00E25C87">
        <w:rPr>
          <w:snapToGrid/>
          <w:sz w:val="24"/>
          <w:lang w:val="en-GB"/>
        </w:rPr>
        <w:t>This</w:t>
      </w:r>
      <w:r w:rsidR="004346D8" w:rsidRPr="00E25C87">
        <w:rPr>
          <w:snapToGrid/>
          <w:sz w:val="24"/>
          <w:lang w:val="en-GB"/>
        </w:rPr>
        <w:t xml:space="preserve"> </w:t>
      </w:r>
      <w:r w:rsidRPr="00E25C87">
        <w:rPr>
          <w:snapToGrid/>
          <w:sz w:val="24"/>
          <w:lang w:val="en-GB"/>
        </w:rPr>
        <w:t xml:space="preserve">stage </w:t>
      </w:r>
      <w:r w:rsidR="004346D8" w:rsidRPr="00E25C87">
        <w:rPr>
          <w:snapToGrid/>
          <w:sz w:val="24"/>
          <w:lang w:val="en-GB"/>
        </w:rPr>
        <w:t>consists in the processing of the</w:t>
      </w:r>
      <w:r w:rsidR="00E24725" w:rsidRPr="00E25C87">
        <w:rPr>
          <w:snapToGrid/>
          <w:sz w:val="24"/>
          <w:lang w:val="en-GB"/>
        </w:rPr>
        <w:t xml:space="preserve"> input and output</w:t>
      </w:r>
      <w:r w:rsidR="004346D8" w:rsidRPr="00E25C87">
        <w:rPr>
          <w:snapToGrid/>
          <w:sz w:val="24"/>
          <w:lang w:val="en-GB"/>
        </w:rPr>
        <w:t xml:space="preserve"> </w:t>
      </w:r>
      <w:r w:rsidR="00154902" w:rsidRPr="00E25C87">
        <w:rPr>
          <w:snapToGrid/>
          <w:sz w:val="24"/>
          <w:lang w:val="en-GB"/>
        </w:rPr>
        <w:t xml:space="preserve">data from the </w:t>
      </w:r>
      <w:r w:rsidR="004346D8" w:rsidRPr="00E25C87">
        <w:rPr>
          <w:snapToGrid/>
          <w:sz w:val="24"/>
          <w:lang w:val="en-GB"/>
        </w:rPr>
        <w:t>Inventory</w:t>
      </w:r>
      <w:r w:rsidR="005A4B94">
        <w:rPr>
          <w:snapToGrid/>
          <w:sz w:val="24"/>
          <w:lang w:val="en-GB"/>
        </w:rPr>
        <w:t>,</w:t>
      </w:r>
      <w:r w:rsidR="004346D8" w:rsidRPr="00E25C87">
        <w:rPr>
          <w:snapToGrid/>
          <w:sz w:val="24"/>
          <w:lang w:val="en-GB"/>
        </w:rPr>
        <w:t xml:space="preserve"> which </w:t>
      </w:r>
      <w:r w:rsidR="005A4B94">
        <w:rPr>
          <w:snapToGrid/>
          <w:sz w:val="24"/>
          <w:lang w:val="en-GB"/>
        </w:rPr>
        <w:t>translates in</w:t>
      </w:r>
      <w:r w:rsidR="004346D8" w:rsidRPr="00E25C87">
        <w:rPr>
          <w:snapToGrid/>
          <w:sz w:val="24"/>
          <w:lang w:val="en-GB"/>
        </w:rPr>
        <w:t xml:space="preserve">to specific impact </w:t>
      </w:r>
      <w:r w:rsidR="00E24725" w:rsidRPr="00E25C87">
        <w:rPr>
          <w:snapToGrid/>
          <w:sz w:val="24"/>
          <w:lang w:val="en-GB"/>
        </w:rPr>
        <w:t>categories by means of specific characterization methods</w:t>
      </w:r>
      <w:r w:rsidR="005A4B94">
        <w:rPr>
          <w:snapToGrid/>
          <w:sz w:val="24"/>
          <w:lang w:val="en-GB"/>
        </w:rPr>
        <w:t>,</w:t>
      </w:r>
      <w:r w:rsidR="00E24725" w:rsidRPr="00E25C87">
        <w:rPr>
          <w:snapToGrid/>
          <w:sz w:val="24"/>
          <w:lang w:val="en-GB"/>
        </w:rPr>
        <w:t xml:space="preserve"> </w:t>
      </w:r>
      <w:r w:rsidR="005A4B94">
        <w:rPr>
          <w:snapToGrid/>
          <w:sz w:val="24"/>
          <w:lang w:val="en-GB"/>
        </w:rPr>
        <w:t xml:space="preserve">highlighting </w:t>
      </w:r>
      <w:r w:rsidR="00E24725" w:rsidRPr="00E25C87">
        <w:rPr>
          <w:snapToGrid/>
          <w:sz w:val="24"/>
          <w:lang w:val="en-GB"/>
        </w:rPr>
        <w:t xml:space="preserve">the potential contribution that the system provides to each environmental </w:t>
      </w:r>
      <w:r w:rsidR="005A4B94">
        <w:rPr>
          <w:snapToGrid/>
          <w:sz w:val="24"/>
          <w:lang w:val="en-GB"/>
        </w:rPr>
        <w:t>aspect</w:t>
      </w:r>
      <w:r w:rsidR="005A4B94" w:rsidRPr="00E25C87">
        <w:rPr>
          <w:snapToGrid/>
          <w:sz w:val="24"/>
          <w:lang w:val="en-GB"/>
        </w:rPr>
        <w:t xml:space="preserve"> </w:t>
      </w:r>
      <w:r w:rsidR="00E24725" w:rsidRPr="00E25C87">
        <w:rPr>
          <w:snapToGrid/>
          <w:sz w:val="24"/>
          <w:lang w:val="en-GB"/>
        </w:rPr>
        <w:t xml:space="preserve">considered in the analysis. </w:t>
      </w:r>
    </w:p>
    <w:p w14:paraId="247A225B" w14:textId="77777777" w:rsidR="005571FB" w:rsidRPr="00E25C87" w:rsidRDefault="005571FB" w:rsidP="00D66ED0">
      <w:pPr>
        <w:pStyle w:val="Abstract"/>
        <w:tabs>
          <w:tab w:val="left" w:pos="6379"/>
        </w:tabs>
        <w:spacing w:line="276" w:lineRule="auto"/>
        <w:ind w:left="0" w:right="-30"/>
        <w:rPr>
          <w:snapToGrid/>
          <w:sz w:val="24"/>
          <w:lang w:val="en-GB"/>
        </w:rPr>
      </w:pPr>
    </w:p>
    <w:p w14:paraId="0CD0C2C7" w14:textId="4EB5E3AC" w:rsidR="005571FB" w:rsidRPr="00E25C87" w:rsidRDefault="009D47BE" w:rsidP="009D47BE">
      <w:pPr>
        <w:pStyle w:val="Abstract"/>
        <w:numPr>
          <w:ilvl w:val="1"/>
          <w:numId w:val="44"/>
        </w:numPr>
        <w:tabs>
          <w:tab w:val="left" w:pos="6379"/>
        </w:tabs>
        <w:spacing w:line="276" w:lineRule="auto"/>
        <w:ind w:right="-30"/>
        <w:rPr>
          <w:b/>
          <w:bCs/>
          <w:snapToGrid/>
          <w:sz w:val="22"/>
          <w:szCs w:val="22"/>
          <w:lang w:val="en-GB"/>
        </w:rPr>
      </w:pPr>
      <w:r w:rsidRPr="00E25C87">
        <w:rPr>
          <w:b/>
          <w:bCs/>
          <w:snapToGrid/>
          <w:sz w:val="22"/>
          <w:szCs w:val="22"/>
          <w:lang w:val="en-GB"/>
        </w:rPr>
        <w:t xml:space="preserve">Results and </w:t>
      </w:r>
      <w:r w:rsidR="00DB7838">
        <w:rPr>
          <w:b/>
          <w:bCs/>
          <w:snapToGrid/>
          <w:sz w:val="22"/>
          <w:szCs w:val="22"/>
          <w:lang w:val="en-GB"/>
        </w:rPr>
        <w:t>D</w:t>
      </w:r>
      <w:r w:rsidRPr="00E25C87">
        <w:rPr>
          <w:b/>
          <w:bCs/>
          <w:snapToGrid/>
          <w:sz w:val="22"/>
          <w:szCs w:val="22"/>
          <w:lang w:val="en-GB"/>
        </w:rPr>
        <w:t xml:space="preserve">iscussion </w:t>
      </w:r>
    </w:p>
    <w:p w14:paraId="71888542" w14:textId="3BEAC676" w:rsidR="008C628D" w:rsidRPr="00E25C87" w:rsidRDefault="008C628D" w:rsidP="009D47BE">
      <w:pPr>
        <w:pStyle w:val="Abstract"/>
        <w:tabs>
          <w:tab w:val="left" w:pos="6379"/>
        </w:tabs>
        <w:spacing w:line="276" w:lineRule="auto"/>
        <w:ind w:right="-30"/>
        <w:rPr>
          <w:b/>
          <w:bCs/>
          <w:snapToGrid/>
          <w:sz w:val="22"/>
          <w:szCs w:val="22"/>
          <w:lang w:val="en-GB"/>
        </w:rPr>
      </w:pPr>
    </w:p>
    <w:p w14:paraId="370CED9D" w14:textId="5939E875" w:rsidR="008C628D" w:rsidRPr="00E25C87" w:rsidRDefault="008C628D" w:rsidP="004A6AF7">
      <w:pPr>
        <w:pStyle w:val="Abstract"/>
        <w:tabs>
          <w:tab w:val="left" w:pos="6379"/>
        </w:tabs>
        <w:spacing w:line="276" w:lineRule="auto"/>
        <w:ind w:left="0" w:right="-30"/>
        <w:rPr>
          <w:b/>
          <w:bCs/>
          <w:snapToGrid/>
          <w:sz w:val="22"/>
          <w:szCs w:val="22"/>
          <w:lang w:val="en-GB"/>
        </w:rPr>
      </w:pPr>
      <w:r w:rsidRPr="00E25C87">
        <w:rPr>
          <w:snapToGrid/>
          <w:sz w:val="22"/>
          <w:szCs w:val="22"/>
          <w:lang w:val="en-GB"/>
        </w:rPr>
        <w:t xml:space="preserve">Table 3 shows the </w:t>
      </w:r>
      <w:r w:rsidR="00371859" w:rsidRPr="00E25C87">
        <w:rPr>
          <w:snapToGrid/>
          <w:sz w:val="22"/>
          <w:szCs w:val="22"/>
          <w:lang w:val="en-GB"/>
        </w:rPr>
        <w:t>midpoint</w:t>
      </w:r>
      <w:r w:rsidRPr="00E25C87">
        <w:rPr>
          <w:snapToGrid/>
          <w:sz w:val="22"/>
          <w:szCs w:val="22"/>
          <w:lang w:val="en-GB"/>
        </w:rPr>
        <w:t xml:space="preserve"> results </w:t>
      </w:r>
      <w:r w:rsidR="00371859" w:rsidRPr="00E25C87">
        <w:rPr>
          <w:snapToGrid/>
          <w:sz w:val="22"/>
          <w:szCs w:val="22"/>
          <w:lang w:val="en-GB"/>
        </w:rPr>
        <w:t xml:space="preserve">per functional unit (1 tonne) </w:t>
      </w:r>
      <w:r w:rsidRPr="00E25C87">
        <w:rPr>
          <w:snapToGrid/>
          <w:sz w:val="22"/>
          <w:szCs w:val="22"/>
          <w:lang w:val="en-GB"/>
        </w:rPr>
        <w:t>for the R1 category of WEEE</w:t>
      </w:r>
      <w:r w:rsidR="00D60B36" w:rsidRPr="00E25C87">
        <w:rPr>
          <w:snapToGrid/>
          <w:sz w:val="22"/>
          <w:szCs w:val="22"/>
          <w:lang w:val="en-GB"/>
        </w:rPr>
        <w:t>, assessed by means of the ReCiPe 2016 Assessment Method (Midpoint H)</w:t>
      </w:r>
      <w:r w:rsidRPr="00E25C87">
        <w:rPr>
          <w:snapToGrid/>
          <w:sz w:val="22"/>
          <w:szCs w:val="22"/>
          <w:lang w:val="en-GB"/>
        </w:rPr>
        <w:t>. The Table</w:t>
      </w:r>
      <w:r w:rsidR="00706063" w:rsidRPr="00E25C87">
        <w:rPr>
          <w:snapToGrid/>
          <w:sz w:val="22"/>
          <w:szCs w:val="22"/>
          <w:lang w:val="en-GB"/>
        </w:rPr>
        <w:t xml:space="preserve"> 3</w:t>
      </w:r>
      <w:r w:rsidRPr="00E25C87">
        <w:rPr>
          <w:snapToGrid/>
          <w:sz w:val="22"/>
          <w:szCs w:val="22"/>
          <w:lang w:val="en-GB"/>
        </w:rPr>
        <w:t xml:space="preserve"> reports the environmental impacts only for the materials</w:t>
      </w:r>
      <w:r w:rsidR="00706063" w:rsidRPr="00E25C87">
        <w:rPr>
          <w:snapToGrid/>
          <w:sz w:val="22"/>
          <w:szCs w:val="22"/>
          <w:lang w:val="en-GB"/>
        </w:rPr>
        <w:t xml:space="preserve"> and components</w:t>
      </w:r>
      <w:r w:rsidRPr="00E25C87">
        <w:rPr>
          <w:snapToGrid/>
          <w:sz w:val="22"/>
          <w:szCs w:val="22"/>
          <w:lang w:val="en-GB"/>
        </w:rPr>
        <w:t xml:space="preserve"> </w:t>
      </w:r>
      <w:r w:rsidR="004A6AF7" w:rsidRPr="00E25C87">
        <w:rPr>
          <w:snapToGrid/>
          <w:sz w:val="22"/>
          <w:szCs w:val="22"/>
          <w:lang w:val="en-GB"/>
        </w:rPr>
        <w:t xml:space="preserve">that are </w:t>
      </w:r>
      <w:r w:rsidR="00706063" w:rsidRPr="00E25C87">
        <w:rPr>
          <w:snapToGrid/>
          <w:sz w:val="22"/>
          <w:szCs w:val="22"/>
          <w:lang w:val="en-GB"/>
        </w:rPr>
        <w:t xml:space="preserve">the </w:t>
      </w:r>
      <w:r w:rsidR="004A6AF7" w:rsidRPr="00E25C87">
        <w:rPr>
          <w:snapToGrid/>
          <w:sz w:val="22"/>
          <w:szCs w:val="22"/>
          <w:lang w:val="en-GB"/>
        </w:rPr>
        <w:t>most representative</w:t>
      </w:r>
      <w:r w:rsidR="00706063" w:rsidRPr="00E25C87">
        <w:rPr>
          <w:snapToGrid/>
          <w:sz w:val="22"/>
          <w:szCs w:val="22"/>
          <w:lang w:val="en-GB"/>
        </w:rPr>
        <w:t xml:space="preserve"> in terms of weight in the functional unit</w:t>
      </w:r>
      <w:r w:rsidR="004A6AF7" w:rsidRPr="00E25C87">
        <w:rPr>
          <w:snapToGrid/>
          <w:sz w:val="22"/>
          <w:szCs w:val="22"/>
          <w:lang w:val="en-GB"/>
        </w:rPr>
        <w:t xml:space="preserve"> excluding those with a weight below 3kg per tonne of functional unit</w:t>
      </w:r>
      <w:r w:rsidR="00706063" w:rsidRPr="00E25C87">
        <w:rPr>
          <w:snapToGrid/>
          <w:sz w:val="22"/>
          <w:szCs w:val="22"/>
          <w:lang w:val="en-GB"/>
        </w:rPr>
        <w:t xml:space="preserve"> (cables, electronic boards, oil, wood, lamps, copper and capacitors)</w:t>
      </w:r>
      <w:r w:rsidR="004A6AF7" w:rsidRPr="00E25C87">
        <w:rPr>
          <w:snapToGrid/>
          <w:sz w:val="22"/>
          <w:szCs w:val="22"/>
          <w:lang w:val="en-GB"/>
        </w:rPr>
        <w:t xml:space="preserve">. However, the total impacts per </w:t>
      </w:r>
      <w:r w:rsidR="00706063" w:rsidRPr="00E25C87">
        <w:rPr>
          <w:snapToGrid/>
          <w:sz w:val="22"/>
          <w:szCs w:val="22"/>
          <w:lang w:val="en-GB"/>
        </w:rPr>
        <w:t xml:space="preserve">each impact </w:t>
      </w:r>
      <w:r w:rsidR="004A6AF7" w:rsidRPr="00E25C87">
        <w:rPr>
          <w:snapToGrid/>
          <w:sz w:val="22"/>
          <w:szCs w:val="22"/>
          <w:lang w:val="en-GB"/>
        </w:rPr>
        <w:t xml:space="preserve">category (last </w:t>
      </w:r>
      <w:r w:rsidR="005A331D" w:rsidRPr="00E25C87">
        <w:rPr>
          <w:snapToGrid/>
          <w:sz w:val="22"/>
          <w:szCs w:val="22"/>
          <w:lang w:val="en-GB"/>
        </w:rPr>
        <w:t>column</w:t>
      </w:r>
      <w:r w:rsidR="004A6AF7" w:rsidRPr="00E25C87">
        <w:rPr>
          <w:snapToGrid/>
          <w:sz w:val="22"/>
          <w:szCs w:val="22"/>
          <w:lang w:val="en-GB"/>
        </w:rPr>
        <w:t xml:space="preserve"> of Table 3</w:t>
      </w:r>
      <w:r w:rsidR="00706063" w:rsidRPr="00E25C87">
        <w:rPr>
          <w:snapToGrid/>
          <w:sz w:val="22"/>
          <w:szCs w:val="22"/>
          <w:lang w:val="en-GB"/>
        </w:rPr>
        <w:t>)</w:t>
      </w:r>
      <w:r w:rsidR="004A6AF7" w:rsidRPr="00E25C87">
        <w:rPr>
          <w:snapToGrid/>
          <w:sz w:val="22"/>
          <w:szCs w:val="22"/>
          <w:lang w:val="en-GB"/>
        </w:rPr>
        <w:t xml:space="preserve"> </w:t>
      </w:r>
      <w:r w:rsidR="00706063" w:rsidRPr="00E25C87">
        <w:rPr>
          <w:snapToGrid/>
          <w:sz w:val="22"/>
          <w:szCs w:val="22"/>
          <w:lang w:val="en-GB"/>
        </w:rPr>
        <w:t>considers</w:t>
      </w:r>
      <w:r w:rsidR="004A6AF7" w:rsidRPr="00E25C87">
        <w:rPr>
          <w:snapToGrid/>
          <w:sz w:val="22"/>
          <w:szCs w:val="22"/>
          <w:lang w:val="en-GB"/>
        </w:rPr>
        <w:t xml:space="preserve"> the results of the environmental impacts of the collection and recovery stages</w:t>
      </w:r>
      <w:r w:rsidR="00706063" w:rsidRPr="00E25C87">
        <w:rPr>
          <w:snapToGrid/>
          <w:sz w:val="22"/>
          <w:szCs w:val="22"/>
          <w:lang w:val="en-GB"/>
        </w:rPr>
        <w:t xml:space="preserve"> of all the materials and components</w:t>
      </w:r>
      <w:r w:rsidR="004A6AF7" w:rsidRPr="00E25C87">
        <w:rPr>
          <w:snapToGrid/>
          <w:sz w:val="22"/>
          <w:szCs w:val="22"/>
          <w:lang w:val="en-GB"/>
        </w:rPr>
        <w:t xml:space="preserve">. </w:t>
      </w:r>
      <w:r w:rsidR="00706063" w:rsidRPr="00E25C87">
        <w:rPr>
          <w:snapToGrid/>
          <w:sz w:val="22"/>
          <w:szCs w:val="22"/>
          <w:lang w:val="en-GB"/>
        </w:rPr>
        <w:t xml:space="preserve">Table 3 shows that </w:t>
      </w:r>
      <w:r w:rsidR="00E3553B" w:rsidRPr="00E25C87">
        <w:rPr>
          <w:snapToGrid/>
          <w:sz w:val="22"/>
          <w:szCs w:val="22"/>
          <w:lang w:val="en-GB"/>
        </w:rPr>
        <w:t>the e.g. recovery of Iron after dismantling the WEEE in R1 category contributes to climate change by 21.41 kg CO</w:t>
      </w:r>
      <w:r w:rsidR="00E3553B" w:rsidRPr="00E25C87">
        <w:rPr>
          <w:snapToGrid/>
          <w:sz w:val="22"/>
          <w:szCs w:val="22"/>
          <w:vertAlign w:val="subscript"/>
          <w:lang w:val="en-GB"/>
        </w:rPr>
        <w:t>2</w:t>
      </w:r>
      <w:r w:rsidR="00E3553B" w:rsidRPr="00E25C87">
        <w:rPr>
          <w:snapToGrid/>
          <w:sz w:val="22"/>
          <w:szCs w:val="22"/>
          <w:lang w:val="en-GB"/>
        </w:rPr>
        <w:t xml:space="preserve"> eq. The recovery of all the materials and components generate 32.97 kg CO</w:t>
      </w:r>
      <w:r w:rsidR="00E3553B" w:rsidRPr="00E25C87">
        <w:rPr>
          <w:snapToGrid/>
          <w:sz w:val="22"/>
          <w:szCs w:val="22"/>
          <w:vertAlign w:val="subscript"/>
          <w:lang w:val="en-GB"/>
        </w:rPr>
        <w:t>2</w:t>
      </w:r>
      <w:r w:rsidR="00E3553B" w:rsidRPr="00E25C87">
        <w:rPr>
          <w:snapToGrid/>
          <w:sz w:val="22"/>
          <w:szCs w:val="22"/>
          <w:lang w:val="en-GB"/>
        </w:rPr>
        <w:t xml:space="preserve"> eq. </w:t>
      </w:r>
    </w:p>
    <w:p w14:paraId="0283ED1E" w14:textId="77777777" w:rsidR="008C628D" w:rsidRPr="00E25C87" w:rsidRDefault="008C628D" w:rsidP="009D47BE">
      <w:pPr>
        <w:pStyle w:val="Abstract"/>
        <w:tabs>
          <w:tab w:val="left" w:pos="6379"/>
        </w:tabs>
        <w:spacing w:line="276" w:lineRule="auto"/>
        <w:ind w:right="-30"/>
        <w:rPr>
          <w:b/>
          <w:bCs/>
          <w:snapToGrid/>
          <w:sz w:val="22"/>
          <w:szCs w:val="22"/>
          <w:lang w:val="en-GB"/>
        </w:rPr>
      </w:pPr>
    </w:p>
    <w:p w14:paraId="4BFDE7A8" w14:textId="371A418C" w:rsidR="009D47BE" w:rsidRPr="00E25C87" w:rsidRDefault="00A659EC" w:rsidP="00A659EC">
      <w:pPr>
        <w:spacing w:line="259" w:lineRule="auto"/>
        <w:rPr>
          <w:b/>
          <w:bCs/>
          <w:szCs w:val="22"/>
          <w:lang w:val="en-GB"/>
        </w:rPr>
      </w:pPr>
      <w:bookmarkStart w:id="6" w:name="_Hlk106977062"/>
      <w:r w:rsidRPr="00E25C87">
        <w:rPr>
          <w:rFonts w:eastAsia="Calibri"/>
          <w:sz w:val="18"/>
          <w:szCs w:val="18"/>
          <w:lang w:val="en-GB"/>
        </w:rPr>
        <w:t>Table 3. Total midpoint results per functional unit</w:t>
      </w:r>
      <w:r w:rsidR="004A6AF7" w:rsidRPr="00E25C87">
        <w:rPr>
          <w:rFonts w:eastAsia="Calibri"/>
          <w:sz w:val="18"/>
          <w:szCs w:val="18"/>
          <w:lang w:val="en-GB"/>
        </w:rPr>
        <w:t xml:space="preserve">, </w:t>
      </w:r>
      <w:r w:rsidRPr="00E25C87">
        <w:rPr>
          <w:rFonts w:eastAsia="Calibri"/>
          <w:sz w:val="18"/>
          <w:szCs w:val="18"/>
          <w:lang w:val="en-GB"/>
        </w:rPr>
        <w:t>1 tonne collected and treated</w:t>
      </w:r>
      <w:r w:rsidR="004A6AF7" w:rsidRPr="00E25C87">
        <w:rPr>
          <w:rFonts w:eastAsia="Calibri"/>
          <w:sz w:val="18"/>
          <w:szCs w:val="18"/>
          <w:lang w:val="en-GB"/>
        </w:rPr>
        <w:t xml:space="preserve"> WEEE</w:t>
      </w:r>
      <w:r w:rsidRPr="00E25C87">
        <w:rPr>
          <w:rFonts w:eastAsia="Calibri"/>
          <w:sz w:val="18"/>
          <w:szCs w:val="18"/>
          <w:lang w:val="en-GB"/>
        </w:rPr>
        <w:t xml:space="preserve"> for the R1 category</w:t>
      </w:r>
      <w:r w:rsidR="004A6AF7" w:rsidRPr="00E25C87">
        <w:rPr>
          <w:rFonts w:eastAsia="Calibri"/>
          <w:sz w:val="18"/>
          <w:szCs w:val="18"/>
          <w:lang w:val="en-GB"/>
        </w:rPr>
        <w:t xml:space="preserve">. </w:t>
      </w:r>
    </w:p>
    <w:tbl>
      <w:tblPr>
        <w:tblStyle w:val="Grigliatabella5"/>
        <w:tblW w:w="8193" w:type="dxa"/>
        <w:tblLook w:val="04A0" w:firstRow="1" w:lastRow="0" w:firstColumn="1" w:lastColumn="0" w:noHBand="0" w:noVBand="1"/>
      </w:tblPr>
      <w:tblGrid>
        <w:gridCol w:w="1413"/>
        <w:gridCol w:w="1146"/>
        <w:gridCol w:w="676"/>
        <w:gridCol w:w="954"/>
        <w:gridCol w:w="674"/>
        <w:gridCol w:w="674"/>
        <w:gridCol w:w="674"/>
        <w:gridCol w:w="1114"/>
        <w:gridCol w:w="868"/>
      </w:tblGrid>
      <w:tr w:rsidR="00A659EC" w:rsidRPr="00E25C87" w14:paraId="263ED55D" w14:textId="77777777" w:rsidTr="00E3553B">
        <w:trPr>
          <w:trHeight w:val="288"/>
        </w:trPr>
        <w:tc>
          <w:tcPr>
            <w:tcW w:w="1413" w:type="dxa"/>
            <w:noWrap/>
            <w:hideMark/>
          </w:tcPr>
          <w:bookmarkEnd w:id="6"/>
          <w:p w14:paraId="210385DE" w14:textId="77777777" w:rsidR="00A659EC" w:rsidRPr="00E25C87" w:rsidRDefault="00A659EC" w:rsidP="00A659EC">
            <w:pPr>
              <w:spacing w:line="240" w:lineRule="auto"/>
              <w:jc w:val="left"/>
              <w:rPr>
                <w:rFonts w:ascii="Times New Roman" w:hAnsi="Times New Roman"/>
                <w:b/>
                <w:bCs/>
                <w:sz w:val="16"/>
                <w:szCs w:val="16"/>
                <w:lang w:val="en-GB"/>
              </w:rPr>
            </w:pPr>
            <w:r w:rsidRPr="00E25C87">
              <w:rPr>
                <w:rFonts w:ascii="Times New Roman" w:hAnsi="Times New Roman"/>
                <w:b/>
                <w:bCs/>
                <w:sz w:val="16"/>
                <w:szCs w:val="16"/>
                <w:lang w:val="en-GB"/>
              </w:rPr>
              <w:t xml:space="preserve">Impact Category </w:t>
            </w:r>
          </w:p>
        </w:tc>
        <w:tc>
          <w:tcPr>
            <w:tcW w:w="1146" w:type="dxa"/>
            <w:noWrap/>
            <w:hideMark/>
          </w:tcPr>
          <w:p w14:paraId="1F336CA4" w14:textId="2DF45C36"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Unit</w:t>
            </w:r>
          </w:p>
        </w:tc>
        <w:tc>
          <w:tcPr>
            <w:tcW w:w="676" w:type="dxa"/>
            <w:noWrap/>
            <w:hideMark/>
          </w:tcPr>
          <w:p w14:paraId="12DBA500" w14:textId="12825691"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 Iron</w:t>
            </w:r>
          </w:p>
        </w:tc>
        <w:tc>
          <w:tcPr>
            <w:tcW w:w="954" w:type="dxa"/>
            <w:noWrap/>
            <w:hideMark/>
          </w:tcPr>
          <w:p w14:paraId="0F55A72D" w14:textId="77777777"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w:t>
            </w:r>
          </w:p>
          <w:p w14:paraId="63FB2956" w14:textId="2D3FAF13"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Aluminum</w:t>
            </w:r>
          </w:p>
        </w:tc>
        <w:tc>
          <w:tcPr>
            <w:tcW w:w="674" w:type="dxa"/>
            <w:noWrap/>
            <w:hideMark/>
          </w:tcPr>
          <w:p w14:paraId="356DA6BA" w14:textId="77777777"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 Glass</w:t>
            </w:r>
          </w:p>
        </w:tc>
        <w:tc>
          <w:tcPr>
            <w:tcW w:w="674" w:type="dxa"/>
            <w:noWrap/>
            <w:hideMark/>
          </w:tcPr>
          <w:p w14:paraId="4AA20948" w14:textId="77777777"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w:t>
            </w:r>
          </w:p>
          <w:p w14:paraId="454AF595" w14:textId="7F2C40CB"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Plastic</w:t>
            </w:r>
          </w:p>
        </w:tc>
        <w:tc>
          <w:tcPr>
            <w:tcW w:w="674" w:type="dxa"/>
            <w:noWrap/>
            <w:hideMark/>
          </w:tcPr>
          <w:p w14:paraId="67BC3A94" w14:textId="5FBEA43B"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 Gas</w:t>
            </w:r>
          </w:p>
        </w:tc>
        <w:tc>
          <w:tcPr>
            <w:tcW w:w="1114" w:type="dxa"/>
            <w:noWrap/>
            <w:hideMark/>
          </w:tcPr>
          <w:p w14:paraId="3B203DB8" w14:textId="77777777"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w:t>
            </w:r>
          </w:p>
          <w:p w14:paraId="5EECA2A5" w14:textId="2FAF4845"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Compressors</w:t>
            </w:r>
          </w:p>
        </w:tc>
        <w:tc>
          <w:tcPr>
            <w:tcW w:w="868" w:type="dxa"/>
            <w:noWrap/>
            <w:hideMark/>
          </w:tcPr>
          <w:p w14:paraId="372875E0" w14:textId="72745AED" w:rsidR="00A659EC" w:rsidRPr="00E25C87" w:rsidRDefault="00A659EC" w:rsidP="006E7D1D">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Total Impacts</w:t>
            </w:r>
          </w:p>
        </w:tc>
      </w:tr>
      <w:tr w:rsidR="00A659EC" w:rsidRPr="00E25C87" w14:paraId="126BC16A" w14:textId="77777777" w:rsidTr="00E3553B">
        <w:trPr>
          <w:trHeight w:val="288"/>
        </w:trPr>
        <w:tc>
          <w:tcPr>
            <w:tcW w:w="1413" w:type="dxa"/>
            <w:noWrap/>
            <w:hideMark/>
          </w:tcPr>
          <w:p w14:paraId="538C131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Terrestrial acidification</w:t>
            </w:r>
          </w:p>
        </w:tc>
        <w:tc>
          <w:tcPr>
            <w:tcW w:w="1146" w:type="dxa"/>
            <w:noWrap/>
            <w:hideMark/>
          </w:tcPr>
          <w:p w14:paraId="3FC5766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SO2 eq</w:t>
            </w:r>
          </w:p>
        </w:tc>
        <w:tc>
          <w:tcPr>
            <w:tcW w:w="676" w:type="dxa"/>
            <w:noWrap/>
            <w:hideMark/>
          </w:tcPr>
          <w:p w14:paraId="155C42D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0.23</w:t>
            </w:r>
          </w:p>
        </w:tc>
        <w:tc>
          <w:tcPr>
            <w:tcW w:w="954" w:type="dxa"/>
            <w:noWrap/>
            <w:hideMark/>
          </w:tcPr>
          <w:p w14:paraId="0F7CB10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3DA1517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70BEDA8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674" w:type="dxa"/>
            <w:noWrap/>
            <w:hideMark/>
          </w:tcPr>
          <w:p w14:paraId="64D1815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545CF2C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0.09</w:t>
            </w:r>
          </w:p>
        </w:tc>
        <w:tc>
          <w:tcPr>
            <w:tcW w:w="868" w:type="dxa"/>
            <w:noWrap/>
            <w:hideMark/>
          </w:tcPr>
          <w:p w14:paraId="0CD9966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0.36</w:t>
            </w:r>
          </w:p>
        </w:tc>
      </w:tr>
      <w:tr w:rsidR="00A659EC" w:rsidRPr="00E25C87" w14:paraId="44896C4C" w14:textId="77777777" w:rsidTr="00E3553B">
        <w:trPr>
          <w:trHeight w:val="288"/>
        </w:trPr>
        <w:tc>
          <w:tcPr>
            <w:tcW w:w="1413" w:type="dxa"/>
            <w:noWrap/>
            <w:hideMark/>
          </w:tcPr>
          <w:p w14:paraId="4AE7CAB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Human toxicity</w:t>
            </w:r>
          </w:p>
        </w:tc>
        <w:tc>
          <w:tcPr>
            <w:tcW w:w="1146" w:type="dxa"/>
            <w:noWrap/>
            <w:hideMark/>
          </w:tcPr>
          <w:p w14:paraId="3959763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676" w:type="dxa"/>
            <w:noWrap/>
            <w:hideMark/>
          </w:tcPr>
          <w:p w14:paraId="3819401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-30.96</w:t>
            </w:r>
          </w:p>
        </w:tc>
        <w:tc>
          <w:tcPr>
            <w:tcW w:w="954" w:type="dxa"/>
            <w:noWrap/>
            <w:hideMark/>
          </w:tcPr>
          <w:p w14:paraId="3BBBEAC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-0.48</w:t>
            </w:r>
          </w:p>
        </w:tc>
        <w:tc>
          <w:tcPr>
            <w:tcW w:w="674" w:type="dxa"/>
            <w:noWrap/>
            <w:hideMark/>
          </w:tcPr>
          <w:p w14:paraId="332B826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-0.09</w:t>
            </w:r>
          </w:p>
        </w:tc>
        <w:tc>
          <w:tcPr>
            <w:tcW w:w="674" w:type="dxa"/>
            <w:noWrap/>
            <w:hideMark/>
          </w:tcPr>
          <w:p w14:paraId="273691A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-2.27</w:t>
            </w:r>
          </w:p>
        </w:tc>
        <w:tc>
          <w:tcPr>
            <w:tcW w:w="674" w:type="dxa"/>
            <w:noWrap/>
            <w:hideMark/>
          </w:tcPr>
          <w:p w14:paraId="737E33D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1114" w:type="dxa"/>
            <w:noWrap/>
            <w:hideMark/>
          </w:tcPr>
          <w:p w14:paraId="4B96C0B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-11.88</w:t>
            </w:r>
          </w:p>
        </w:tc>
        <w:tc>
          <w:tcPr>
            <w:tcW w:w="868" w:type="dxa"/>
            <w:noWrap/>
            <w:hideMark/>
          </w:tcPr>
          <w:p w14:paraId="716B82E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-47.68</w:t>
            </w:r>
          </w:p>
        </w:tc>
      </w:tr>
      <w:tr w:rsidR="00A659EC" w:rsidRPr="00E25C87" w14:paraId="615F769A" w14:textId="77777777" w:rsidTr="00E3553B">
        <w:trPr>
          <w:trHeight w:val="288"/>
        </w:trPr>
        <w:tc>
          <w:tcPr>
            <w:tcW w:w="1413" w:type="dxa"/>
            <w:noWrap/>
            <w:hideMark/>
          </w:tcPr>
          <w:p w14:paraId="670C890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Marine eutrophication</w:t>
            </w:r>
          </w:p>
        </w:tc>
        <w:tc>
          <w:tcPr>
            <w:tcW w:w="1146" w:type="dxa"/>
            <w:noWrap/>
            <w:hideMark/>
          </w:tcPr>
          <w:p w14:paraId="66F1E78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N eq</w:t>
            </w:r>
          </w:p>
        </w:tc>
        <w:tc>
          <w:tcPr>
            <w:tcW w:w="676" w:type="dxa"/>
            <w:noWrap/>
            <w:hideMark/>
          </w:tcPr>
          <w:p w14:paraId="694CD86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0.27</w:t>
            </w:r>
          </w:p>
        </w:tc>
        <w:tc>
          <w:tcPr>
            <w:tcW w:w="954" w:type="dxa"/>
            <w:noWrap/>
            <w:hideMark/>
          </w:tcPr>
          <w:p w14:paraId="44179D0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58EFB75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7F59350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674" w:type="dxa"/>
            <w:noWrap/>
            <w:hideMark/>
          </w:tcPr>
          <w:p w14:paraId="1C53749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48AD20E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0.10</w:t>
            </w:r>
          </w:p>
        </w:tc>
        <w:tc>
          <w:tcPr>
            <w:tcW w:w="868" w:type="dxa"/>
            <w:noWrap/>
            <w:hideMark/>
          </w:tcPr>
          <w:p w14:paraId="34D4C39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0.41</w:t>
            </w:r>
          </w:p>
        </w:tc>
      </w:tr>
      <w:tr w:rsidR="00A659EC" w:rsidRPr="00E25C87" w14:paraId="0AEB562B" w14:textId="77777777" w:rsidTr="00E3553B">
        <w:trPr>
          <w:trHeight w:val="288"/>
        </w:trPr>
        <w:tc>
          <w:tcPr>
            <w:tcW w:w="1413" w:type="dxa"/>
            <w:noWrap/>
            <w:hideMark/>
          </w:tcPr>
          <w:p w14:paraId="2655E57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Terrestrial ecotoxicity</w:t>
            </w:r>
          </w:p>
        </w:tc>
        <w:tc>
          <w:tcPr>
            <w:tcW w:w="1146" w:type="dxa"/>
            <w:noWrap/>
            <w:hideMark/>
          </w:tcPr>
          <w:p w14:paraId="4851A35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676" w:type="dxa"/>
            <w:noWrap/>
            <w:hideMark/>
          </w:tcPr>
          <w:p w14:paraId="7EF3D32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954" w:type="dxa"/>
            <w:noWrap/>
            <w:hideMark/>
          </w:tcPr>
          <w:p w14:paraId="6AF9B41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87E1C7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6915BEF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24AFD9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11F0569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868" w:type="dxa"/>
            <w:noWrap/>
            <w:hideMark/>
          </w:tcPr>
          <w:p w14:paraId="4C37921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r>
      <w:tr w:rsidR="00A659EC" w:rsidRPr="00E25C87" w14:paraId="5DAEA715" w14:textId="77777777" w:rsidTr="00E3553B">
        <w:trPr>
          <w:trHeight w:val="288"/>
        </w:trPr>
        <w:tc>
          <w:tcPr>
            <w:tcW w:w="1413" w:type="dxa"/>
            <w:noWrap/>
            <w:hideMark/>
          </w:tcPr>
          <w:p w14:paraId="015567B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Water depletion</w:t>
            </w:r>
          </w:p>
        </w:tc>
        <w:tc>
          <w:tcPr>
            <w:tcW w:w="1146" w:type="dxa"/>
            <w:noWrap/>
            <w:hideMark/>
          </w:tcPr>
          <w:p w14:paraId="4479BFB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m3</w:t>
            </w:r>
          </w:p>
        </w:tc>
        <w:tc>
          <w:tcPr>
            <w:tcW w:w="676" w:type="dxa"/>
            <w:noWrap/>
            <w:hideMark/>
          </w:tcPr>
          <w:p w14:paraId="0DBD75B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252.92</w:t>
            </w:r>
          </w:p>
        </w:tc>
        <w:tc>
          <w:tcPr>
            <w:tcW w:w="954" w:type="dxa"/>
            <w:noWrap/>
            <w:hideMark/>
          </w:tcPr>
          <w:p w14:paraId="385A2B2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3.90</w:t>
            </w:r>
          </w:p>
        </w:tc>
        <w:tc>
          <w:tcPr>
            <w:tcW w:w="674" w:type="dxa"/>
            <w:noWrap/>
            <w:hideMark/>
          </w:tcPr>
          <w:p w14:paraId="76353A3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0.74</w:t>
            </w:r>
          </w:p>
        </w:tc>
        <w:tc>
          <w:tcPr>
            <w:tcW w:w="674" w:type="dxa"/>
            <w:noWrap/>
            <w:hideMark/>
          </w:tcPr>
          <w:p w14:paraId="73068C9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18.50</w:t>
            </w:r>
          </w:p>
        </w:tc>
        <w:tc>
          <w:tcPr>
            <w:tcW w:w="674" w:type="dxa"/>
            <w:noWrap/>
            <w:hideMark/>
          </w:tcPr>
          <w:p w14:paraId="5D4D7E5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0.12</w:t>
            </w:r>
          </w:p>
        </w:tc>
        <w:tc>
          <w:tcPr>
            <w:tcW w:w="1114" w:type="dxa"/>
            <w:noWrap/>
            <w:hideMark/>
          </w:tcPr>
          <w:p w14:paraId="00F57E1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97.03</w:t>
            </w:r>
          </w:p>
        </w:tc>
        <w:tc>
          <w:tcPr>
            <w:tcW w:w="868" w:type="dxa"/>
            <w:noWrap/>
            <w:hideMark/>
          </w:tcPr>
          <w:p w14:paraId="64F31D0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389.52</w:t>
            </w:r>
          </w:p>
        </w:tc>
      </w:tr>
      <w:tr w:rsidR="00A659EC" w:rsidRPr="00E25C87" w14:paraId="771B0890" w14:textId="77777777" w:rsidTr="00E3553B">
        <w:trPr>
          <w:trHeight w:val="288"/>
        </w:trPr>
        <w:tc>
          <w:tcPr>
            <w:tcW w:w="1413" w:type="dxa"/>
            <w:noWrap/>
            <w:hideMark/>
          </w:tcPr>
          <w:p w14:paraId="104CC5B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Climate Change</w:t>
            </w:r>
          </w:p>
        </w:tc>
        <w:tc>
          <w:tcPr>
            <w:tcW w:w="1146" w:type="dxa"/>
            <w:noWrap/>
            <w:hideMark/>
          </w:tcPr>
          <w:p w14:paraId="6C4AE03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CO2 eq</w:t>
            </w:r>
          </w:p>
        </w:tc>
        <w:tc>
          <w:tcPr>
            <w:tcW w:w="676" w:type="dxa"/>
            <w:noWrap/>
            <w:hideMark/>
          </w:tcPr>
          <w:p w14:paraId="0F878D4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21.41</w:t>
            </w:r>
          </w:p>
        </w:tc>
        <w:tc>
          <w:tcPr>
            <w:tcW w:w="954" w:type="dxa"/>
            <w:noWrap/>
            <w:hideMark/>
          </w:tcPr>
          <w:p w14:paraId="5E4459D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0.33</w:t>
            </w:r>
          </w:p>
        </w:tc>
        <w:tc>
          <w:tcPr>
            <w:tcW w:w="674" w:type="dxa"/>
            <w:noWrap/>
            <w:hideMark/>
          </w:tcPr>
          <w:p w14:paraId="7F36DCD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0.06</w:t>
            </w:r>
          </w:p>
        </w:tc>
        <w:tc>
          <w:tcPr>
            <w:tcW w:w="674" w:type="dxa"/>
            <w:noWrap/>
            <w:hideMark/>
          </w:tcPr>
          <w:p w14:paraId="76C371E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1.57</w:t>
            </w:r>
          </w:p>
        </w:tc>
        <w:tc>
          <w:tcPr>
            <w:tcW w:w="674" w:type="dxa"/>
            <w:noWrap/>
            <w:hideMark/>
          </w:tcPr>
          <w:p w14:paraId="42F6B67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1114" w:type="dxa"/>
            <w:noWrap/>
            <w:hideMark/>
          </w:tcPr>
          <w:p w14:paraId="0DC2C89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8.21</w:t>
            </w:r>
          </w:p>
        </w:tc>
        <w:tc>
          <w:tcPr>
            <w:tcW w:w="868" w:type="dxa"/>
            <w:noWrap/>
            <w:hideMark/>
          </w:tcPr>
          <w:p w14:paraId="049584F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32.97</w:t>
            </w:r>
          </w:p>
        </w:tc>
      </w:tr>
      <w:tr w:rsidR="00A659EC" w:rsidRPr="00E25C87" w14:paraId="60C6586E" w14:textId="77777777" w:rsidTr="00E3553B">
        <w:trPr>
          <w:trHeight w:val="288"/>
        </w:trPr>
        <w:tc>
          <w:tcPr>
            <w:tcW w:w="1413" w:type="dxa"/>
            <w:noWrap/>
            <w:hideMark/>
          </w:tcPr>
          <w:p w14:paraId="632480C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Photochemical oxidant formation</w:t>
            </w:r>
          </w:p>
        </w:tc>
        <w:tc>
          <w:tcPr>
            <w:tcW w:w="1146" w:type="dxa"/>
            <w:noWrap/>
            <w:hideMark/>
          </w:tcPr>
          <w:p w14:paraId="0A6D7E4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NMVOC</w:t>
            </w:r>
          </w:p>
        </w:tc>
        <w:tc>
          <w:tcPr>
            <w:tcW w:w="676" w:type="dxa"/>
            <w:noWrap/>
            <w:hideMark/>
          </w:tcPr>
          <w:p w14:paraId="2591584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0.15</w:t>
            </w:r>
          </w:p>
        </w:tc>
        <w:tc>
          <w:tcPr>
            <w:tcW w:w="954" w:type="dxa"/>
            <w:noWrap/>
            <w:hideMark/>
          </w:tcPr>
          <w:p w14:paraId="53F4A5B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6B87067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361110E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674" w:type="dxa"/>
            <w:noWrap/>
            <w:hideMark/>
          </w:tcPr>
          <w:p w14:paraId="47C13A0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5ADB80B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0.06</w:t>
            </w:r>
          </w:p>
        </w:tc>
        <w:tc>
          <w:tcPr>
            <w:tcW w:w="868" w:type="dxa"/>
            <w:noWrap/>
            <w:hideMark/>
          </w:tcPr>
          <w:p w14:paraId="31E607C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0.23</w:t>
            </w:r>
          </w:p>
        </w:tc>
      </w:tr>
      <w:tr w:rsidR="00A659EC" w:rsidRPr="00E25C87" w14:paraId="04799280" w14:textId="77777777" w:rsidTr="00E3553B">
        <w:trPr>
          <w:trHeight w:val="288"/>
        </w:trPr>
        <w:tc>
          <w:tcPr>
            <w:tcW w:w="1413" w:type="dxa"/>
            <w:noWrap/>
            <w:hideMark/>
          </w:tcPr>
          <w:p w14:paraId="343B51B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Freshwater ecotoxicity</w:t>
            </w:r>
          </w:p>
        </w:tc>
        <w:tc>
          <w:tcPr>
            <w:tcW w:w="1146" w:type="dxa"/>
            <w:noWrap/>
            <w:hideMark/>
          </w:tcPr>
          <w:p w14:paraId="62B9FC6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676" w:type="dxa"/>
            <w:noWrap/>
            <w:hideMark/>
          </w:tcPr>
          <w:p w14:paraId="14157E2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-35.33</w:t>
            </w:r>
          </w:p>
        </w:tc>
        <w:tc>
          <w:tcPr>
            <w:tcW w:w="954" w:type="dxa"/>
            <w:noWrap/>
            <w:hideMark/>
          </w:tcPr>
          <w:p w14:paraId="1795332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-0.54</w:t>
            </w:r>
          </w:p>
        </w:tc>
        <w:tc>
          <w:tcPr>
            <w:tcW w:w="674" w:type="dxa"/>
            <w:noWrap/>
            <w:hideMark/>
          </w:tcPr>
          <w:p w14:paraId="51D80D4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-0.10</w:t>
            </w:r>
          </w:p>
        </w:tc>
        <w:tc>
          <w:tcPr>
            <w:tcW w:w="674" w:type="dxa"/>
            <w:noWrap/>
            <w:hideMark/>
          </w:tcPr>
          <w:p w14:paraId="68811EE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-2.58</w:t>
            </w:r>
          </w:p>
        </w:tc>
        <w:tc>
          <w:tcPr>
            <w:tcW w:w="674" w:type="dxa"/>
            <w:noWrap/>
            <w:hideMark/>
          </w:tcPr>
          <w:p w14:paraId="3C8C394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1114" w:type="dxa"/>
            <w:noWrap/>
            <w:hideMark/>
          </w:tcPr>
          <w:p w14:paraId="6A7EF23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-13.55</w:t>
            </w:r>
          </w:p>
        </w:tc>
        <w:tc>
          <w:tcPr>
            <w:tcW w:w="868" w:type="dxa"/>
            <w:noWrap/>
            <w:hideMark/>
          </w:tcPr>
          <w:p w14:paraId="231F57D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-54.41</w:t>
            </w:r>
          </w:p>
        </w:tc>
      </w:tr>
      <w:tr w:rsidR="00A659EC" w:rsidRPr="00E25C87" w14:paraId="3FE07EB0" w14:textId="77777777" w:rsidTr="00E3553B">
        <w:trPr>
          <w:trHeight w:val="288"/>
        </w:trPr>
        <w:tc>
          <w:tcPr>
            <w:tcW w:w="1413" w:type="dxa"/>
            <w:noWrap/>
            <w:hideMark/>
          </w:tcPr>
          <w:p w14:paraId="46F5DF3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Natural land transformation</w:t>
            </w:r>
          </w:p>
        </w:tc>
        <w:tc>
          <w:tcPr>
            <w:tcW w:w="1146" w:type="dxa"/>
            <w:noWrap/>
            <w:hideMark/>
          </w:tcPr>
          <w:p w14:paraId="6181FD7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w:t>
            </w:r>
          </w:p>
        </w:tc>
        <w:tc>
          <w:tcPr>
            <w:tcW w:w="676" w:type="dxa"/>
            <w:noWrap/>
            <w:hideMark/>
          </w:tcPr>
          <w:p w14:paraId="52E614C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954" w:type="dxa"/>
            <w:noWrap/>
            <w:hideMark/>
          </w:tcPr>
          <w:p w14:paraId="5FB6E50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67C871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7256955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7EAC996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3E85DA1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868" w:type="dxa"/>
            <w:noWrap/>
            <w:hideMark/>
          </w:tcPr>
          <w:p w14:paraId="300B62F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0.04</w:t>
            </w:r>
          </w:p>
        </w:tc>
      </w:tr>
      <w:tr w:rsidR="00A659EC" w:rsidRPr="00E25C87" w14:paraId="1092CAAD" w14:textId="77777777" w:rsidTr="00E3553B">
        <w:trPr>
          <w:trHeight w:val="288"/>
        </w:trPr>
        <w:tc>
          <w:tcPr>
            <w:tcW w:w="1413" w:type="dxa"/>
            <w:noWrap/>
            <w:hideMark/>
          </w:tcPr>
          <w:p w14:paraId="2269016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lastRenderedPageBreak/>
              <w:t>Ionising radiation</w:t>
            </w:r>
          </w:p>
        </w:tc>
        <w:tc>
          <w:tcPr>
            <w:tcW w:w="1146" w:type="dxa"/>
            <w:noWrap/>
            <w:hideMark/>
          </w:tcPr>
          <w:p w14:paraId="3168841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U235 eq</w:t>
            </w:r>
          </w:p>
        </w:tc>
        <w:tc>
          <w:tcPr>
            <w:tcW w:w="676" w:type="dxa"/>
            <w:noWrap/>
            <w:hideMark/>
          </w:tcPr>
          <w:p w14:paraId="11A164B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10.35</w:t>
            </w:r>
          </w:p>
        </w:tc>
        <w:tc>
          <w:tcPr>
            <w:tcW w:w="954" w:type="dxa"/>
            <w:noWrap/>
            <w:hideMark/>
          </w:tcPr>
          <w:p w14:paraId="77A196F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0.16</w:t>
            </w:r>
          </w:p>
        </w:tc>
        <w:tc>
          <w:tcPr>
            <w:tcW w:w="674" w:type="dxa"/>
            <w:noWrap/>
            <w:hideMark/>
          </w:tcPr>
          <w:p w14:paraId="0D28B34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w:t>
            </w:r>
          </w:p>
        </w:tc>
        <w:tc>
          <w:tcPr>
            <w:tcW w:w="674" w:type="dxa"/>
            <w:noWrap/>
            <w:hideMark/>
          </w:tcPr>
          <w:p w14:paraId="6D72A44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0.76</w:t>
            </w:r>
          </w:p>
        </w:tc>
        <w:tc>
          <w:tcPr>
            <w:tcW w:w="674" w:type="dxa"/>
            <w:noWrap/>
            <w:hideMark/>
          </w:tcPr>
          <w:p w14:paraId="621415F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379AD7E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3.97</w:t>
            </w:r>
          </w:p>
        </w:tc>
        <w:tc>
          <w:tcPr>
            <w:tcW w:w="868" w:type="dxa"/>
            <w:noWrap/>
            <w:hideMark/>
          </w:tcPr>
          <w:p w14:paraId="4A5A985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15.94</w:t>
            </w:r>
          </w:p>
        </w:tc>
      </w:tr>
      <w:tr w:rsidR="00A659EC" w:rsidRPr="00E25C87" w14:paraId="06CA5D2F" w14:textId="77777777" w:rsidTr="00E3553B">
        <w:trPr>
          <w:trHeight w:val="288"/>
        </w:trPr>
        <w:tc>
          <w:tcPr>
            <w:tcW w:w="1413" w:type="dxa"/>
            <w:noWrap/>
            <w:hideMark/>
          </w:tcPr>
          <w:p w14:paraId="6A76017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Agricultural land occupation</w:t>
            </w:r>
          </w:p>
        </w:tc>
        <w:tc>
          <w:tcPr>
            <w:tcW w:w="1146" w:type="dxa"/>
            <w:noWrap/>
            <w:hideMark/>
          </w:tcPr>
          <w:p w14:paraId="4C245D3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m2*a</w:t>
            </w:r>
          </w:p>
        </w:tc>
        <w:tc>
          <w:tcPr>
            <w:tcW w:w="676" w:type="dxa"/>
            <w:noWrap/>
            <w:hideMark/>
          </w:tcPr>
          <w:p w14:paraId="2A1A1A3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2.18</w:t>
            </w:r>
          </w:p>
        </w:tc>
        <w:tc>
          <w:tcPr>
            <w:tcW w:w="954" w:type="dxa"/>
            <w:noWrap/>
            <w:hideMark/>
          </w:tcPr>
          <w:p w14:paraId="466DACF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w:t>
            </w:r>
          </w:p>
        </w:tc>
        <w:tc>
          <w:tcPr>
            <w:tcW w:w="674" w:type="dxa"/>
            <w:noWrap/>
            <w:hideMark/>
          </w:tcPr>
          <w:p w14:paraId="7892586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674" w:type="dxa"/>
            <w:noWrap/>
            <w:hideMark/>
          </w:tcPr>
          <w:p w14:paraId="21562FE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0.16</w:t>
            </w:r>
          </w:p>
        </w:tc>
        <w:tc>
          <w:tcPr>
            <w:tcW w:w="674" w:type="dxa"/>
            <w:noWrap/>
            <w:hideMark/>
          </w:tcPr>
          <w:p w14:paraId="027770B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3B2C6CE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0.84</w:t>
            </w:r>
          </w:p>
        </w:tc>
        <w:tc>
          <w:tcPr>
            <w:tcW w:w="868" w:type="dxa"/>
            <w:noWrap/>
            <w:hideMark/>
          </w:tcPr>
          <w:p w14:paraId="325BCCB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3.36</w:t>
            </w:r>
          </w:p>
        </w:tc>
      </w:tr>
      <w:tr w:rsidR="00A659EC" w:rsidRPr="00E25C87" w14:paraId="77C89408" w14:textId="77777777" w:rsidTr="00E3553B">
        <w:trPr>
          <w:trHeight w:val="288"/>
        </w:trPr>
        <w:tc>
          <w:tcPr>
            <w:tcW w:w="1413" w:type="dxa"/>
            <w:noWrap/>
            <w:hideMark/>
          </w:tcPr>
          <w:p w14:paraId="1C65847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Freshwater eutrophication</w:t>
            </w:r>
          </w:p>
        </w:tc>
        <w:tc>
          <w:tcPr>
            <w:tcW w:w="1146" w:type="dxa"/>
            <w:noWrap/>
            <w:hideMark/>
          </w:tcPr>
          <w:p w14:paraId="7D98233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P eq</w:t>
            </w:r>
          </w:p>
        </w:tc>
        <w:tc>
          <w:tcPr>
            <w:tcW w:w="676" w:type="dxa"/>
            <w:noWrap/>
            <w:hideMark/>
          </w:tcPr>
          <w:p w14:paraId="508B1E1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954" w:type="dxa"/>
            <w:noWrap/>
            <w:hideMark/>
          </w:tcPr>
          <w:p w14:paraId="040D310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91F35B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D5B476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01CE0EB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59161D2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868" w:type="dxa"/>
            <w:noWrap/>
            <w:hideMark/>
          </w:tcPr>
          <w:p w14:paraId="40682E6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r>
      <w:tr w:rsidR="00A659EC" w:rsidRPr="00E25C87" w14:paraId="0132511F" w14:textId="77777777" w:rsidTr="00E3553B">
        <w:trPr>
          <w:trHeight w:val="288"/>
        </w:trPr>
        <w:tc>
          <w:tcPr>
            <w:tcW w:w="1413" w:type="dxa"/>
            <w:noWrap/>
            <w:hideMark/>
          </w:tcPr>
          <w:p w14:paraId="64E3F1B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Marine ecotoxicity</w:t>
            </w:r>
          </w:p>
        </w:tc>
        <w:tc>
          <w:tcPr>
            <w:tcW w:w="1146" w:type="dxa"/>
            <w:noWrap/>
            <w:hideMark/>
          </w:tcPr>
          <w:p w14:paraId="17BCC83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676" w:type="dxa"/>
            <w:noWrap/>
            <w:hideMark/>
          </w:tcPr>
          <w:p w14:paraId="405A559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-34.19</w:t>
            </w:r>
          </w:p>
        </w:tc>
        <w:tc>
          <w:tcPr>
            <w:tcW w:w="954" w:type="dxa"/>
            <w:noWrap/>
            <w:hideMark/>
          </w:tcPr>
          <w:p w14:paraId="6492CA7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-0.53</w:t>
            </w:r>
          </w:p>
        </w:tc>
        <w:tc>
          <w:tcPr>
            <w:tcW w:w="674" w:type="dxa"/>
            <w:noWrap/>
            <w:hideMark/>
          </w:tcPr>
          <w:p w14:paraId="6E6D0E3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-0.10</w:t>
            </w:r>
          </w:p>
        </w:tc>
        <w:tc>
          <w:tcPr>
            <w:tcW w:w="674" w:type="dxa"/>
            <w:noWrap/>
            <w:hideMark/>
          </w:tcPr>
          <w:p w14:paraId="68C6500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-2.50</w:t>
            </w:r>
          </w:p>
        </w:tc>
        <w:tc>
          <w:tcPr>
            <w:tcW w:w="674" w:type="dxa"/>
            <w:noWrap/>
            <w:hideMark/>
          </w:tcPr>
          <w:p w14:paraId="1AF921D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1114" w:type="dxa"/>
            <w:noWrap/>
            <w:hideMark/>
          </w:tcPr>
          <w:p w14:paraId="6294144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-13.12</w:t>
            </w:r>
          </w:p>
        </w:tc>
        <w:tc>
          <w:tcPr>
            <w:tcW w:w="868" w:type="dxa"/>
            <w:noWrap/>
            <w:hideMark/>
          </w:tcPr>
          <w:p w14:paraId="65DA426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-52.66</w:t>
            </w:r>
          </w:p>
        </w:tc>
      </w:tr>
      <w:tr w:rsidR="00A659EC" w:rsidRPr="00E25C87" w14:paraId="1B46821B" w14:textId="77777777" w:rsidTr="00E3553B">
        <w:trPr>
          <w:trHeight w:val="288"/>
        </w:trPr>
        <w:tc>
          <w:tcPr>
            <w:tcW w:w="1413" w:type="dxa"/>
            <w:noWrap/>
            <w:hideMark/>
          </w:tcPr>
          <w:p w14:paraId="025ED4B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Particulate matter formation</w:t>
            </w:r>
          </w:p>
        </w:tc>
        <w:tc>
          <w:tcPr>
            <w:tcW w:w="1146" w:type="dxa"/>
            <w:noWrap/>
            <w:hideMark/>
          </w:tcPr>
          <w:p w14:paraId="0B139B7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PM10 eq</w:t>
            </w:r>
          </w:p>
        </w:tc>
        <w:tc>
          <w:tcPr>
            <w:tcW w:w="676" w:type="dxa"/>
            <w:noWrap/>
            <w:hideMark/>
          </w:tcPr>
          <w:p w14:paraId="0A401CE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0.09</w:t>
            </w:r>
          </w:p>
        </w:tc>
        <w:tc>
          <w:tcPr>
            <w:tcW w:w="954" w:type="dxa"/>
            <w:noWrap/>
            <w:hideMark/>
          </w:tcPr>
          <w:p w14:paraId="58A18E0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48D16CB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2543FE3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674" w:type="dxa"/>
            <w:noWrap/>
            <w:hideMark/>
          </w:tcPr>
          <w:p w14:paraId="3C7C997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13182C05"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w:t>
            </w:r>
          </w:p>
        </w:tc>
        <w:tc>
          <w:tcPr>
            <w:tcW w:w="868" w:type="dxa"/>
            <w:noWrap/>
            <w:hideMark/>
          </w:tcPr>
          <w:p w14:paraId="215D81B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0.13</w:t>
            </w:r>
          </w:p>
        </w:tc>
      </w:tr>
      <w:tr w:rsidR="00A659EC" w:rsidRPr="00E25C87" w14:paraId="12454DFA" w14:textId="77777777" w:rsidTr="00E3553B">
        <w:trPr>
          <w:trHeight w:val="288"/>
        </w:trPr>
        <w:tc>
          <w:tcPr>
            <w:tcW w:w="1413" w:type="dxa"/>
            <w:noWrap/>
            <w:hideMark/>
          </w:tcPr>
          <w:p w14:paraId="7AFA0ED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Ozone depletion</w:t>
            </w:r>
          </w:p>
        </w:tc>
        <w:tc>
          <w:tcPr>
            <w:tcW w:w="1146" w:type="dxa"/>
            <w:noWrap/>
            <w:hideMark/>
          </w:tcPr>
          <w:p w14:paraId="661911F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CFC-11 eq</w:t>
            </w:r>
          </w:p>
        </w:tc>
        <w:tc>
          <w:tcPr>
            <w:tcW w:w="676" w:type="dxa"/>
            <w:noWrap/>
            <w:hideMark/>
          </w:tcPr>
          <w:p w14:paraId="6AD24CD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954" w:type="dxa"/>
            <w:noWrap/>
            <w:hideMark/>
          </w:tcPr>
          <w:p w14:paraId="20DB1C2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10D4508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3C20FEC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58DB5F6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72E6D77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868" w:type="dxa"/>
            <w:noWrap/>
            <w:hideMark/>
          </w:tcPr>
          <w:p w14:paraId="1CE4D82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r>
      <w:tr w:rsidR="00A659EC" w:rsidRPr="00E25C87" w14:paraId="61584E9A" w14:textId="77777777" w:rsidTr="00E3553B">
        <w:trPr>
          <w:trHeight w:val="288"/>
        </w:trPr>
        <w:tc>
          <w:tcPr>
            <w:tcW w:w="1413" w:type="dxa"/>
            <w:noWrap/>
            <w:hideMark/>
          </w:tcPr>
          <w:p w14:paraId="07CD225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Metal depletion</w:t>
            </w:r>
          </w:p>
        </w:tc>
        <w:tc>
          <w:tcPr>
            <w:tcW w:w="1146" w:type="dxa"/>
            <w:noWrap/>
            <w:hideMark/>
          </w:tcPr>
          <w:p w14:paraId="63AA8DF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Fe eq</w:t>
            </w:r>
          </w:p>
        </w:tc>
        <w:tc>
          <w:tcPr>
            <w:tcW w:w="676" w:type="dxa"/>
            <w:noWrap/>
            <w:hideMark/>
          </w:tcPr>
          <w:p w14:paraId="2114FEF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2.86</w:t>
            </w:r>
          </w:p>
        </w:tc>
        <w:tc>
          <w:tcPr>
            <w:tcW w:w="954" w:type="dxa"/>
            <w:noWrap/>
            <w:hideMark/>
          </w:tcPr>
          <w:p w14:paraId="3D86397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0.04</w:t>
            </w:r>
          </w:p>
        </w:tc>
        <w:tc>
          <w:tcPr>
            <w:tcW w:w="674" w:type="dxa"/>
            <w:noWrap/>
            <w:hideMark/>
          </w:tcPr>
          <w:p w14:paraId="6156C3F2"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674" w:type="dxa"/>
            <w:noWrap/>
            <w:hideMark/>
          </w:tcPr>
          <w:p w14:paraId="58A80C9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0.21</w:t>
            </w:r>
          </w:p>
        </w:tc>
        <w:tc>
          <w:tcPr>
            <w:tcW w:w="674" w:type="dxa"/>
            <w:noWrap/>
            <w:hideMark/>
          </w:tcPr>
          <w:p w14:paraId="41F778A9"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4DDCBEA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1.10</w:t>
            </w:r>
          </w:p>
        </w:tc>
        <w:tc>
          <w:tcPr>
            <w:tcW w:w="868" w:type="dxa"/>
            <w:noWrap/>
            <w:hideMark/>
          </w:tcPr>
          <w:p w14:paraId="288A6BD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4.41</w:t>
            </w:r>
          </w:p>
        </w:tc>
      </w:tr>
      <w:tr w:rsidR="00A659EC" w:rsidRPr="00E25C87" w14:paraId="0239B0AF" w14:textId="77777777" w:rsidTr="00E3553B">
        <w:trPr>
          <w:trHeight w:val="288"/>
        </w:trPr>
        <w:tc>
          <w:tcPr>
            <w:tcW w:w="1413" w:type="dxa"/>
            <w:noWrap/>
            <w:hideMark/>
          </w:tcPr>
          <w:p w14:paraId="13CC63EE"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Fossil depletion</w:t>
            </w:r>
          </w:p>
        </w:tc>
        <w:tc>
          <w:tcPr>
            <w:tcW w:w="1146" w:type="dxa"/>
            <w:noWrap/>
            <w:hideMark/>
          </w:tcPr>
          <w:p w14:paraId="2322703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oil eq</w:t>
            </w:r>
          </w:p>
        </w:tc>
        <w:tc>
          <w:tcPr>
            <w:tcW w:w="676" w:type="dxa"/>
            <w:noWrap/>
            <w:hideMark/>
          </w:tcPr>
          <w:p w14:paraId="7B379DC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26.90</w:t>
            </w:r>
          </w:p>
        </w:tc>
        <w:tc>
          <w:tcPr>
            <w:tcW w:w="954" w:type="dxa"/>
            <w:noWrap/>
            <w:hideMark/>
          </w:tcPr>
          <w:p w14:paraId="1FACFD84"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0.41</w:t>
            </w:r>
          </w:p>
        </w:tc>
        <w:tc>
          <w:tcPr>
            <w:tcW w:w="674" w:type="dxa"/>
            <w:noWrap/>
            <w:hideMark/>
          </w:tcPr>
          <w:p w14:paraId="4A866E2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0.08</w:t>
            </w:r>
          </w:p>
        </w:tc>
        <w:tc>
          <w:tcPr>
            <w:tcW w:w="674" w:type="dxa"/>
            <w:noWrap/>
            <w:hideMark/>
          </w:tcPr>
          <w:p w14:paraId="223D50D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1.97</w:t>
            </w:r>
          </w:p>
        </w:tc>
        <w:tc>
          <w:tcPr>
            <w:tcW w:w="674" w:type="dxa"/>
            <w:noWrap/>
            <w:hideMark/>
          </w:tcPr>
          <w:p w14:paraId="25526307"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w:t>
            </w:r>
          </w:p>
        </w:tc>
        <w:tc>
          <w:tcPr>
            <w:tcW w:w="1114" w:type="dxa"/>
            <w:noWrap/>
            <w:hideMark/>
          </w:tcPr>
          <w:p w14:paraId="64ADDC1B"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10.32</w:t>
            </w:r>
          </w:p>
        </w:tc>
        <w:tc>
          <w:tcPr>
            <w:tcW w:w="868" w:type="dxa"/>
            <w:noWrap/>
            <w:hideMark/>
          </w:tcPr>
          <w:p w14:paraId="7CE1EC78"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41.43</w:t>
            </w:r>
          </w:p>
        </w:tc>
      </w:tr>
      <w:tr w:rsidR="00A659EC" w:rsidRPr="00E25C87" w14:paraId="47B4563E" w14:textId="77777777" w:rsidTr="00E3553B">
        <w:trPr>
          <w:trHeight w:val="288"/>
        </w:trPr>
        <w:tc>
          <w:tcPr>
            <w:tcW w:w="1413" w:type="dxa"/>
            <w:noWrap/>
            <w:hideMark/>
          </w:tcPr>
          <w:p w14:paraId="7A3BCB10"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Urban land occupation</w:t>
            </w:r>
          </w:p>
        </w:tc>
        <w:tc>
          <w:tcPr>
            <w:tcW w:w="1146" w:type="dxa"/>
            <w:noWrap/>
            <w:hideMark/>
          </w:tcPr>
          <w:p w14:paraId="62EA2C6F"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m2*a</w:t>
            </w:r>
          </w:p>
        </w:tc>
        <w:tc>
          <w:tcPr>
            <w:tcW w:w="676" w:type="dxa"/>
            <w:noWrap/>
            <w:hideMark/>
          </w:tcPr>
          <w:p w14:paraId="4CB78666"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1.53</w:t>
            </w:r>
          </w:p>
        </w:tc>
        <w:tc>
          <w:tcPr>
            <w:tcW w:w="954" w:type="dxa"/>
            <w:noWrap/>
            <w:hideMark/>
          </w:tcPr>
          <w:p w14:paraId="37ABDC5C"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w:t>
            </w:r>
          </w:p>
        </w:tc>
        <w:tc>
          <w:tcPr>
            <w:tcW w:w="674" w:type="dxa"/>
            <w:noWrap/>
            <w:hideMark/>
          </w:tcPr>
          <w:p w14:paraId="57317F1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674" w:type="dxa"/>
            <w:noWrap/>
            <w:hideMark/>
          </w:tcPr>
          <w:p w14:paraId="20E4EAF3"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0.11</w:t>
            </w:r>
          </w:p>
        </w:tc>
        <w:tc>
          <w:tcPr>
            <w:tcW w:w="674" w:type="dxa"/>
            <w:noWrap/>
            <w:hideMark/>
          </w:tcPr>
          <w:p w14:paraId="0916271A"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w:t>
            </w:r>
          </w:p>
        </w:tc>
        <w:tc>
          <w:tcPr>
            <w:tcW w:w="1114" w:type="dxa"/>
            <w:noWrap/>
            <w:hideMark/>
          </w:tcPr>
          <w:p w14:paraId="31E6B41D"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0.59</w:t>
            </w:r>
          </w:p>
        </w:tc>
        <w:tc>
          <w:tcPr>
            <w:tcW w:w="868" w:type="dxa"/>
            <w:noWrap/>
            <w:hideMark/>
          </w:tcPr>
          <w:p w14:paraId="7A9881B1" w14:textId="77777777" w:rsidR="00A659EC" w:rsidRPr="00E25C87" w:rsidRDefault="00A659EC" w:rsidP="00A659EC">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2.35</w:t>
            </w:r>
          </w:p>
        </w:tc>
      </w:tr>
    </w:tbl>
    <w:p w14:paraId="5F52FC5D" w14:textId="77777777" w:rsidR="00E3553B" w:rsidRPr="00E25C87" w:rsidRDefault="00E3553B" w:rsidP="00E3553B">
      <w:pPr>
        <w:pStyle w:val="Abstract"/>
        <w:tabs>
          <w:tab w:val="left" w:pos="6379"/>
        </w:tabs>
        <w:ind w:left="0" w:right="-30"/>
        <w:jc w:val="center"/>
        <w:rPr>
          <w:sz w:val="18"/>
          <w:szCs w:val="18"/>
          <w:u w:val="single"/>
          <w:lang w:val="en-GB"/>
        </w:rPr>
      </w:pPr>
      <w:r w:rsidRPr="00E25C87">
        <w:rPr>
          <w:sz w:val="18"/>
          <w:szCs w:val="18"/>
          <w:lang w:val="en-GB"/>
        </w:rPr>
        <w:t>Sources: Elaboration of the Authors</w:t>
      </w:r>
    </w:p>
    <w:p w14:paraId="15C492CC" w14:textId="59D90BDF" w:rsidR="009D47BE" w:rsidRPr="00E25C87" w:rsidRDefault="009D47BE" w:rsidP="00E3553B">
      <w:pPr>
        <w:pStyle w:val="Abstract"/>
        <w:tabs>
          <w:tab w:val="left" w:pos="6379"/>
        </w:tabs>
        <w:spacing w:line="276" w:lineRule="auto"/>
        <w:ind w:left="0" w:right="-30"/>
        <w:jc w:val="center"/>
        <w:rPr>
          <w:b/>
          <w:bCs/>
          <w:snapToGrid/>
          <w:sz w:val="22"/>
          <w:szCs w:val="22"/>
          <w:lang w:val="en-GB"/>
        </w:rPr>
      </w:pPr>
    </w:p>
    <w:p w14:paraId="76A95F7F" w14:textId="48B9CAF7" w:rsidR="00E3553B" w:rsidRPr="00E25C87" w:rsidRDefault="00E3553B" w:rsidP="00D9637A">
      <w:pPr>
        <w:pStyle w:val="Abstract"/>
        <w:tabs>
          <w:tab w:val="left" w:pos="6379"/>
        </w:tabs>
        <w:spacing w:line="276" w:lineRule="auto"/>
        <w:ind w:left="0" w:right="-30"/>
        <w:rPr>
          <w:snapToGrid/>
          <w:sz w:val="22"/>
          <w:szCs w:val="22"/>
          <w:lang w:val="en-GB"/>
        </w:rPr>
      </w:pPr>
      <w:r w:rsidRPr="00E25C87">
        <w:rPr>
          <w:snapToGrid/>
          <w:sz w:val="22"/>
          <w:szCs w:val="22"/>
          <w:lang w:val="en-GB"/>
        </w:rPr>
        <w:t xml:space="preserve">The Table 4 shows the </w:t>
      </w:r>
      <w:r w:rsidR="00D60B36" w:rsidRPr="00E25C87">
        <w:rPr>
          <w:snapToGrid/>
          <w:sz w:val="22"/>
          <w:szCs w:val="22"/>
          <w:lang w:val="en-GB"/>
        </w:rPr>
        <w:t>E</w:t>
      </w:r>
      <w:r w:rsidR="00371859" w:rsidRPr="00E25C87">
        <w:rPr>
          <w:snapToGrid/>
          <w:sz w:val="22"/>
          <w:szCs w:val="22"/>
          <w:lang w:val="en-GB"/>
        </w:rPr>
        <w:t xml:space="preserve">ndpoint </w:t>
      </w:r>
      <w:r w:rsidRPr="00E25C87">
        <w:rPr>
          <w:snapToGrid/>
          <w:sz w:val="22"/>
          <w:szCs w:val="22"/>
          <w:lang w:val="en-GB"/>
        </w:rPr>
        <w:t>results</w:t>
      </w:r>
      <w:r w:rsidR="00371859" w:rsidRPr="00E25C87">
        <w:rPr>
          <w:snapToGrid/>
          <w:sz w:val="22"/>
          <w:szCs w:val="22"/>
          <w:lang w:val="en-GB"/>
        </w:rPr>
        <w:t xml:space="preserve"> per functional unit for the most representative materials and components</w:t>
      </w:r>
      <w:r w:rsidR="00D60B36" w:rsidRPr="00E25C87">
        <w:rPr>
          <w:snapToGrid/>
          <w:sz w:val="22"/>
          <w:szCs w:val="22"/>
          <w:lang w:val="en-GB"/>
        </w:rPr>
        <w:t>, calculated by means of the same Impact Assessment ReCiPe Endpoint Method,</w:t>
      </w:r>
      <w:r w:rsidR="00371859" w:rsidRPr="00E25C87">
        <w:rPr>
          <w:snapToGrid/>
          <w:sz w:val="22"/>
          <w:szCs w:val="22"/>
          <w:lang w:val="en-GB"/>
        </w:rPr>
        <w:t xml:space="preserve"> evidencing that the total impacts </w:t>
      </w:r>
      <w:r w:rsidR="00136D00" w:rsidRPr="00E25C87">
        <w:rPr>
          <w:snapToGrid/>
          <w:sz w:val="22"/>
          <w:szCs w:val="22"/>
          <w:lang w:val="en-GB"/>
        </w:rPr>
        <w:t>contribute to the depletion of the ecosystems by 3.97E-07</w:t>
      </w:r>
      <w:r w:rsidR="00D60B36" w:rsidRPr="00E25C87">
        <w:rPr>
          <w:snapToGrid/>
          <w:sz w:val="22"/>
          <w:szCs w:val="22"/>
          <w:lang w:val="en-GB"/>
        </w:rPr>
        <w:t xml:space="preserve"> species-yr</w:t>
      </w:r>
      <w:r w:rsidR="00136D00" w:rsidRPr="00E25C87">
        <w:rPr>
          <w:snapToGrid/>
          <w:sz w:val="22"/>
          <w:szCs w:val="22"/>
          <w:lang w:val="en-GB"/>
        </w:rPr>
        <w:t xml:space="preserve">, to </w:t>
      </w:r>
      <w:r w:rsidR="00D60B36" w:rsidRPr="00E25C87">
        <w:rPr>
          <w:snapToGrid/>
          <w:sz w:val="22"/>
          <w:szCs w:val="22"/>
          <w:lang w:val="en-GB"/>
        </w:rPr>
        <w:t xml:space="preserve">the </w:t>
      </w:r>
      <w:r w:rsidR="00136D00" w:rsidRPr="00E25C87">
        <w:rPr>
          <w:snapToGrid/>
          <w:sz w:val="22"/>
          <w:szCs w:val="22"/>
          <w:lang w:val="en-GB"/>
        </w:rPr>
        <w:t xml:space="preserve">resource </w:t>
      </w:r>
      <w:r w:rsidR="005A331D" w:rsidRPr="00E25C87">
        <w:rPr>
          <w:snapToGrid/>
          <w:sz w:val="22"/>
          <w:szCs w:val="22"/>
          <w:lang w:val="en-GB"/>
        </w:rPr>
        <w:t>depletion by</w:t>
      </w:r>
      <w:r w:rsidR="00D60B36" w:rsidRPr="00E25C87">
        <w:rPr>
          <w:snapToGrid/>
          <w:sz w:val="22"/>
          <w:szCs w:val="22"/>
          <w:lang w:val="en-GB"/>
        </w:rPr>
        <w:t xml:space="preserve"> </w:t>
      </w:r>
      <w:r w:rsidR="00136D00" w:rsidRPr="00E25C87">
        <w:rPr>
          <w:snapToGrid/>
          <w:sz w:val="22"/>
          <w:szCs w:val="22"/>
          <w:lang w:val="en-GB"/>
        </w:rPr>
        <w:t xml:space="preserve">7.17 </w:t>
      </w:r>
      <w:r w:rsidR="00D60B36" w:rsidRPr="00E25C87">
        <w:rPr>
          <w:snapToGrid/>
          <w:sz w:val="22"/>
          <w:szCs w:val="22"/>
          <w:lang w:val="en-GB"/>
        </w:rPr>
        <w:t>US</w:t>
      </w:r>
      <w:r w:rsidR="00136D00" w:rsidRPr="00E25C87">
        <w:rPr>
          <w:snapToGrid/>
          <w:sz w:val="22"/>
          <w:szCs w:val="22"/>
          <w:lang w:val="en-GB"/>
        </w:rPr>
        <w:t xml:space="preserve">$ and </w:t>
      </w:r>
      <w:r w:rsidR="00D60B36" w:rsidRPr="00E25C87">
        <w:rPr>
          <w:snapToGrid/>
          <w:sz w:val="22"/>
          <w:szCs w:val="22"/>
          <w:lang w:val="en-GB"/>
        </w:rPr>
        <w:t xml:space="preserve">to </w:t>
      </w:r>
      <w:r w:rsidR="00136D00" w:rsidRPr="00E25C87">
        <w:rPr>
          <w:snapToGrid/>
          <w:sz w:val="22"/>
          <w:szCs w:val="22"/>
          <w:lang w:val="en-GB"/>
        </w:rPr>
        <w:t xml:space="preserve">damages to human health </w:t>
      </w:r>
      <w:r w:rsidR="00D60B36" w:rsidRPr="00E25C87">
        <w:rPr>
          <w:snapToGrid/>
          <w:sz w:val="22"/>
          <w:szCs w:val="22"/>
          <w:lang w:val="en-GB"/>
        </w:rPr>
        <w:t xml:space="preserve">by </w:t>
      </w:r>
      <w:r w:rsidR="00136D00" w:rsidRPr="00E25C87">
        <w:rPr>
          <w:snapToGrid/>
          <w:sz w:val="22"/>
          <w:szCs w:val="22"/>
          <w:lang w:val="en-GB"/>
        </w:rPr>
        <w:t>4.86E-05</w:t>
      </w:r>
      <w:r w:rsidR="00D60B36" w:rsidRPr="00E25C87">
        <w:rPr>
          <w:snapToGrid/>
          <w:sz w:val="22"/>
          <w:szCs w:val="22"/>
          <w:lang w:val="en-GB"/>
        </w:rPr>
        <w:t xml:space="preserve"> DALY (Disability Adjusted Life Years)</w:t>
      </w:r>
      <w:r w:rsidR="00136D00" w:rsidRPr="00E25C87">
        <w:rPr>
          <w:snapToGrid/>
          <w:sz w:val="22"/>
          <w:szCs w:val="22"/>
          <w:lang w:val="en-GB"/>
        </w:rPr>
        <w:t xml:space="preserve">. </w:t>
      </w:r>
    </w:p>
    <w:p w14:paraId="16AC8084" w14:textId="72CAF4FB" w:rsidR="00B41933" w:rsidRPr="00E25C87" w:rsidRDefault="00B41933" w:rsidP="009D47BE">
      <w:pPr>
        <w:pStyle w:val="Abstract"/>
        <w:tabs>
          <w:tab w:val="left" w:pos="6379"/>
        </w:tabs>
        <w:spacing w:line="276" w:lineRule="auto"/>
        <w:ind w:right="-30"/>
        <w:rPr>
          <w:b/>
          <w:bCs/>
          <w:snapToGrid/>
          <w:sz w:val="22"/>
          <w:szCs w:val="22"/>
          <w:lang w:val="en-GB"/>
        </w:rPr>
      </w:pPr>
    </w:p>
    <w:p w14:paraId="6F2547C1" w14:textId="28C89FFC" w:rsidR="00B41933" w:rsidRPr="00E25C87" w:rsidRDefault="00BA591F" w:rsidP="00BA591F">
      <w:pPr>
        <w:spacing w:line="259" w:lineRule="auto"/>
        <w:rPr>
          <w:b/>
          <w:bCs/>
          <w:szCs w:val="22"/>
          <w:lang w:val="en-GB"/>
        </w:rPr>
      </w:pPr>
      <w:r w:rsidRPr="00E25C87">
        <w:rPr>
          <w:rFonts w:eastAsia="Calibri"/>
          <w:sz w:val="18"/>
          <w:szCs w:val="18"/>
          <w:lang w:val="en-GB"/>
        </w:rPr>
        <w:t xml:space="preserve">Table </w:t>
      </w:r>
      <w:r w:rsidR="00E3553B" w:rsidRPr="00E25C87">
        <w:rPr>
          <w:rFonts w:eastAsia="Calibri"/>
          <w:sz w:val="18"/>
          <w:szCs w:val="18"/>
          <w:lang w:val="en-GB"/>
        </w:rPr>
        <w:t>4</w:t>
      </w:r>
      <w:r w:rsidRPr="00E25C87">
        <w:rPr>
          <w:rFonts w:eastAsia="Calibri"/>
          <w:sz w:val="18"/>
          <w:szCs w:val="18"/>
          <w:lang w:val="en-GB"/>
        </w:rPr>
        <w:t xml:space="preserve">. Total </w:t>
      </w:r>
      <w:r w:rsidR="00EE6381" w:rsidRPr="00E25C87">
        <w:rPr>
          <w:rFonts w:eastAsia="Calibri"/>
          <w:sz w:val="18"/>
          <w:szCs w:val="18"/>
          <w:lang w:val="en-GB"/>
        </w:rPr>
        <w:t xml:space="preserve">endpoint </w:t>
      </w:r>
      <w:r w:rsidRPr="00E25C87">
        <w:rPr>
          <w:rFonts w:eastAsia="Calibri"/>
          <w:sz w:val="18"/>
          <w:szCs w:val="18"/>
          <w:lang w:val="en-GB"/>
        </w:rPr>
        <w:t xml:space="preserve">results per functional unit (1 tonne collected and treated) for the R1 </w:t>
      </w:r>
      <w:r w:rsidR="005A4B94">
        <w:rPr>
          <w:rFonts w:eastAsia="Calibri"/>
          <w:sz w:val="18"/>
          <w:szCs w:val="18"/>
          <w:lang w:val="en-GB"/>
        </w:rPr>
        <w:t xml:space="preserve">WEEE </w:t>
      </w:r>
      <w:r w:rsidRPr="00E25C87">
        <w:rPr>
          <w:rFonts w:eastAsia="Calibri"/>
          <w:sz w:val="18"/>
          <w:szCs w:val="18"/>
          <w:lang w:val="en-GB"/>
        </w:rPr>
        <w:t>category</w:t>
      </w:r>
      <w:r w:rsidR="005A4B94">
        <w:rPr>
          <w:rFonts w:eastAsia="Calibri"/>
          <w:sz w:val="18"/>
          <w:szCs w:val="18"/>
          <w:lang w:val="en-GB"/>
        </w:rPr>
        <w:t>.</w:t>
      </w:r>
    </w:p>
    <w:tbl>
      <w:tblPr>
        <w:tblStyle w:val="Grigliatabella"/>
        <w:tblW w:w="9177" w:type="dxa"/>
        <w:tblLook w:val="04A0" w:firstRow="1" w:lastRow="0" w:firstColumn="1" w:lastColumn="0" w:noHBand="0" w:noVBand="1"/>
      </w:tblPr>
      <w:tblGrid>
        <w:gridCol w:w="1137"/>
        <w:gridCol w:w="931"/>
        <w:gridCol w:w="904"/>
        <w:gridCol w:w="1097"/>
        <w:gridCol w:w="1043"/>
        <w:gridCol w:w="992"/>
        <w:gridCol w:w="992"/>
        <w:gridCol w:w="1176"/>
        <w:gridCol w:w="1010"/>
      </w:tblGrid>
      <w:tr w:rsidR="00BA591F" w:rsidRPr="00E25C87" w14:paraId="7809FEE3" w14:textId="77777777" w:rsidTr="00A7629D">
        <w:trPr>
          <w:trHeight w:val="288"/>
        </w:trPr>
        <w:tc>
          <w:tcPr>
            <w:tcW w:w="1137" w:type="dxa"/>
            <w:noWrap/>
            <w:hideMark/>
          </w:tcPr>
          <w:p w14:paraId="0FD04817" w14:textId="2531CF03" w:rsidR="00BA591F" w:rsidRPr="00E25C87" w:rsidRDefault="00BA591F" w:rsidP="006E7D1D">
            <w:pPr>
              <w:jc w:val="center"/>
              <w:rPr>
                <w:b/>
                <w:bCs/>
                <w:sz w:val="18"/>
                <w:szCs w:val="18"/>
                <w:lang w:val="en-GB"/>
              </w:rPr>
            </w:pPr>
            <w:r w:rsidRPr="00E25C87">
              <w:rPr>
                <w:b/>
                <w:bCs/>
                <w:sz w:val="18"/>
                <w:szCs w:val="18"/>
                <w:lang w:val="en-GB"/>
              </w:rPr>
              <w:t>Impact Category</w:t>
            </w:r>
          </w:p>
        </w:tc>
        <w:tc>
          <w:tcPr>
            <w:tcW w:w="931" w:type="dxa"/>
            <w:noWrap/>
            <w:hideMark/>
          </w:tcPr>
          <w:p w14:paraId="446A65CF" w14:textId="77777777" w:rsidR="00BA591F" w:rsidRPr="00E25C87" w:rsidRDefault="00BA591F" w:rsidP="006E7D1D">
            <w:pPr>
              <w:jc w:val="center"/>
              <w:rPr>
                <w:b/>
                <w:bCs/>
                <w:sz w:val="18"/>
                <w:szCs w:val="18"/>
                <w:lang w:val="en-GB"/>
              </w:rPr>
            </w:pPr>
            <w:r w:rsidRPr="00E25C87">
              <w:rPr>
                <w:b/>
                <w:bCs/>
                <w:sz w:val="18"/>
                <w:szCs w:val="18"/>
                <w:lang w:val="en-GB"/>
              </w:rPr>
              <w:t>Unit</w:t>
            </w:r>
          </w:p>
        </w:tc>
        <w:tc>
          <w:tcPr>
            <w:tcW w:w="904" w:type="dxa"/>
            <w:noWrap/>
            <w:hideMark/>
          </w:tcPr>
          <w:p w14:paraId="40D08CAB" w14:textId="02DF6DE0" w:rsidR="00BA591F" w:rsidRPr="00E25C87" w:rsidRDefault="00BA591F" w:rsidP="006E7D1D">
            <w:pPr>
              <w:jc w:val="center"/>
              <w:rPr>
                <w:b/>
                <w:bCs/>
                <w:sz w:val="18"/>
                <w:szCs w:val="18"/>
                <w:lang w:val="en-GB"/>
              </w:rPr>
            </w:pPr>
            <w:r w:rsidRPr="00E25C87">
              <w:rPr>
                <w:b/>
                <w:bCs/>
                <w:sz w:val="18"/>
                <w:szCs w:val="18"/>
                <w:lang w:val="en-GB"/>
              </w:rPr>
              <w:t>Recov. Iron</w:t>
            </w:r>
          </w:p>
        </w:tc>
        <w:tc>
          <w:tcPr>
            <w:tcW w:w="992" w:type="dxa"/>
            <w:noWrap/>
            <w:hideMark/>
          </w:tcPr>
          <w:p w14:paraId="1BB14720" w14:textId="5086DE4D" w:rsidR="00BA591F" w:rsidRPr="00E25C87" w:rsidRDefault="00BA591F" w:rsidP="006E7D1D">
            <w:pPr>
              <w:jc w:val="center"/>
              <w:rPr>
                <w:b/>
                <w:bCs/>
                <w:sz w:val="18"/>
                <w:szCs w:val="18"/>
                <w:lang w:val="en-GB"/>
              </w:rPr>
            </w:pPr>
            <w:r w:rsidRPr="00E25C87">
              <w:rPr>
                <w:b/>
                <w:bCs/>
                <w:sz w:val="18"/>
                <w:szCs w:val="18"/>
                <w:lang w:val="en-GB"/>
              </w:rPr>
              <w:t>Recov. Aluminium</w:t>
            </w:r>
          </w:p>
        </w:tc>
        <w:tc>
          <w:tcPr>
            <w:tcW w:w="1043" w:type="dxa"/>
            <w:noWrap/>
            <w:hideMark/>
          </w:tcPr>
          <w:p w14:paraId="7B0269A4" w14:textId="77777777" w:rsidR="00BA591F" w:rsidRPr="00E25C87" w:rsidRDefault="00BA591F" w:rsidP="006E7D1D">
            <w:pPr>
              <w:jc w:val="center"/>
              <w:rPr>
                <w:b/>
                <w:bCs/>
                <w:sz w:val="18"/>
                <w:szCs w:val="18"/>
                <w:lang w:val="en-GB"/>
              </w:rPr>
            </w:pPr>
            <w:r w:rsidRPr="00E25C87">
              <w:rPr>
                <w:b/>
                <w:bCs/>
                <w:sz w:val="18"/>
                <w:szCs w:val="18"/>
                <w:lang w:val="en-GB"/>
              </w:rPr>
              <w:t>Recov. Glass</w:t>
            </w:r>
          </w:p>
        </w:tc>
        <w:tc>
          <w:tcPr>
            <w:tcW w:w="992" w:type="dxa"/>
            <w:noWrap/>
            <w:hideMark/>
          </w:tcPr>
          <w:p w14:paraId="269BC2AC" w14:textId="610B0518" w:rsidR="00BA591F" w:rsidRPr="00E25C87" w:rsidRDefault="00BA591F" w:rsidP="006E7D1D">
            <w:pPr>
              <w:jc w:val="center"/>
              <w:rPr>
                <w:b/>
                <w:bCs/>
                <w:sz w:val="18"/>
                <w:szCs w:val="18"/>
                <w:lang w:val="en-GB"/>
              </w:rPr>
            </w:pPr>
            <w:r w:rsidRPr="00E25C87">
              <w:rPr>
                <w:b/>
                <w:bCs/>
                <w:sz w:val="18"/>
                <w:szCs w:val="18"/>
                <w:lang w:val="en-GB"/>
              </w:rPr>
              <w:t>Recov. Plastic</w:t>
            </w:r>
          </w:p>
        </w:tc>
        <w:tc>
          <w:tcPr>
            <w:tcW w:w="992" w:type="dxa"/>
            <w:noWrap/>
            <w:hideMark/>
          </w:tcPr>
          <w:p w14:paraId="40881155" w14:textId="7ECF4162" w:rsidR="00BA591F" w:rsidRPr="00E25C87" w:rsidRDefault="00BA591F" w:rsidP="006E7D1D">
            <w:pPr>
              <w:jc w:val="center"/>
              <w:rPr>
                <w:b/>
                <w:bCs/>
                <w:sz w:val="18"/>
                <w:szCs w:val="18"/>
                <w:lang w:val="en-GB"/>
              </w:rPr>
            </w:pPr>
            <w:r w:rsidRPr="00E25C87">
              <w:rPr>
                <w:b/>
                <w:bCs/>
                <w:sz w:val="18"/>
                <w:szCs w:val="18"/>
                <w:lang w:val="en-GB"/>
              </w:rPr>
              <w:t>Recov. Gas</w:t>
            </w:r>
          </w:p>
        </w:tc>
        <w:tc>
          <w:tcPr>
            <w:tcW w:w="1176" w:type="dxa"/>
            <w:noWrap/>
            <w:hideMark/>
          </w:tcPr>
          <w:p w14:paraId="3F0DC358" w14:textId="700C3A5E" w:rsidR="00BA591F" w:rsidRPr="00E25C87" w:rsidRDefault="00BA591F" w:rsidP="006E7D1D">
            <w:pPr>
              <w:jc w:val="center"/>
              <w:rPr>
                <w:b/>
                <w:bCs/>
                <w:sz w:val="18"/>
                <w:szCs w:val="18"/>
                <w:lang w:val="en-GB"/>
              </w:rPr>
            </w:pPr>
            <w:r w:rsidRPr="00E25C87">
              <w:rPr>
                <w:b/>
                <w:bCs/>
                <w:sz w:val="18"/>
                <w:szCs w:val="18"/>
                <w:lang w:val="en-GB"/>
              </w:rPr>
              <w:t>Recov. compressors</w:t>
            </w:r>
          </w:p>
        </w:tc>
        <w:tc>
          <w:tcPr>
            <w:tcW w:w="1010" w:type="dxa"/>
            <w:noWrap/>
            <w:hideMark/>
          </w:tcPr>
          <w:p w14:paraId="0E0BDC2A" w14:textId="20282C66" w:rsidR="00BA591F" w:rsidRPr="00E25C87" w:rsidRDefault="00BA591F" w:rsidP="006E7D1D">
            <w:pPr>
              <w:jc w:val="center"/>
              <w:rPr>
                <w:b/>
                <w:bCs/>
                <w:sz w:val="18"/>
                <w:szCs w:val="18"/>
                <w:lang w:val="en-GB"/>
              </w:rPr>
            </w:pPr>
            <w:r w:rsidRPr="00E25C87">
              <w:rPr>
                <w:b/>
                <w:bCs/>
                <w:sz w:val="18"/>
                <w:szCs w:val="18"/>
                <w:lang w:val="en-GB"/>
              </w:rPr>
              <w:t>Total Impacts</w:t>
            </w:r>
          </w:p>
        </w:tc>
      </w:tr>
      <w:tr w:rsidR="00BA591F" w:rsidRPr="00E25C87" w14:paraId="0F767266" w14:textId="77777777" w:rsidTr="00A7629D">
        <w:trPr>
          <w:trHeight w:val="288"/>
        </w:trPr>
        <w:tc>
          <w:tcPr>
            <w:tcW w:w="1137" w:type="dxa"/>
            <w:noWrap/>
            <w:hideMark/>
          </w:tcPr>
          <w:p w14:paraId="32843D2E" w14:textId="77777777" w:rsidR="00BA591F" w:rsidRPr="00E25C87" w:rsidRDefault="00BA591F" w:rsidP="004C63CB">
            <w:pPr>
              <w:rPr>
                <w:sz w:val="18"/>
                <w:szCs w:val="18"/>
                <w:lang w:val="en-GB"/>
              </w:rPr>
            </w:pPr>
            <w:r w:rsidRPr="00E25C87">
              <w:rPr>
                <w:sz w:val="18"/>
                <w:szCs w:val="18"/>
                <w:lang w:val="en-GB"/>
              </w:rPr>
              <w:t>Ecosystems-total</w:t>
            </w:r>
          </w:p>
        </w:tc>
        <w:tc>
          <w:tcPr>
            <w:tcW w:w="931" w:type="dxa"/>
            <w:noWrap/>
            <w:hideMark/>
          </w:tcPr>
          <w:p w14:paraId="162BEB26" w14:textId="77777777" w:rsidR="00BA591F" w:rsidRPr="00E25C87" w:rsidRDefault="00BA591F" w:rsidP="004C63CB">
            <w:pPr>
              <w:rPr>
                <w:sz w:val="18"/>
                <w:szCs w:val="18"/>
                <w:lang w:val="en-GB"/>
              </w:rPr>
            </w:pPr>
            <w:r w:rsidRPr="00E25C87">
              <w:rPr>
                <w:sz w:val="18"/>
                <w:szCs w:val="18"/>
                <w:lang w:val="en-GB"/>
              </w:rPr>
              <w:t>species.yr</w:t>
            </w:r>
          </w:p>
        </w:tc>
        <w:tc>
          <w:tcPr>
            <w:tcW w:w="904" w:type="dxa"/>
            <w:noWrap/>
            <w:hideMark/>
          </w:tcPr>
          <w:p w14:paraId="2DE8D7B0" w14:textId="77777777" w:rsidR="00BA591F" w:rsidRPr="00E25C87" w:rsidRDefault="00BA591F" w:rsidP="004C63CB">
            <w:pPr>
              <w:jc w:val="left"/>
              <w:rPr>
                <w:sz w:val="18"/>
                <w:szCs w:val="18"/>
                <w:lang w:val="en-GB"/>
              </w:rPr>
            </w:pPr>
            <w:r w:rsidRPr="00E25C87">
              <w:rPr>
                <w:sz w:val="18"/>
                <w:szCs w:val="18"/>
                <w:lang w:val="en-GB"/>
              </w:rPr>
              <w:t>2.58E-07</w:t>
            </w:r>
          </w:p>
        </w:tc>
        <w:tc>
          <w:tcPr>
            <w:tcW w:w="992" w:type="dxa"/>
            <w:noWrap/>
            <w:hideMark/>
          </w:tcPr>
          <w:p w14:paraId="58A74E55" w14:textId="77777777" w:rsidR="00BA591F" w:rsidRPr="00E25C87" w:rsidRDefault="00BA591F" w:rsidP="004C63CB">
            <w:pPr>
              <w:jc w:val="left"/>
              <w:rPr>
                <w:sz w:val="18"/>
                <w:szCs w:val="18"/>
                <w:lang w:val="en-GB"/>
              </w:rPr>
            </w:pPr>
            <w:r w:rsidRPr="00E25C87">
              <w:rPr>
                <w:sz w:val="18"/>
                <w:szCs w:val="18"/>
                <w:lang w:val="en-GB"/>
              </w:rPr>
              <w:t>3.97E-09</w:t>
            </w:r>
          </w:p>
        </w:tc>
        <w:tc>
          <w:tcPr>
            <w:tcW w:w="1043" w:type="dxa"/>
            <w:noWrap/>
            <w:hideMark/>
          </w:tcPr>
          <w:p w14:paraId="2574F317" w14:textId="77777777" w:rsidR="00BA591F" w:rsidRPr="00E25C87" w:rsidRDefault="00BA591F" w:rsidP="004C63CB">
            <w:pPr>
              <w:jc w:val="left"/>
              <w:rPr>
                <w:sz w:val="18"/>
                <w:szCs w:val="18"/>
                <w:lang w:val="en-GB"/>
              </w:rPr>
            </w:pPr>
            <w:r w:rsidRPr="00E25C87">
              <w:rPr>
                <w:sz w:val="18"/>
                <w:szCs w:val="18"/>
                <w:lang w:val="en-GB"/>
              </w:rPr>
              <w:t>7.55E-10</w:t>
            </w:r>
          </w:p>
        </w:tc>
        <w:tc>
          <w:tcPr>
            <w:tcW w:w="992" w:type="dxa"/>
            <w:noWrap/>
            <w:hideMark/>
          </w:tcPr>
          <w:p w14:paraId="129E7587" w14:textId="77777777" w:rsidR="00BA591F" w:rsidRPr="00E25C87" w:rsidRDefault="00BA591F" w:rsidP="004C63CB">
            <w:pPr>
              <w:jc w:val="left"/>
              <w:rPr>
                <w:sz w:val="18"/>
                <w:szCs w:val="18"/>
                <w:lang w:val="en-GB"/>
              </w:rPr>
            </w:pPr>
            <w:r w:rsidRPr="00E25C87">
              <w:rPr>
                <w:sz w:val="18"/>
                <w:szCs w:val="18"/>
                <w:lang w:val="en-GB"/>
              </w:rPr>
              <w:t>1.89E-08</w:t>
            </w:r>
          </w:p>
        </w:tc>
        <w:tc>
          <w:tcPr>
            <w:tcW w:w="992" w:type="dxa"/>
            <w:noWrap/>
            <w:hideMark/>
          </w:tcPr>
          <w:p w14:paraId="640F6A0C" w14:textId="77777777" w:rsidR="00BA591F" w:rsidRPr="00E25C87" w:rsidRDefault="00BA591F" w:rsidP="004C63CB">
            <w:pPr>
              <w:jc w:val="left"/>
              <w:rPr>
                <w:sz w:val="18"/>
                <w:szCs w:val="18"/>
                <w:lang w:val="en-GB"/>
              </w:rPr>
            </w:pPr>
            <w:r w:rsidRPr="00E25C87">
              <w:rPr>
                <w:sz w:val="18"/>
                <w:szCs w:val="18"/>
                <w:lang w:val="en-GB"/>
              </w:rPr>
              <w:t>1.19E-10</w:t>
            </w:r>
          </w:p>
        </w:tc>
        <w:tc>
          <w:tcPr>
            <w:tcW w:w="1176" w:type="dxa"/>
            <w:noWrap/>
            <w:hideMark/>
          </w:tcPr>
          <w:p w14:paraId="3E643C6E" w14:textId="77777777" w:rsidR="00BA591F" w:rsidRPr="00E25C87" w:rsidRDefault="00BA591F" w:rsidP="004C63CB">
            <w:pPr>
              <w:jc w:val="left"/>
              <w:rPr>
                <w:sz w:val="18"/>
                <w:szCs w:val="18"/>
                <w:lang w:val="en-GB"/>
              </w:rPr>
            </w:pPr>
            <w:r w:rsidRPr="00E25C87">
              <w:rPr>
                <w:sz w:val="18"/>
                <w:szCs w:val="18"/>
                <w:lang w:val="en-GB"/>
              </w:rPr>
              <w:t>9.89E-08</w:t>
            </w:r>
          </w:p>
        </w:tc>
        <w:tc>
          <w:tcPr>
            <w:tcW w:w="1010" w:type="dxa"/>
            <w:noWrap/>
            <w:hideMark/>
          </w:tcPr>
          <w:p w14:paraId="266F1B48" w14:textId="77777777" w:rsidR="00BA591F" w:rsidRPr="00E25C87" w:rsidRDefault="00BA591F" w:rsidP="004C63CB">
            <w:pPr>
              <w:jc w:val="left"/>
              <w:rPr>
                <w:sz w:val="18"/>
                <w:szCs w:val="18"/>
                <w:lang w:val="en-GB"/>
              </w:rPr>
            </w:pPr>
            <w:r w:rsidRPr="00E25C87">
              <w:rPr>
                <w:sz w:val="18"/>
                <w:szCs w:val="18"/>
                <w:lang w:val="en-GB"/>
              </w:rPr>
              <w:t>3.97E-07</w:t>
            </w:r>
          </w:p>
        </w:tc>
      </w:tr>
      <w:tr w:rsidR="00BA591F" w:rsidRPr="00E25C87" w14:paraId="076F691E" w14:textId="77777777" w:rsidTr="00A7629D">
        <w:trPr>
          <w:trHeight w:val="288"/>
        </w:trPr>
        <w:tc>
          <w:tcPr>
            <w:tcW w:w="1137" w:type="dxa"/>
            <w:noWrap/>
            <w:hideMark/>
          </w:tcPr>
          <w:p w14:paraId="4E0F7358" w14:textId="77777777" w:rsidR="00BA591F" w:rsidRPr="00E25C87" w:rsidRDefault="00BA591F" w:rsidP="004C63CB">
            <w:pPr>
              <w:jc w:val="left"/>
              <w:rPr>
                <w:sz w:val="18"/>
                <w:szCs w:val="18"/>
                <w:lang w:val="en-GB"/>
              </w:rPr>
            </w:pPr>
            <w:r w:rsidRPr="00E25C87">
              <w:rPr>
                <w:sz w:val="18"/>
                <w:szCs w:val="18"/>
                <w:lang w:val="en-GB"/>
              </w:rPr>
              <w:t>Resources-total</w:t>
            </w:r>
          </w:p>
        </w:tc>
        <w:tc>
          <w:tcPr>
            <w:tcW w:w="931" w:type="dxa"/>
            <w:noWrap/>
            <w:hideMark/>
          </w:tcPr>
          <w:p w14:paraId="41C8CAF7" w14:textId="77777777" w:rsidR="00BA591F" w:rsidRPr="00E25C87" w:rsidRDefault="00BA591F" w:rsidP="004C63CB">
            <w:pPr>
              <w:rPr>
                <w:sz w:val="18"/>
                <w:szCs w:val="18"/>
                <w:lang w:val="en-GB"/>
              </w:rPr>
            </w:pPr>
            <w:r w:rsidRPr="00E25C87">
              <w:rPr>
                <w:sz w:val="18"/>
                <w:szCs w:val="18"/>
                <w:lang w:val="en-GB"/>
              </w:rPr>
              <w:t>$</w:t>
            </w:r>
          </w:p>
        </w:tc>
        <w:tc>
          <w:tcPr>
            <w:tcW w:w="904" w:type="dxa"/>
            <w:noWrap/>
            <w:hideMark/>
          </w:tcPr>
          <w:p w14:paraId="4F1F30F5" w14:textId="77777777" w:rsidR="00BA591F" w:rsidRPr="00E25C87" w:rsidRDefault="00BA591F" w:rsidP="004C63CB">
            <w:pPr>
              <w:jc w:val="left"/>
              <w:rPr>
                <w:sz w:val="18"/>
                <w:szCs w:val="18"/>
                <w:lang w:val="en-GB"/>
              </w:rPr>
            </w:pPr>
            <w:r w:rsidRPr="00E25C87">
              <w:rPr>
                <w:sz w:val="18"/>
                <w:szCs w:val="18"/>
                <w:lang w:val="en-GB"/>
              </w:rPr>
              <w:t>4.66</w:t>
            </w:r>
          </w:p>
        </w:tc>
        <w:tc>
          <w:tcPr>
            <w:tcW w:w="992" w:type="dxa"/>
            <w:noWrap/>
            <w:hideMark/>
          </w:tcPr>
          <w:p w14:paraId="7AA60EED" w14:textId="77777777" w:rsidR="00BA591F" w:rsidRPr="00E25C87" w:rsidRDefault="00BA591F" w:rsidP="004C63CB">
            <w:pPr>
              <w:jc w:val="left"/>
              <w:rPr>
                <w:sz w:val="18"/>
                <w:szCs w:val="18"/>
                <w:lang w:val="en-GB"/>
              </w:rPr>
            </w:pPr>
            <w:r w:rsidRPr="00E25C87">
              <w:rPr>
                <w:sz w:val="18"/>
                <w:szCs w:val="18"/>
                <w:lang w:val="en-GB"/>
              </w:rPr>
              <w:t>0.07</w:t>
            </w:r>
          </w:p>
        </w:tc>
        <w:tc>
          <w:tcPr>
            <w:tcW w:w="1043" w:type="dxa"/>
            <w:noWrap/>
            <w:hideMark/>
          </w:tcPr>
          <w:p w14:paraId="4F9797D4" w14:textId="77777777" w:rsidR="00BA591F" w:rsidRPr="00E25C87" w:rsidRDefault="00BA591F" w:rsidP="004C63CB">
            <w:pPr>
              <w:jc w:val="left"/>
              <w:rPr>
                <w:sz w:val="18"/>
                <w:szCs w:val="18"/>
                <w:lang w:val="en-GB"/>
              </w:rPr>
            </w:pPr>
            <w:r w:rsidRPr="00E25C87">
              <w:rPr>
                <w:sz w:val="18"/>
                <w:szCs w:val="18"/>
                <w:lang w:val="en-GB"/>
              </w:rPr>
              <w:t>0.01</w:t>
            </w:r>
          </w:p>
        </w:tc>
        <w:tc>
          <w:tcPr>
            <w:tcW w:w="992" w:type="dxa"/>
            <w:noWrap/>
            <w:hideMark/>
          </w:tcPr>
          <w:p w14:paraId="05A87211" w14:textId="77777777" w:rsidR="00BA591F" w:rsidRPr="00E25C87" w:rsidRDefault="00BA591F" w:rsidP="004C63CB">
            <w:pPr>
              <w:jc w:val="left"/>
              <w:rPr>
                <w:sz w:val="18"/>
                <w:szCs w:val="18"/>
                <w:lang w:val="en-GB"/>
              </w:rPr>
            </w:pPr>
            <w:r w:rsidRPr="00E25C87">
              <w:rPr>
                <w:sz w:val="18"/>
                <w:szCs w:val="18"/>
                <w:lang w:val="en-GB"/>
              </w:rPr>
              <w:t>0.34</w:t>
            </w:r>
          </w:p>
        </w:tc>
        <w:tc>
          <w:tcPr>
            <w:tcW w:w="992" w:type="dxa"/>
            <w:noWrap/>
            <w:hideMark/>
          </w:tcPr>
          <w:p w14:paraId="2A2CA5AF" w14:textId="77777777" w:rsidR="00BA591F" w:rsidRPr="00E25C87" w:rsidRDefault="00BA591F" w:rsidP="004C63CB">
            <w:pPr>
              <w:jc w:val="left"/>
              <w:rPr>
                <w:sz w:val="18"/>
                <w:szCs w:val="18"/>
                <w:lang w:val="en-GB"/>
              </w:rPr>
            </w:pPr>
            <w:r w:rsidRPr="00E25C87">
              <w:rPr>
                <w:sz w:val="18"/>
                <w:szCs w:val="18"/>
                <w:lang w:val="en-GB"/>
              </w:rPr>
              <w:t>0.00</w:t>
            </w:r>
          </w:p>
        </w:tc>
        <w:tc>
          <w:tcPr>
            <w:tcW w:w="1176" w:type="dxa"/>
            <w:noWrap/>
            <w:hideMark/>
          </w:tcPr>
          <w:p w14:paraId="0DDCE433" w14:textId="77777777" w:rsidR="00BA591F" w:rsidRPr="00E25C87" w:rsidRDefault="00BA591F" w:rsidP="004C63CB">
            <w:pPr>
              <w:jc w:val="left"/>
              <w:rPr>
                <w:sz w:val="18"/>
                <w:szCs w:val="18"/>
                <w:lang w:val="en-GB"/>
              </w:rPr>
            </w:pPr>
            <w:r w:rsidRPr="00E25C87">
              <w:rPr>
                <w:sz w:val="18"/>
                <w:szCs w:val="18"/>
                <w:lang w:val="en-GB"/>
              </w:rPr>
              <w:t>1.79</w:t>
            </w:r>
          </w:p>
        </w:tc>
        <w:tc>
          <w:tcPr>
            <w:tcW w:w="1010" w:type="dxa"/>
            <w:noWrap/>
            <w:hideMark/>
          </w:tcPr>
          <w:p w14:paraId="6E2B1FCA" w14:textId="77777777" w:rsidR="00BA591F" w:rsidRPr="00E25C87" w:rsidRDefault="00BA591F" w:rsidP="004C63CB">
            <w:pPr>
              <w:jc w:val="left"/>
              <w:rPr>
                <w:sz w:val="18"/>
                <w:szCs w:val="18"/>
                <w:lang w:val="en-GB"/>
              </w:rPr>
            </w:pPr>
            <w:r w:rsidRPr="00E25C87">
              <w:rPr>
                <w:sz w:val="18"/>
                <w:szCs w:val="18"/>
                <w:lang w:val="en-GB"/>
              </w:rPr>
              <w:t>7.17</w:t>
            </w:r>
          </w:p>
        </w:tc>
      </w:tr>
      <w:tr w:rsidR="00BA591F" w:rsidRPr="00E25C87" w14:paraId="69CB3868" w14:textId="77777777" w:rsidTr="00A7629D">
        <w:trPr>
          <w:trHeight w:val="288"/>
        </w:trPr>
        <w:tc>
          <w:tcPr>
            <w:tcW w:w="1137" w:type="dxa"/>
            <w:noWrap/>
            <w:hideMark/>
          </w:tcPr>
          <w:p w14:paraId="58206A8E" w14:textId="77777777" w:rsidR="00BA591F" w:rsidRPr="00E25C87" w:rsidRDefault="00BA591F" w:rsidP="004C63CB">
            <w:pPr>
              <w:jc w:val="left"/>
              <w:rPr>
                <w:sz w:val="18"/>
                <w:szCs w:val="18"/>
                <w:lang w:val="en-GB"/>
              </w:rPr>
            </w:pPr>
            <w:r w:rsidRPr="00E25C87">
              <w:rPr>
                <w:sz w:val="18"/>
                <w:szCs w:val="18"/>
                <w:lang w:val="en-GB"/>
              </w:rPr>
              <w:t>Human Health-total</w:t>
            </w:r>
          </w:p>
        </w:tc>
        <w:tc>
          <w:tcPr>
            <w:tcW w:w="931" w:type="dxa"/>
            <w:noWrap/>
            <w:hideMark/>
          </w:tcPr>
          <w:p w14:paraId="6EA4AE70" w14:textId="77777777" w:rsidR="00BA591F" w:rsidRPr="00E25C87" w:rsidRDefault="00BA591F" w:rsidP="004C63CB">
            <w:pPr>
              <w:rPr>
                <w:sz w:val="18"/>
                <w:szCs w:val="18"/>
                <w:lang w:val="en-GB"/>
              </w:rPr>
            </w:pPr>
            <w:r w:rsidRPr="00E25C87">
              <w:rPr>
                <w:sz w:val="18"/>
                <w:szCs w:val="18"/>
                <w:lang w:val="en-GB"/>
              </w:rPr>
              <w:t>DALY</w:t>
            </w:r>
          </w:p>
        </w:tc>
        <w:tc>
          <w:tcPr>
            <w:tcW w:w="904" w:type="dxa"/>
            <w:noWrap/>
            <w:hideMark/>
          </w:tcPr>
          <w:p w14:paraId="3EC4EB42" w14:textId="77777777" w:rsidR="00BA591F" w:rsidRPr="00E25C87" w:rsidRDefault="00BA591F" w:rsidP="004C63CB">
            <w:pPr>
              <w:jc w:val="left"/>
              <w:rPr>
                <w:sz w:val="18"/>
                <w:szCs w:val="18"/>
                <w:lang w:val="en-GB"/>
              </w:rPr>
            </w:pPr>
            <w:r w:rsidRPr="00E25C87">
              <w:rPr>
                <w:sz w:val="18"/>
                <w:szCs w:val="18"/>
                <w:lang w:val="en-GB"/>
              </w:rPr>
              <w:t>3.15E-05</w:t>
            </w:r>
          </w:p>
        </w:tc>
        <w:tc>
          <w:tcPr>
            <w:tcW w:w="992" w:type="dxa"/>
            <w:noWrap/>
            <w:hideMark/>
          </w:tcPr>
          <w:p w14:paraId="23822476" w14:textId="77777777" w:rsidR="00BA591F" w:rsidRPr="00E25C87" w:rsidRDefault="00BA591F" w:rsidP="004C63CB">
            <w:pPr>
              <w:jc w:val="left"/>
              <w:rPr>
                <w:sz w:val="18"/>
                <w:szCs w:val="18"/>
                <w:lang w:val="en-GB"/>
              </w:rPr>
            </w:pPr>
            <w:r w:rsidRPr="00E25C87">
              <w:rPr>
                <w:sz w:val="18"/>
                <w:szCs w:val="18"/>
                <w:lang w:val="en-GB"/>
              </w:rPr>
              <w:t>4.86E-07</w:t>
            </w:r>
          </w:p>
        </w:tc>
        <w:tc>
          <w:tcPr>
            <w:tcW w:w="1043" w:type="dxa"/>
            <w:noWrap/>
            <w:hideMark/>
          </w:tcPr>
          <w:p w14:paraId="52BD8268" w14:textId="77777777" w:rsidR="00BA591F" w:rsidRPr="00E25C87" w:rsidRDefault="00BA591F" w:rsidP="004C63CB">
            <w:pPr>
              <w:jc w:val="left"/>
              <w:rPr>
                <w:sz w:val="18"/>
                <w:szCs w:val="18"/>
                <w:lang w:val="en-GB"/>
              </w:rPr>
            </w:pPr>
            <w:r w:rsidRPr="00E25C87">
              <w:rPr>
                <w:sz w:val="18"/>
                <w:szCs w:val="18"/>
                <w:lang w:val="en-GB"/>
              </w:rPr>
              <w:t>9.23E-08</w:t>
            </w:r>
          </w:p>
        </w:tc>
        <w:tc>
          <w:tcPr>
            <w:tcW w:w="992" w:type="dxa"/>
            <w:noWrap/>
            <w:hideMark/>
          </w:tcPr>
          <w:p w14:paraId="4B40AAD2" w14:textId="77777777" w:rsidR="00BA591F" w:rsidRPr="00E25C87" w:rsidRDefault="00BA591F" w:rsidP="004C63CB">
            <w:pPr>
              <w:jc w:val="left"/>
              <w:rPr>
                <w:sz w:val="18"/>
                <w:szCs w:val="18"/>
                <w:lang w:val="en-GB"/>
              </w:rPr>
            </w:pPr>
            <w:r w:rsidRPr="00E25C87">
              <w:rPr>
                <w:sz w:val="18"/>
                <w:szCs w:val="18"/>
                <w:lang w:val="en-GB"/>
              </w:rPr>
              <w:t>2.31E-06</w:t>
            </w:r>
          </w:p>
        </w:tc>
        <w:tc>
          <w:tcPr>
            <w:tcW w:w="992" w:type="dxa"/>
            <w:noWrap/>
            <w:hideMark/>
          </w:tcPr>
          <w:p w14:paraId="0AE6085E" w14:textId="77777777" w:rsidR="00BA591F" w:rsidRPr="00E25C87" w:rsidRDefault="00BA591F" w:rsidP="004C63CB">
            <w:pPr>
              <w:jc w:val="left"/>
              <w:rPr>
                <w:sz w:val="18"/>
                <w:szCs w:val="18"/>
                <w:lang w:val="en-GB"/>
              </w:rPr>
            </w:pPr>
            <w:r w:rsidRPr="00E25C87">
              <w:rPr>
                <w:sz w:val="18"/>
                <w:szCs w:val="18"/>
                <w:lang w:val="en-GB"/>
              </w:rPr>
              <w:t>1.46E-08</w:t>
            </w:r>
          </w:p>
        </w:tc>
        <w:tc>
          <w:tcPr>
            <w:tcW w:w="1176" w:type="dxa"/>
            <w:noWrap/>
            <w:hideMark/>
          </w:tcPr>
          <w:p w14:paraId="35DBBBF7" w14:textId="77777777" w:rsidR="00BA591F" w:rsidRPr="00E25C87" w:rsidRDefault="00BA591F" w:rsidP="004C63CB">
            <w:pPr>
              <w:jc w:val="left"/>
              <w:rPr>
                <w:sz w:val="18"/>
                <w:szCs w:val="18"/>
                <w:lang w:val="en-GB"/>
              </w:rPr>
            </w:pPr>
            <w:r w:rsidRPr="00E25C87">
              <w:rPr>
                <w:sz w:val="18"/>
                <w:szCs w:val="18"/>
                <w:lang w:val="en-GB"/>
              </w:rPr>
              <w:t>1.21E-05</w:t>
            </w:r>
          </w:p>
        </w:tc>
        <w:tc>
          <w:tcPr>
            <w:tcW w:w="1010" w:type="dxa"/>
            <w:noWrap/>
            <w:hideMark/>
          </w:tcPr>
          <w:p w14:paraId="49C6C6F3" w14:textId="77777777" w:rsidR="00BA591F" w:rsidRPr="00E25C87" w:rsidRDefault="00BA591F" w:rsidP="004C63CB">
            <w:pPr>
              <w:jc w:val="left"/>
              <w:rPr>
                <w:sz w:val="18"/>
                <w:szCs w:val="18"/>
                <w:lang w:val="en-GB"/>
              </w:rPr>
            </w:pPr>
            <w:r w:rsidRPr="00E25C87">
              <w:rPr>
                <w:sz w:val="18"/>
                <w:szCs w:val="18"/>
                <w:lang w:val="en-GB"/>
              </w:rPr>
              <w:t>4.86E-05</w:t>
            </w:r>
          </w:p>
        </w:tc>
      </w:tr>
    </w:tbl>
    <w:p w14:paraId="5CB4D772" w14:textId="53F18837" w:rsidR="006E7D1D" w:rsidRPr="00E25C87" w:rsidRDefault="006E7D1D" w:rsidP="006E7D1D">
      <w:pPr>
        <w:pStyle w:val="Abstract"/>
        <w:spacing w:line="276" w:lineRule="auto"/>
        <w:jc w:val="center"/>
        <w:rPr>
          <w:szCs w:val="22"/>
          <w:u w:val="single"/>
          <w:lang w:val="en-GB"/>
        </w:rPr>
      </w:pPr>
      <w:r w:rsidRPr="00E25C87">
        <w:rPr>
          <w:szCs w:val="22"/>
          <w:lang w:val="en-GB"/>
        </w:rPr>
        <w:t>Source: Elaboration of the Authors</w:t>
      </w:r>
    </w:p>
    <w:p w14:paraId="0D27C945" w14:textId="331F9A5E" w:rsidR="00FC3730" w:rsidRPr="00E25C87" w:rsidRDefault="00FC3730" w:rsidP="009D47BE">
      <w:pPr>
        <w:pStyle w:val="Abstract"/>
        <w:tabs>
          <w:tab w:val="left" w:pos="6379"/>
        </w:tabs>
        <w:spacing w:line="276" w:lineRule="auto"/>
        <w:ind w:right="-30"/>
        <w:rPr>
          <w:b/>
          <w:bCs/>
          <w:snapToGrid/>
          <w:sz w:val="22"/>
          <w:szCs w:val="22"/>
          <w:lang w:val="en-GB"/>
        </w:rPr>
      </w:pPr>
    </w:p>
    <w:p w14:paraId="5E71E8E1" w14:textId="4E103BFC" w:rsidR="00FC3730" w:rsidRPr="00E25C87" w:rsidRDefault="00FC3730" w:rsidP="006E7D1D">
      <w:pPr>
        <w:pStyle w:val="Abstract"/>
        <w:tabs>
          <w:tab w:val="left" w:pos="6379"/>
        </w:tabs>
        <w:spacing w:line="276" w:lineRule="auto"/>
        <w:ind w:left="0" w:right="-30"/>
        <w:rPr>
          <w:snapToGrid/>
          <w:sz w:val="22"/>
          <w:szCs w:val="22"/>
          <w:lang w:val="en-GB"/>
        </w:rPr>
      </w:pPr>
      <w:r w:rsidRPr="00E25C87">
        <w:rPr>
          <w:snapToGrid/>
          <w:sz w:val="22"/>
          <w:szCs w:val="22"/>
          <w:lang w:val="en-GB"/>
        </w:rPr>
        <w:t>The Table 5 shows the midpoint results per functional unit (1 tonne) for the R2 category of WEEE, assessed by means of the ReCiPe 2016 Assessment Method (Midpoint H)</w:t>
      </w:r>
      <w:r w:rsidR="00064B85" w:rsidRPr="00E25C87">
        <w:rPr>
          <w:snapToGrid/>
          <w:sz w:val="22"/>
          <w:szCs w:val="22"/>
          <w:lang w:val="en-GB"/>
        </w:rPr>
        <w:t xml:space="preserve"> as in the case of WEEE R1.</w:t>
      </w:r>
      <w:r w:rsidR="005A4B94">
        <w:rPr>
          <w:snapToGrid/>
          <w:sz w:val="22"/>
          <w:szCs w:val="22"/>
          <w:lang w:val="en-GB"/>
        </w:rPr>
        <w:t xml:space="preserve"> </w:t>
      </w:r>
      <w:r w:rsidRPr="00E25C87">
        <w:rPr>
          <w:snapToGrid/>
          <w:sz w:val="22"/>
          <w:szCs w:val="22"/>
          <w:lang w:val="en-GB"/>
        </w:rPr>
        <w:t xml:space="preserve">Table 5 shows the </w:t>
      </w:r>
      <w:r w:rsidR="00B631AB" w:rsidRPr="00E25C87">
        <w:rPr>
          <w:snapToGrid/>
          <w:sz w:val="22"/>
          <w:szCs w:val="22"/>
          <w:lang w:val="en-GB"/>
        </w:rPr>
        <w:t xml:space="preserve">environmental impacts for all the materials and components recovered per functional unit. The recovery of Steel and Iron after dismantling the WEEE in R2 category has the highest share in </w:t>
      </w:r>
      <w:r w:rsidR="006E7D1D" w:rsidRPr="00E25C87">
        <w:rPr>
          <w:snapToGrid/>
          <w:sz w:val="22"/>
          <w:szCs w:val="22"/>
          <w:lang w:val="en-GB"/>
        </w:rPr>
        <w:t xml:space="preserve">total </w:t>
      </w:r>
      <w:r w:rsidR="00B631AB" w:rsidRPr="00E25C87">
        <w:rPr>
          <w:snapToGrid/>
          <w:sz w:val="22"/>
          <w:szCs w:val="22"/>
          <w:lang w:val="en-GB"/>
        </w:rPr>
        <w:t xml:space="preserve">climate change </w:t>
      </w:r>
      <w:r w:rsidR="006E7D1D" w:rsidRPr="00E25C87">
        <w:rPr>
          <w:snapToGrid/>
          <w:sz w:val="22"/>
          <w:szCs w:val="22"/>
          <w:lang w:val="en-GB"/>
        </w:rPr>
        <w:t xml:space="preserve">impact </w:t>
      </w:r>
      <w:r w:rsidR="00B631AB" w:rsidRPr="00E25C87">
        <w:rPr>
          <w:snapToGrid/>
          <w:sz w:val="22"/>
          <w:szCs w:val="22"/>
          <w:lang w:val="en-GB"/>
        </w:rPr>
        <w:t xml:space="preserve">category </w:t>
      </w:r>
      <w:r w:rsidR="006E7D1D" w:rsidRPr="00E25C87">
        <w:rPr>
          <w:snapToGrid/>
          <w:sz w:val="22"/>
          <w:szCs w:val="22"/>
          <w:lang w:val="en-GB"/>
        </w:rPr>
        <w:t>(110.01 kg CO</w:t>
      </w:r>
      <w:r w:rsidR="006E7D1D" w:rsidRPr="00E25C87">
        <w:rPr>
          <w:snapToGrid/>
          <w:sz w:val="22"/>
          <w:szCs w:val="22"/>
          <w:vertAlign w:val="subscript"/>
          <w:lang w:val="en-GB"/>
        </w:rPr>
        <w:t>2</w:t>
      </w:r>
      <w:r w:rsidR="006E7D1D" w:rsidRPr="00E25C87">
        <w:rPr>
          <w:snapToGrid/>
          <w:sz w:val="22"/>
          <w:szCs w:val="22"/>
          <w:lang w:val="en-GB"/>
        </w:rPr>
        <w:t xml:space="preserve"> eq.) </w:t>
      </w:r>
      <w:r w:rsidR="00B631AB" w:rsidRPr="00E25C87">
        <w:rPr>
          <w:snapToGrid/>
          <w:sz w:val="22"/>
          <w:szCs w:val="22"/>
          <w:lang w:val="en-GB"/>
        </w:rPr>
        <w:t>contributing by 86.33 kg CO</w:t>
      </w:r>
      <w:r w:rsidR="00B631AB" w:rsidRPr="00E25C87">
        <w:rPr>
          <w:snapToGrid/>
          <w:sz w:val="22"/>
          <w:szCs w:val="22"/>
          <w:vertAlign w:val="subscript"/>
          <w:lang w:val="en-GB"/>
        </w:rPr>
        <w:t>2</w:t>
      </w:r>
      <w:r w:rsidR="00B631AB" w:rsidRPr="00E25C87">
        <w:rPr>
          <w:snapToGrid/>
          <w:sz w:val="22"/>
          <w:szCs w:val="22"/>
          <w:lang w:val="en-GB"/>
        </w:rPr>
        <w:t xml:space="preserve"> eq. </w:t>
      </w:r>
    </w:p>
    <w:p w14:paraId="229B71EE" w14:textId="406E78A6" w:rsidR="00B41933" w:rsidRPr="00E25C87" w:rsidRDefault="00B41933" w:rsidP="009D47BE">
      <w:pPr>
        <w:pStyle w:val="Abstract"/>
        <w:tabs>
          <w:tab w:val="left" w:pos="6379"/>
        </w:tabs>
        <w:spacing w:line="276" w:lineRule="auto"/>
        <w:ind w:right="-30"/>
        <w:rPr>
          <w:b/>
          <w:bCs/>
          <w:snapToGrid/>
          <w:sz w:val="22"/>
          <w:szCs w:val="22"/>
          <w:lang w:val="en-GB"/>
        </w:rPr>
      </w:pPr>
    </w:p>
    <w:p w14:paraId="0B14A0D9" w14:textId="33AE61A9" w:rsidR="009D47BE" w:rsidRPr="00E25C87" w:rsidRDefault="00A074B8" w:rsidP="00A074B8">
      <w:pPr>
        <w:spacing w:line="259" w:lineRule="auto"/>
        <w:rPr>
          <w:b/>
          <w:bCs/>
          <w:szCs w:val="22"/>
          <w:lang w:val="en-GB"/>
        </w:rPr>
      </w:pPr>
      <w:bookmarkStart w:id="7" w:name="_Hlk106976543"/>
      <w:r w:rsidRPr="00E25C87">
        <w:rPr>
          <w:rFonts w:eastAsia="Calibri"/>
          <w:sz w:val="18"/>
          <w:szCs w:val="18"/>
          <w:lang w:val="en-GB"/>
        </w:rPr>
        <w:t xml:space="preserve">Table </w:t>
      </w:r>
      <w:r w:rsidR="00E3553B" w:rsidRPr="00E25C87">
        <w:rPr>
          <w:rFonts w:eastAsia="Calibri"/>
          <w:sz w:val="18"/>
          <w:szCs w:val="18"/>
          <w:lang w:val="en-GB"/>
        </w:rPr>
        <w:t>5</w:t>
      </w:r>
      <w:r w:rsidRPr="00E25C87">
        <w:rPr>
          <w:rFonts w:eastAsia="Calibri"/>
          <w:sz w:val="18"/>
          <w:szCs w:val="18"/>
          <w:lang w:val="en-GB"/>
        </w:rPr>
        <w:t>. Total midpoint results per functional unit (1 tonne collected and treated) for the R</w:t>
      </w:r>
      <w:r w:rsidR="00B41933" w:rsidRPr="00E25C87">
        <w:rPr>
          <w:rFonts w:eastAsia="Calibri"/>
          <w:sz w:val="18"/>
          <w:szCs w:val="18"/>
          <w:lang w:val="en-GB"/>
        </w:rPr>
        <w:t>2</w:t>
      </w:r>
      <w:r w:rsidRPr="00E25C87">
        <w:rPr>
          <w:rFonts w:eastAsia="Calibri"/>
          <w:sz w:val="18"/>
          <w:szCs w:val="18"/>
          <w:lang w:val="en-GB"/>
        </w:rPr>
        <w:t xml:space="preserve"> </w:t>
      </w:r>
      <w:r w:rsidR="005A4B94">
        <w:rPr>
          <w:rFonts w:eastAsia="Calibri"/>
          <w:sz w:val="18"/>
          <w:szCs w:val="18"/>
          <w:lang w:val="en-GB"/>
        </w:rPr>
        <w:t xml:space="preserve">WEEE </w:t>
      </w:r>
      <w:r w:rsidRPr="00E25C87">
        <w:rPr>
          <w:rFonts w:eastAsia="Calibri"/>
          <w:sz w:val="18"/>
          <w:szCs w:val="18"/>
          <w:lang w:val="en-GB"/>
        </w:rPr>
        <w:t xml:space="preserve">category. </w:t>
      </w:r>
    </w:p>
    <w:tbl>
      <w:tblPr>
        <w:tblStyle w:val="Grigliatabella3"/>
        <w:tblW w:w="9015" w:type="dxa"/>
        <w:tblLook w:val="04A0" w:firstRow="1" w:lastRow="0" w:firstColumn="1" w:lastColumn="0" w:noHBand="0" w:noVBand="1"/>
      </w:tblPr>
      <w:tblGrid>
        <w:gridCol w:w="1605"/>
        <w:gridCol w:w="896"/>
        <w:gridCol w:w="896"/>
        <w:gridCol w:w="1028"/>
        <w:gridCol w:w="891"/>
        <w:gridCol w:w="916"/>
        <w:gridCol w:w="1056"/>
        <w:gridCol w:w="891"/>
        <w:gridCol w:w="836"/>
      </w:tblGrid>
      <w:tr w:rsidR="00BA1CDA" w:rsidRPr="00E25C87" w14:paraId="53B0F75F" w14:textId="77777777" w:rsidTr="00A074B8">
        <w:trPr>
          <w:trHeight w:val="288"/>
        </w:trPr>
        <w:tc>
          <w:tcPr>
            <w:tcW w:w="1605" w:type="dxa"/>
            <w:noWrap/>
            <w:hideMark/>
          </w:tcPr>
          <w:bookmarkEnd w:id="7"/>
          <w:p w14:paraId="758D450B"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Impact Category</w:t>
            </w:r>
          </w:p>
        </w:tc>
        <w:tc>
          <w:tcPr>
            <w:tcW w:w="896" w:type="dxa"/>
            <w:noWrap/>
            <w:hideMark/>
          </w:tcPr>
          <w:p w14:paraId="479EACB5"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Unit</w:t>
            </w:r>
          </w:p>
        </w:tc>
        <w:tc>
          <w:tcPr>
            <w:tcW w:w="896" w:type="dxa"/>
            <w:noWrap/>
            <w:hideMark/>
          </w:tcPr>
          <w:p w14:paraId="2D548362"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 steel and iron</w:t>
            </w:r>
          </w:p>
        </w:tc>
        <w:tc>
          <w:tcPr>
            <w:tcW w:w="1028" w:type="dxa"/>
            <w:noWrap/>
            <w:hideMark/>
          </w:tcPr>
          <w:p w14:paraId="1E410219"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 Cables</w:t>
            </w:r>
          </w:p>
        </w:tc>
        <w:tc>
          <w:tcPr>
            <w:tcW w:w="891" w:type="dxa"/>
            <w:noWrap/>
            <w:hideMark/>
          </w:tcPr>
          <w:p w14:paraId="3EFA351A"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 Motors</w:t>
            </w:r>
          </w:p>
        </w:tc>
        <w:tc>
          <w:tcPr>
            <w:tcW w:w="916" w:type="dxa"/>
            <w:noWrap/>
            <w:hideMark/>
          </w:tcPr>
          <w:p w14:paraId="1FD3ECE1"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w:t>
            </w:r>
          </w:p>
          <w:p w14:paraId="203343B0"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Concrete</w:t>
            </w:r>
          </w:p>
        </w:tc>
        <w:tc>
          <w:tcPr>
            <w:tcW w:w="1056" w:type="dxa"/>
            <w:noWrap/>
            <w:hideMark/>
          </w:tcPr>
          <w:p w14:paraId="69B88982"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 Capacitors</w:t>
            </w:r>
          </w:p>
        </w:tc>
        <w:tc>
          <w:tcPr>
            <w:tcW w:w="891" w:type="dxa"/>
            <w:noWrap/>
            <w:hideMark/>
          </w:tcPr>
          <w:p w14:paraId="67802082"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Recover.</w:t>
            </w:r>
          </w:p>
          <w:p w14:paraId="396C04BA" w14:textId="77777777"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Elec. Boards</w:t>
            </w:r>
          </w:p>
        </w:tc>
        <w:tc>
          <w:tcPr>
            <w:tcW w:w="836" w:type="dxa"/>
            <w:noWrap/>
            <w:hideMark/>
          </w:tcPr>
          <w:p w14:paraId="7FFE23D1" w14:textId="107C3C22" w:rsidR="00BA1CDA" w:rsidRPr="00E25C87" w:rsidRDefault="00BA1CDA" w:rsidP="00BA1CDA">
            <w:pPr>
              <w:spacing w:line="240" w:lineRule="auto"/>
              <w:jc w:val="center"/>
              <w:rPr>
                <w:rFonts w:ascii="Times New Roman" w:hAnsi="Times New Roman"/>
                <w:b/>
                <w:bCs/>
                <w:sz w:val="16"/>
                <w:szCs w:val="16"/>
                <w:lang w:val="en-GB"/>
              </w:rPr>
            </w:pPr>
            <w:r w:rsidRPr="00E25C87">
              <w:rPr>
                <w:rFonts w:ascii="Times New Roman" w:hAnsi="Times New Roman"/>
                <w:b/>
                <w:bCs/>
                <w:sz w:val="16"/>
                <w:szCs w:val="16"/>
                <w:lang w:val="en-GB"/>
              </w:rPr>
              <w:t xml:space="preserve">Total Impacts </w:t>
            </w:r>
          </w:p>
        </w:tc>
      </w:tr>
      <w:tr w:rsidR="00BA1CDA" w:rsidRPr="00E25C87" w14:paraId="42492F46" w14:textId="77777777" w:rsidTr="00A074B8">
        <w:trPr>
          <w:trHeight w:val="288"/>
        </w:trPr>
        <w:tc>
          <w:tcPr>
            <w:tcW w:w="1605" w:type="dxa"/>
            <w:noWrap/>
            <w:hideMark/>
          </w:tcPr>
          <w:p w14:paraId="470EC77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Terrestrial acidification</w:t>
            </w:r>
          </w:p>
        </w:tc>
        <w:tc>
          <w:tcPr>
            <w:tcW w:w="896" w:type="dxa"/>
            <w:noWrap/>
            <w:hideMark/>
          </w:tcPr>
          <w:p w14:paraId="1D06CC7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SO2 eq</w:t>
            </w:r>
          </w:p>
        </w:tc>
        <w:tc>
          <w:tcPr>
            <w:tcW w:w="896" w:type="dxa"/>
            <w:noWrap/>
            <w:hideMark/>
          </w:tcPr>
          <w:p w14:paraId="28DDC4F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0.298</w:t>
            </w:r>
          </w:p>
        </w:tc>
        <w:tc>
          <w:tcPr>
            <w:tcW w:w="1028" w:type="dxa"/>
            <w:noWrap/>
            <w:hideMark/>
          </w:tcPr>
          <w:p w14:paraId="5EDA479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0.017</w:t>
            </w:r>
          </w:p>
        </w:tc>
        <w:tc>
          <w:tcPr>
            <w:tcW w:w="891" w:type="dxa"/>
            <w:noWrap/>
            <w:hideMark/>
          </w:tcPr>
          <w:p w14:paraId="76F9627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0.053</w:t>
            </w:r>
          </w:p>
        </w:tc>
        <w:tc>
          <w:tcPr>
            <w:tcW w:w="916" w:type="dxa"/>
            <w:noWrap/>
            <w:hideMark/>
          </w:tcPr>
          <w:p w14:paraId="58435DA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0.010</w:t>
            </w:r>
          </w:p>
        </w:tc>
        <w:tc>
          <w:tcPr>
            <w:tcW w:w="1056" w:type="dxa"/>
            <w:noWrap/>
            <w:hideMark/>
          </w:tcPr>
          <w:p w14:paraId="2B6D85C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3.01E-05</w:t>
            </w:r>
          </w:p>
        </w:tc>
        <w:tc>
          <w:tcPr>
            <w:tcW w:w="891" w:type="dxa"/>
            <w:noWrap/>
            <w:hideMark/>
          </w:tcPr>
          <w:p w14:paraId="23B2B5A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4.14E-05</w:t>
            </w:r>
          </w:p>
        </w:tc>
        <w:tc>
          <w:tcPr>
            <w:tcW w:w="836" w:type="dxa"/>
            <w:noWrap/>
            <w:hideMark/>
          </w:tcPr>
          <w:p w14:paraId="19F0B47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0.379</w:t>
            </w:r>
          </w:p>
        </w:tc>
      </w:tr>
      <w:tr w:rsidR="00BA1CDA" w:rsidRPr="00E25C87" w14:paraId="76C6F383" w14:textId="77777777" w:rsidTr="00A074B8">
        <w:trPr>
          <w:trHeight w:val="288"/>
        </w:trPr>
        <w:tc>
          <w:tcPr>
            <w:tcW w:w="1605" w:type="dxa"/>
            <w:noWrap/>
            <w:hideMark/>
          </w:tcPr>
          <w:p w14:paraId="0CA760A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Human toxicity</w:t>
            </w:r>
          </w:p>
        </w:tc>
        <w:tc>
          <w:tcPr>
            <w:tcW w:w="896" w:type="dxa"/>
            <w:noWrap/>
            <w:hideMark/>
          </w:tcPr>
          <w:p w14:paraId="0C34BB4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896" w:type="dxa"/>
            <w:noWrap/>
            <w:hideMark/>
          </w:tcPr>
          <w:p w14:paraId="5E01FC0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17.512</w:t>
            </w:r>
          </w:p>
        </w:tc>
        <w:tc>
          <w:tcPr>
            <w:tcW w:w="1028" w:type="dxa"/>
            <w:noWrap/>
            <w:hideMark/>
          </w:tcPr>
          <w:p w14:paraId="0D2F1CF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1.028</w:t>
            </w:r>
          </w:p>
        </w:tc>
        <w:tc>
          <w:tcPr>
            <w:tcW w:w="891" w:type="dxa"/>
            <w:noWrap/>
            <w:hideMark/>
          </w:tcPr>
          <w:p w14:paraId="637824C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3.151</w:t>
            </w:r>
          </w:p>
        </w:tc>
        <w:tc>
          <w:tcPr>
            <w:tcW w:w="916" w:type="dxa"/>
            <w:noWrap/>
            <w:hideMark/>
          </w:tcPr>
          <w:p w14:paraId="13288ED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0.617</w:t>
            </w:r>
          </w:p>
        </w:tc>
        <w:tc>
          <w:tcPr>
            <w:tcW w:w="1056" w:type="dxa"/>
            <w:noWrap/>
            <w:hideMark/>
          </w:tcPr>
          <w:p w14:paraId="15FD653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1.79E-03</w:t>
            </w:r>
          </w:p>
        </w:tc>
        <w:tc>
          <w:tcPr>
            <w:tcW w:w="891" w:type="dxa"/>
            <w:noWrap/>
            <w:hideMark/>
          </w:tcPr>
          <w:p w14:paraId="3520B9E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2.45E-03</w:t>
            </w:r>
          </w:p>
        </w:tc>
        <w:tc>
          <w:tcPr>
            <w:tcW w:w="836" w:type="dxa"/>
            <w:noWrap/>
            <w:hideMark/>
          </w:tcPr>
          <w:p w14:paraId="4388EBB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22.312</w:t>
            </w:r>
          </w:p>
        </w:tc>
      </w:tr>
      <w:tr w:rsidR="00BA1CDA" w:rsidRPr="00E25C87" w14:paraId="23CC5861" w14:textId="77777777" w:rsidTr="00A074B8">
        <w:trPr>
          <w:trHeight w:val="288"/>
        </w:trPr>
        <w:tc>
          <w:tcPr>
            <w:tcW w:w="1605" w:type="dxa"/>
            <w:noWrap/>
            <w:hideMark/>
          </w:tcPr>
          <w:p w14:paraId="4978DF5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Marine eutrophication</w:t>
            </w:r>
          </w:p>
        </w:tc>
        <w:tc>
          <w:tcPr>
            <w:tcW w:w="896" w:type="dxa"/>
            <w:noWrap/>
            <w:hideMark/>
          </w:tcPr>
          <w:p w14:paraId="3D1D55C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N eq</w:t>
            </w:r>
          </w:p>
        </w:tc>
        <w:tc>
          <w:tcPr>
            <w:tcW w:w="896" w:type="dxa"/>
            <w:noWrap/>
            <w:hideMark/>
          </w:tcPr>
          <w:p w14:paraId="2970F4E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0.227</w:t>
            </w:r>
          </w:p>
        </w:tc>
        <w:tc>
          <w:tcPr>
            <w:tcW w:w="1028" w:type="dxa"/>
            <w:noWrap/>
            <w:hideMark/>
          </w:tcPr>
          <w:p w14:paraId="6D704FE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0.013</w:t>
            </w:r>
          </w:p>
        </w:tc>
        <w:tc>
          <w:tcPr>
            <w:tcW w:w="891" w:type="dxa"/>
            <w:noWrap/>
            <w:hideMark/>
          </w:tcPr>
          <w:p w14:paraId="08B6592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0.041</w:t>
            </w:r>
          </w:p>
        </w:tc>
        <w:tc>
          <w:tcPr>
            <w:tcW w:w="916" w:type="dxa"/>
            <w:noWrap/>
            <w:hideMark/>
          </w:tcPr>
          <w:p w14:paraId="5686763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0.008</w:t>
            </w:r>
          </w:p>
        </w:tc>
        <w:tc>
          <w:tcPr>
            <w:tcW w:w="1056" w:type="dxa"/>
            <w:noWrap/>
            <w:hideMark/>
          </w:tcPr>
          <w:p w14:paraId="7F73234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2.33E-05</w:t>
            </w:r>
          </w:p>
        </w:tc>
        <w:tc>
          <w:tcPr>
            <w:tcW w:w="891" w:type="dxa"/>
            <w:noWrap/>
            <w:hideMark/>
          </w:tcPr>
          <w:p w14:paraId="7F1C62A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3.20E-05</w:t>
            </w:r>
          </w:p>
        </w:tc>
        <w:tc>
          <w:tcPr>
            <w:tcW w:w="836" w:type="dxa"/>
            <w:noWrap/>
            <w:hideMark/>
          </w:tcPr>
          <w:p w14:paraId="7F02A6F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0.290</w:t>
            </w:r>
          </w:p>
        </w:tc>
      </w:tr>
      <w:tr w:rsidR="00BA1CDA" w:rsidRPr="00E25C87" w14:paraId="5C06FBAE" w14:textId="77777777" w:rsidTr="00A074B8">
        <w:trPr>
          <w:trHeight w:val="288"/>
        </w:trPr>
        <w:tc>
          <w:tcPr>
            <w:tcW w:w="1605" w:type="dxa"/>
            <w:noWrap/>
            <w:hideMark/>
          </w:tcPr>
          <w:p w14:paraId="7167447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Terrestrial ecotoxicity</w:t>
            </w:r>
          </w:p>
        </w:tc>
        <w:tc>
          <w:tcPr>
            <w:tcW w:w="896" w:type="dxa"/>
            <w:noWrap/>
            <w:hideMark/>
          </w:tcPr>
          <w:p w14:paraId="21B9C6F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896" w:type="dxa"/>
            <w:noWrap/>
            <w:hideMark/>
          </w:tcPr>
          <w:p w14:paraId="6F13E89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0.018</w:t>
            </w:r>
          </w:p>
        </w:tc>
        <w:tc>
          <w:tcPr>
            <w:tcW w:w="1028" w:type="dxa"/>
            <w:noWrap/>
            <w:hideMark/>
          </w:tcPr>
          <w:p w14:paraId="69CF05C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0.001</w:t>
            </w:r>
          </w:p>
        </w:tc>
        <w:tc>
          <w:tcPr>
            <w:tcW w:w="891" w:type="dxa"/>
            <w:noWrap/>
            <w:hideMark/>
          </w:tcPr>
          <w:p w14:paraId="461CA4B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0.003</w:t>
            </w:r>
          </w:p>
        </w:tc>
        <w:tc>
          <w:tcPr>
            <w:tcW w:w="916" w:type="dxa"/>
            <w:noWrap/>
            <w:hideMark/>
          </w:tcPr>
          <w:p w14:paraId="53E8C88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0.001</w:t>
            </w:r>
          </w:p>
        </w:tc>
        <w:tc>
          <w:tcPr>
            <w:tcW w:w="1056" w:type="dxa"/>
            <w:noWrap/>
            <w:hideMark/>
          </w:tcPr>
          <w:p w14:paraId="2461525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1.85E-06</w:t>
            </w:r>
          </w:p>
        </w:tc>
        <w:tc>
          <w:tcPr>
            <w:tcW w:w="891" w:type="dxa"/>
            <w:noWrap/>
            <w:hideMark/>
          </w:tcPr>
          <w:p w14:paraId="44A073A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2.54E-06</w:t>
            </w:r>
          </w:p>
        </w:tc>
        <w:tc>
          <w:tcPr>
            <w:tcW w:w="836" w:type="dxa"/>
            <w:noWrap/>
            <w:hideMark/>
          </w:tcPr>
          <w:p w14:paraId="5A8283C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0.023</w:t>
            </w:r>
          </w:p>
        </w:tc>
      </w:tr>
      <w:tr w:rsidR="00BA1CDA" w:rsidRPr="00E25C87" w14:paraId="5C848057" w14:textId="77777777" w:rsidTr="00A074B8">
        <w:trPr>
          <w:trHeight w:val="288"/>
        </w:trPr>
        <w:tc>
          <w:tcPr>
            <w:tcW w:w="1605" w:type="dxa"/>
            <w:noWrap/>
            <w:hideMark/>
          </w:tcPr>
          <w:p w14:paraId="12F2227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Water depletion</w:t>
            </w:r>
          </w:p>
        </w:tc>
        <w:tc>
          <w:tcPr>
            <w:tcW w:w="896" w:type="dxa"/>
            <w:noWrap/>
            <w:hideMark/>
          </w:tcPr>
          <w:p w14:paraId="6E22254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m3</w:t>
            </w:r>
          </w:p>
        </w:tc>
        <w:tc>
          <w:tcPr>
            <w:tcW w:w="896" w:type="dxa"/>
            <w:noWrap/>
            <w:hideMark/>
          </w:tcPr>
          <w:p w14:paraId="2EFCBEA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219.933</w:t>
            </w:r>
          </w:p>
        </w:tc>
        <w:tc>
          <w:tcPr>
            <w:tcW w:w="1028" w:type="dxa"/>
            <w:noWrap/>
            <w:hideMark/>
          </w:tcPr>
          <w:p w14:paraId="312BE15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12.913</w:t>
            </w:r>
          </w:p>
        </w:tc>
        <w:tc>
          <w:tcPr>
            <w:tcW w:w="891" w:type="dxa"/>
            <w:noWrap/>
            <w:hideMark/>
          </w:tcPr>
          <w:p w14:paraId="7B71A9E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39.589</w:t>
            </w:r>
          </w:p>
        </w:tc>
        <w:tc>
          <w:tcPr>
            <w:tcW w:w="916" w:type="dxa"/>
            <w:noWrap/>
            <w:hideMark/>
          </w:tcPr>
          <w:p w14:paraId="52905CE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7.749</w:t>
            </w:r>
          </w:p>
        </w:tc>
        <w:tc>
          <w:tcPr>
            <w:tcW w:w="1056" w:type="dxa"/>
            <w:noWrap/>
            <w:hideMark/>
          </w:tcPr>
          <w:p w14:paraId="0748331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2.24E-02</w:t>
            </w:r>
          </w:p>
        </w:tc>
        <w:tc>
          <w:tcPr>
            <w:tcW w:w="891" w:type="dxa"/>
            <w:noWrap/>
            <w:hideMark/>
          </w:tcPr>
          <w:p w14:paraId="77DC4C1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3.08E-02</w:t>
            </w:r>
          </w:p>
        </w:tc>
        <w:tc>
          <w:tcPr>
            <w:tcW w:w="836" w:type="dxa"/>
            <w:noWrap/>
            <w:hideMark/>
          </w:tcPr>
          <w:p w14:paraId="5960400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280.237</w:t>
            </w:r>
          </w:p>
        </w:tc>
      </w:tr>
      <w:tr w:rsidR="00BA1CDA" w:rsidRPr="00E25C87" w14:paraId="381DD589" w14:textId="77777777" w:rsidTr="00A074B8">
        <w:trPr>
          <w:trHeight w:val="288"/>
        </w:trPr>
        <w:tc>
          <w:tcPr>
            <w:tcW w:w="1605" w:type="dxa"/>
            <w:noWrap/>
            <w:hideMark/>
          </w:tcPr>
          <w:p w14:paraId="623C6DD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Climate Change</w:t>
            </w:r>
          </w:p>
        </w:tc>
        <w:tc>
          <w:tcPr>
            <w:tcW w:w="896" w:type="dxa"/>
            <w:noWrap/>
            <w:hideMark/>
          </w:tcPr>
          <w:p w14:paraId="434F6C1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CO2 eq</w:t>
            </w:r>
          </w:p>
        </w:tc>
        <w:tc>
          <w:tcPr>
            <w:tcW w:w="896" w:type="dxa"/>
            <w:noWrap/>
            <w:hideMark/>
          </w:tcPr>
          <w:p w14:paraId="58F34A2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86.333</w:t>
            </w:r>
          </w:p>
        </w:tc>
        <w:tc>
          <w:tcPr>
            <w:tcW w:w="1028" w:type="dxa"/>
            <w:noWrap/>
            <w:hideMark/>
          </w:tcPr>
          <w:p w14:paraId="0871C90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5.069</w:t>
            </w:r>
          </w:p>
        </w:tc>
        <w:tc>
          <w:tcPr>
            <w:tcW w:w="891" w:type="dxa"/>
            <w:noWrap/>
            <w:hideMark/>
          </w:tcPr>
          <w:p w14:paraId="10394D10"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15.541</w:t>
            </w:r>
          </w:p>
        </w:tc>
        <w:tc>
          <w:tcPr>
            <w:tcW w:w="916" w:type="dxa"/>
            <w:noWrap/>
            <w:hideMark/>
          </w:tcPr>
          <w:p w14:paraId="014E118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3.041</w:t>
            </w:r>
          </w:p>
        </w:tc>
        <w:tc>
          <w:tcPr>
            <w:tcW w:w="1056" w:type="dxa"/>
            <w:noWrap/>
            <w:hideMark/>
          </w:tcPr>
          <w:p w14:paraId="2B03B3D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0.009</w:t>
            </w:r>
          </w:p>
        </w:tc>
        <w:tc>
          <w:tcPr>
            <w:tcW w:w="891" w:type="dxa"/>
            <w:noWrap/>
            <w:hideMark/>
          </w:tcPr>
          <w:p w14:paraId="4817681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0.012</w:t>
            </w:r>
          </w:p>
        </w:tc>
        <w:tc>
          <w:tcPr>
            <w:tcW w:w="836" w:type="dxa"/>
            <w:noWrap/>
            <w:hideMark/>
          </w:tcPr>
          <w:p w14:paraId="4500508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110.01</w:t>
            </w:r>
          </w:p>
        </w:tc>
      </w:tr>
      <w:tr w:rsidR="00BA1CDA" w:rsidRPr="00E25C87" w14:paraId="5EEED99D" w14:textId="77777777" w:rsidTr="00A074B8">
        <w:trPr>
          <w:trHeight w:val="288"/>
        </w:trPr>
        <w:tc>
          <w:tcPr>
            <w:tcW w:w="1605" w:type="dxa"/>
            <w:noWrap/>
            <w:hideMark/>
          </w:tcPr>
          <w:p w14:paraId="6B95ACB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Photochemical oxidant formation</w:t>
            </w:r>
          </w:p>
        </w:tc>
        <w:tc>
          <w:tcPr>
            <w:tcW w:w="896" w:type="dxa"/>
            <w:noWrap/>
            <w:hideMark/>
          </w:tcPr>
          <w:p w14:paraId="6810521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NMVOC</w:t>
            </w:r>
          </w:p>
        </w:tc>
        <w:tc>
          <w:tcPr>
            <w:tcW w:w="896" w:type="dxa"/>
            <w:noWrap/>
            <w:hideMark/>
          </w:tcPr>
          <w:p w14:paraId="552ABD6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0.272</w:t>
            </w:r>
          </w:p>
        </w:tc>
        <w:tc>
          <w:tcPr>
            <w:tcW w:w="1028" w:type="dxa"/>
            <w:noWrap/>
            <w:hideMark/>
          </w:tcPr>
          <w:p w14:paraId="63B22D2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0.016</w:t>
            </w:r>
          </w:p>
        </w:tc>
        <w:tc>
          <w:tcPr>
            <w:tcW w:w="891" w:type="dxa"/>
            <w:noWrap/>
            <w:hideMark/>
          </w:tcPr>
          <w:p w14:paraId="457C201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0.048</w:t>
            </w:r>
          </w:p>
        </w:tc>
        <w:tc>
          <w:tcPr>
            <w:tcW w:w="916" w:type="dxa"/>
            <w:noWrap/>
            <w:hideMark/>
          </w:tcPr>
          <w:p w14:paraId="45E7FF2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0.010</w:t>
            </w:r>
          </w:p>
        </w:tc>
        <w:tc>
          <w:tcPr>
            <w:tcW w:w="1056" w:type="dxa"/>
            <w:noWrap/>
            <w:hideMark/>
          </w:tcPr>
          <w:p w14:paraId="70344B1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2.75E-05</w:t>
            </w:r>
          </w:p>
        </w:tc>
        <w:tc>
          <w:tcPr>
            <w:tcW w:w="891" w:type="dxa"/>
            <w:noWrap/>
            <w:hideMark/>
          </w:tcPr>
          <w:p w14:paraId="2132907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3.78E-05</w:t>
            </w:r>
          </w:p>
        </w:tc>
        <w:tc>
          <w:tcPr>
            <w:tcW w:w="836" w:type="dxa"/>
            <w:noWrap/>
            <w:hideMark/>
          </w:tcPr>
          <w:p w14:paraId="2BDD2C0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0.346</w:t>
            </w:r>
          </w:p>
        </w:tc>
      </w:tr>
      <w:tr w:rsidR="00BA1CDA" w:rsidRPr="00E25C87" w14:paraId="1A4C6D05" w14:textId="77777777" w:rsidTr="00A074B8">
        <w:trPr>
          <w:trHeight w:val="288"/>
        </w:trPr>
        <w:tc>
          <w:tcPr>
            <w:tcW w:w="1605" w:type="dxa"/>
            <w:noWrap/>
            <w:hideMark/>
          </w:tcPr>
          <w:p w14:paraId="0C1F4A6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Freshwater ecotoxicity</w:t>
            </w:r>
          </w:p>
        </w:tc>
        <w:tc>
          <w:tcPr>
            <w:tcW w:w="896" w:type="dxa"/>
            <w:noWrap/>
            <w:hideMark/>
          </w:tcPr>
          <w:p w14:paraId="2776409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896" w:type="dxa"/>
            <w:noWrap/>
            <w:hideMark/>
          </w:tcPr>
          <w:p w14:paraId="7E998FC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0.518</w:t>
            </w:r>
          </w:p>
        </w:tc>
        <w:tc>
          <w:tcPr>
            <w:tcW w:w="1028" w:type="dxa"/>
            <w:noWrap/>
            <w:hideMark/>
          </w:tcPr>
          <w:p w14:paraId="642E208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0.030</w:t>
            </w:r>
          </w:p>
        </w:tc>
        <w:tc>
          <w:tcPr>
            <w:tcW w:w="891" w:type="dxa"/>
            <w:noWrap/>
            <w:hideMark/>
          </w:tcPr>
          <w:p w14:paraId="58A2EDD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0.093</w:t>
            </w:r>
          </w:p>
        </w:tc>
        <w:tc>
          <w:tcPr>
            <w:tcW w:w="916" w:type="dxa"/>
            <w:noWrap/>
            <w:hideMark/>
          </w:tcPr>
          <w:p w14:paraId="7D8AB17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0.018</w:t>
            </w:r>
          </w:p>
        </w:tc>
        <w:tc>
          <w:tcPr>
            <w:tcW w:w="1056" w:type="dxa"/>
            <w:noWrap/>
            <w:hideMark/>
          </w:tcPr>
          <w:p w14:paraId="4CC7C93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5.27E-05</w:t>
            </w:r>
          </w:p>
        </w:tc>
        <w:tc>
          <w:tcPr>
            <w:tcW w:w="891" w:type="dxa"/>
            <w:noWrap/>
            <w:hideMark/>
          </w:tcPr>
          <w:p w14:paraId="277F6E3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7.25E-05</w:t>
            </w:r>
          </w:p>
        </w:tc>
        <w:tc>
          <w:tcPr>
            <w:tcW w:w="836" w:type="dxa"/>
            <w:noWrap/>
            <w:hideMark/>
          </w:tcPr>
          <w:p w14:paraId="5EB32983"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0.660</w:t>
            </w:r>
          </w:p>
        </w:tc>
      </w:tr>
      <w:tr w:rsidR="00BA1CDA" w:rsidRPr="00E25C87" w14:paraId="51E8829E" w14:textId="77777777" w:rsidTr="00A074B8">
        <w:trPr>
          <w:trHeight w:val="288"/>
        </w:trPr>
        <w:tc>
          <w:tcPr>
            <w:tcW w:w="1605" w:type="dxa"/>
            <w:noWrap/>
            <w:hideMark/>
          </w:tcPr>
          <w:p w14:paraId="00FF17E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Natural land transformation</w:t>
            </w:r>
          </w:p>
        </w:tc>
        <w:tc>
          <w:tcPr>
            <w:tcW w:w="896" w:type="dxa"/>
            <w:noWrap/>
            <w:hideMark/>
          </w:tcPr>
          <w:p w14:paraId="5544F6D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w:t>
            </w:r>
          </w:p>
        </w:tc>
        <w:tc>
          <w:tcPr>
            <w:tcW w:w="896" w:type="dxa"/>
            <w:noWrap/>
            <w:hideMark/>
          </w:tcPr>
          <w:p w14:paraId="51BFAFD0"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0.024</w:t>
            </w:r>
          </w:p>
        </w:tc>
        <w:tc>
          <w:tcPr>
            <w:tcW w:w="1028" w:type="dxa"/>
            <w:noWrap/>
            <w:hideMark/>
          </w:tcPr>
          <w:p w14:paraId="41C8ABF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0.001</w:t>
            </w:r>
          </w:p>
        </w:tc>
        <w:tc>
          <w:tcPr>
            <w:tcW w:w="891" w:type="dxa"/>
            <w:noWrap/>
            <w:hideMark/>
          </w:tcPr>
          <w:p w14:paraId="4A79B75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0.004</w:t>
            </w:r>
          </w:p>
        </w:tc>
        <w:tc>
          <w:tcPr>
            <w:tcW w:w="916" w:type="dxa"/>
            <w:noWrap/>
            <w:hideMark/>
          </w:tcPr>
          <w:p w14:paraId="3A7B363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0.001</w:t>
            </w:r>
          </w:p>
        </w:tc>
        <w:tc>
          <w:tcPr>
            <w:tcW w:w="1056" w:type="dxa"/>
            <w:noWrap/>
            <w:hideMark/>
          </w:tcPr>
          <w:p w14:paraId="23DB728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2.45E-06</w:t>
            </w:r>
          </w:p>
        </w:tc>
        <w:tc>
          <w:tcPr>
            <w:tcW w:w="891" w:type="dxa"/>
            <w:noWrap/>
            <w:hideMark/>
          </w:tcPr>
          <w:p w14:paraId="34C5BF1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3.36E-06</w:t>
            </w:r>
          </w:p>
        </w:tc>
        <w:tc>
          <w:tcPr>
            <w:tcW w:w="836" w:type="dxa"/>
            <w:noWrap/>
            <w:hideMark/>
          </w:tcPr>
          <w:p w14:paraId="2140E6F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0.031</w:t>
            </w:r>
          </w:p>
        </w:tc>
      </w:tr>
      <w:tr w:rsidR="00BA1CDA" w:rsidRPr="00E25C87" w14:paraId="30940FA0" w14:textId="77777777" w:rsidTr="00A074B8">
        <w:trPr>
          <w:trHeight w:val="288"/>
        </w:trPr>
        <w:tc>
          <w:tcPr>
            <w:tcW w:w="1605" w:type="dxa"/>
            <w:noWrap/>
            <w:hideMark/>
          </w:tcPr>
          <w:p w14:paraId="5FE7C3C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Ionising radiation</w:t>
            </w:r>
          </w:p>
        </w:tc>
        <w:tc>
          <w:tcPr>
            <w:tcW w:w="896" w:type="dxa"/>
            <w:noWrap/>
            <w:hideMark/>
          </w:tcPr>
          <w:p w14:paraId="594ECE6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U235 eq</w:t>
            </w:r>
          </w:p>
        </w:tc>
        <w:tc>
          <w:tcPr>
            <w:tcW w:w="896" w:type="dxa"/>
            <w:noWrap/>
            <w:hideMark/>
          </w:tcPr>
          <w:p w14:paraId="3F525F0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9.903</w:t>
            </w:r>
          </w:p>
        </w:tc>
        <w:tc>
          <w:tcPr>
            <w:tcW w:w="1028" w:type="dxa"/>
            <w:noWrap/>
            <w:hideMark/>
          </w:tcPr>
          <w:p w14:paraId="561550A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0.582</w:t>
            </w:r>
          </w:p>
        </w:tc>
        <w:tc>
          <w:tcPr>
            <w:tcW w:w="891" w:type="dxa"/>
            <w:noWrap/>
            <w:hideMark/>
          </w:tcPr>
          <w:p w14:paraId="0AC5370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1.783</w:t>
            </w:r>
          </w:p>
        </w:tc>
        <w:tc>
          <w:tcPr>
            <w:tcW w:w="916" w:type="dxa"/>
            <w:noWrap/>
            <w:hideMark/>
          </w:tcPr>
          <w:p w14:paraId="4ADD894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0.348</w:t>
            </w:r>
          </w:p>
        </w:tc>
        <w:tc>
          <w:tcPr>
            <w:tcW w:w="1056" w:type="dxa"/>
            <w:noWrap/>
            <w:hideMark/>
          </w:tcPr>
          <w:p w14:paraId="2FE8FC7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1.01E-03</w:t>
            </w:r>
          </w:p>
        </w:tc>
        <w:tc>
          <w:tcPr>
            <w:tcW w:w="891" w:type="dxa"/>
            <w:noWrap/>
            <w:hideMark/>
          </w:tcPr>
          <w:p w14:paraId="1829D1C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1.39E-03</w:t>
            </w:r>
          </w:p>
        </w:tc>
        <w:tc>
          <w:tcPr>
            <w:tcW w:w="836" w:type="dxa"/>
            <w:noWrap/>
            <w:hideMark/>
          </w:tcPr>
          <w:p w14:paraId="176248E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12.618</w:t>
            </w:r>
          </w:p>
        </w:tc>
      </w:tr>
      <w:tr w:rsidR="00BA1CDA" w:rsidRPr="00E25C87" w14:paraId="117B0D94" w14:textId="77777777" w:rsidTr="00A074B8">
        <w:trPr>
          <w:trHeight w:val="288"/>
        </w:trPr>
        <w:tc>
          <w:tcPr>
            <w:tcW w:w="1605" w:type="dxa"/>
            <w:noWrap/>
            <w:hideMark/>
          </w:tcPr>
          <w:p w14:paraId="3B28461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Agricultural land occupation</w:t>
            </w:r>
          </w:p>
        </w:tc>
        <w:tc>
          <w:tcPr>
            <w:tcW w:w="896" w:type="dxa"/>
            <w:noWrap/>
            <w:hideMark/>
          </w:tcPr>
          <w:p w14:paraId="1314C4F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m2*a</w:t>
            </w:r>
          </w:p>
        </w:tc>
        <w:tc>
          <w:tcPr>
            <w:tcW w:w="896" w:type="dxa"/>
            <w:noWrap/>
            <w:hideMark/>
          </w:tcPr>
          <w:p w14:paraId="1ED4A91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1.938</w:t>
            </w:r>
          </w:p>
        </w:tc>
        <w:tc>
          <w:tcPr>
            <w:tcW w:w="1028" w:type="dxa"/>
            <w:noWrap/>
            <w:hideMark/>
          </w:tcPr>
          <w:p w14:paraId="5F68D3F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0.114</w:t>
            </w:r>
          </w:p>
        </w:tc>
        <w:tc>
          <w:tcPr>
            <w:tcW w:w="891" w:type="dxa"/>
            <w:noWrap/>
            <w:hideMark/>
          </w:tcPr>
          <w:p w14:paraId="539986E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0.349</w:t>
            </w:r>
          </w:p>
        </w:tc>
        <w:tc>
          <w:tcPr>
            <w:tcW w:w="916" w:type="dxa"/>
            <w:noWrap/>
            <w:hideMark/>
          </w:tcPr>
          <w:p w14:paraId="43D9E8C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0.069</w:t>
            </w:r>
          </w:p>
        </w:tc>
        <w:tc>
          <w:tcPr>
            <w:tcW w:w="1056" w:type="dxa"/>
            <w:noWrap/>
            <w:hideMark/>
          </w:tcPr>
          <w:p w14:paraId="19C4A48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1.92E-04</w:t>
            </w:r>
          </w:p>
        </w:tc>
        <w:tc>
          <w:tcPr>
            <w:tcW w:w="891" w:type="dxa"/>
            <w:noWrap/>
            <w:hideMark/>
          </w:tcPr>
          <w:p w14:paraId="27E81D9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2.72E-04</w:t>
            </w:r>
          </w:p>
        </w:tc>
        <w:tc>
          <w:tcPr>
            <w:tcW w:w="836" w:type="dxa"/>
            <w:noWrap/>
            <w:hideMark/>
          </w:tcPr>
          <w:p w14:paraId="0EC4083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2.470</w:t>
            </w:r>
          </w:p>
        </w:tc>
      </w:tr>
      <w:tr w:rsidR="00BA1CDA" w:rsidRPr="00E25C87" w14:paraId="1C33FB5D" w14:textId="77777777" w:rsidTr="00A074B8">
        <w:trPr>
          <w:trHeight w:val="288"/>
        </w:trPr>
        <w:tc>
          <w:tcPr>
            <w:tcW w:w="1605" w:type="dxa"/>
            <w:noWrap/>
            <w:hideMark/>
          </w:tcPr>
          <w:p w14:paraId="38C4AF1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Freshwater eutrophication</w:t>
            </w:r>
          </w:p>
        </w:tc>
        <w:tc>
          <w:tcPr>
            <w:tcW w:w="896" w:type="dxa"/>
            <w:noWrap/>
            <w:hideMark/>
          </w:tcPr>
          <w:p w14:paraId="6C7D2A3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P eq</w:t>
            </w:r>
          </w:p>
        </w:tc>
        <w:tc>
          <w:tcPr>
            <w:tcW w:w="896" w:type="dxa"/>
            <w:noWrap/>
            <w:hideMark/>
          </w:tcPr>
          <w:p w14:paraId="18CA6B2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0.010</w:t>
            </w:r>
          </w:p>
        </w:tc>
        <w:tc>
          <w:tcPr>
            <w:tcW w:w="1028" w:type="dxa"/>
            <w:noWrap/>
            <w:hideMark/>
          </w:tcPr>
          <w:p w14:paraId="287DC74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0.001</w:t>
            </w:r>
          </w:p>
        </w:tc>
        <w:tc>
          <w:tcPr>
            <w:tcW w:w="891" w:type="dxa"/>
            <w:noWrap/>
            <w:hideMark/>
          </w:tcPr>
          <w:p w14:paraId="7C51EDC3"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0.002</w:t>
            </w:r>
          </w:p>
        </w:tc>
        <w:tc>
          <w:tcPr>
            <w:tcW w:w="916" w:type="dxa"/>
            <w:noWrap/>
            <w:hideMark/>
          </w:tcPr>
          <w:p w14:paraId="6E1B5A4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c>
          <w:tcPr>
            <w:tcW w:w="1056" w:type="dxa"/>
            <w:noWrap/>
            <w:hideMark/>
          </w:tcPr>
          <w:p w14:paraId="2A63738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1.03E-06</w:t>
            </w:r>
          </w:p>
        </w:tc>
        <w:tc>
          <w:tcPr>
            <w:tcW w:w="891" w:type="dxa"/>
            <w:noWrap/>
            <w:hideMark/>
          </w:tcPr>
          <w:p w14:paraId="4453766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1.41E-06</w:t>
            </w:r>
          </w:p>
        </w:tc>
        <w:tc>
          <w:tcPr>
            <w:tcW w:w="836" w:type="dxa"/>
            <w:noWrap/>
            <w:hideMark/>
          </w:tcPr>
          <w:p w14:paraId="50F32DE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0.013</w:t>
            </w:r>
          </w:p>
        </w:tc>
      </w:tr>
      <w:tr w:rsidR="00BA1CDA" w:rsidRPr="00E25C87" w14:paraId="19B32F1F" w14:textId="77777777" w:rsidTr="00A074B8">
        <w:trPr>
          <w:trHeight w:val="288"/>
        </w:trPr>
        <w:tc>
          <w:tcPr>
            <w:tcW w:w="1605" w:type="dxa"/>
            <w:noWrap/>
            <w:hideMark/>
          </w:tcPr>
          <w:p w14:paraId="113EE47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Marine ecotoxicity</w:t>
            </w:r>
          </w:p>
        </w:tc>
        <w:tc>
          <w:tcPr>
            <w:tcW w:w="896" w:type="dxa"/>
            <w:noWrap/>
            <w:hideMark/>
          </w:tcPr>
          <w:p w14:paraId="34CFA69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1,4-DB eq</w:t>
            </w:r>
          </w:p>
        </w:tc>
        <w:tc>
          <w:tcPr>
            <w:tcW w:w="896" w:type="dxa"/>
            <w:noWrap/>
            <w:hideMark/>
          </w:tcPr>
          <w:p w14:paraId="1D369DE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0.557</w:t>
            </w:r>
          </w:p>
        </w:tc>
        <w:tc>
          <w:tcPr>
            <w:tcW w:w="1028" w:type="dxa"/>
            <w:noWrap/>
            <w:hideMark/>
          </w:tcPr>
          <w:p w14:paraId="5354D02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0.033</w:t>
            </w:r>
          </w:p>
        </w:tc>
        <w:tc>
          <w:tcPr>
            <w:tcW w:w="891" w:type="dxa"/>
            <w:noWrap/>
            <w:hideMark/>
          </w:tcPr>
          <w:p w14:paraId="77C35B0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0.101</w:t>
            </w:r>
          </w:p>
        </w:tc>
        <w:tc>
          <w:tcPr>
            <w:tcW w:w="916" w:type="dxa"/>
            <w:noWrap/>
            <w:hideMark/>
          </w:tcPr>
          <w:p w14:paraId="1C89534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0.020</w:t>
            </w:r>
          </w:p>
        </w:tc>
        <w:tc>
          <w:tcPr>
            <w:tcW w:w="1056" w:type="dxa"/>
            <w:noWrap/>
            <w:hideMark/>
          </w:tcPr>
          <w:p w14:paraId="5B4D666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5.69E-05</w:t>
            </w:r>
          </w:p>
        </w:tc>
        <w:tc>
          <w:tcPr>
            <w:tcW w:w="891" w:type="dxa"/>
            <w:noWrap/>
            <w:hideMark/>
          </w:tcPr>
          <w:p w14:paraId="435E1E1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7.83E-05</w:t>
            </w:r>
          </w:p>
        </w:tc>
        <w:tc>
          <w:tcPr>
            <w:tcW w:w="836" w:type="dxa"/>
            <w:noWrap/>
            <w:hideMark/>
          </w:tcPr>
          <w:p w14:paraId="0CB5135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0.711</w:t>
            </w:r>
          </w:p>
        </w:tc>
      </w:tr>
      <w:tr w:rsidR="00BA1CDA" w:rsidRPr="00E25C87" w14:paraId="5D5CF36F" w14:textId="77777777" w:rsidTr="00A074B8">
        <w:trPr>
          <w:trHeight w:val="288"/>
        </w:trPr>
        <w:tc>
          <w:tcPr>
            <w:tcW w:w="1605" w:type="dxa"/>
            <w:noWrap/>
            <w:hideMark/>
          </w:tcPr>
          <w:p w14:paraId="0A23752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Particulate matter formation</w:t>
            </w:r>
          </w:p>
        </w:tc>
        <w:tc>
          <w:tcPr>
            <w:tcW w:w="896" w:type="dxa"/>
            <w:noWrap/>
            <w:hideMark/>
          </w:tcPr>
          <w:p w14:paraId="0D53330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PM10 eq</w:t>
            </w:r>
          </w:p>
        </w:tc>
        <w:tc>
          <w:tcPr>
            <w:tcW w:w="896" w:type="dxa"/>
            <w:noWrap/>
            <w:hideMark/>
          </w:tcPr>
          <w:p w14:paraId="4BD9CB7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0.117</w:t>
            </w:r>
          </w:p>
        </w:tc>
        <w:tc>
          <w:tcPr>
            <w:tcW w:w="1028" w:type="dxa"/>
            <w:noWrap/>
            <w:hideMark/>
          </w:tcPr>
          <w:p w14:paraId="7D6077D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0.007</w:t>
            </w:r>
          </w:p>
        </w:tc>
        <w:tc>
          <w:tcPr>
            <w:tcW w:w="891" w:type="dxa"/>
            <w:noWrap/>
            <w:hideMark/>
          </w:tcPr>
          <w:p w14:paraId="78E24F7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0.022</w:t>
            </w:r>
          </w:p>
        </w:tc>
        <w:tc>
          <w:tcPr>
            <w:tcW w:w="916" w:type="dxa"/>
            <w:noWrap/>
            <w:hideMark/>
          </w:tcPr>
          <w:p w14:paraId="1D106D4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0.004</w:t>
            </w:r>
          </w:p>
        </w:tc>
        <w:tc>
          <w:tcPr>
            <w:tcW w:w="1056" w:type="dxa"/>
            <w:noWrap/>
            <w:hideMark/>
          </w:tcPr>
          <w:p w14:paraId="1A3C911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1.22E-05</w:t>
            </w:r>
          </w:p>
        </w:tc>
        <w:tc>
          <w:tcPr>
            <w:tcW w:w="891" w:type="dxa"/>
            <w:noWrap/>
            <w:hideMark/>
          </w:tcPr>
          <w:p w14:paraId="2097BCF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1.68E-05</w:t>
            </w:r>
          </w:p>
        </w:tc>
        <w:tc>
          <w:tcPr>
            <w:tcW w:w="836" w:type="dxa"/>
            <w:noWrap/>
            <w:hideMark/>
          </w:tcPr>
          <w:p w14:paraId="7839D2E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0.150</w:t>
            </w:r>
          </w:p>
        </w:tc>
      </w:tr>
      <w:tr w:rsidR="00BA1CDA" w:rsidRPr="00E25C87" w14:paraId="411B65A7" w14:textId="77777777" w:rsidTr="00A074B8">
        <w:trPr>
          <w:trHeight w:val="288"/>
        </w:trPr>
        <w:tc>
          <w:tcPr>
            <w:tcW w:w="1605" w:type="dxa"/>
            <w:noWrap/>
            <w:hideMark/>
          </w:tcPr>
          <w:p w14:paraId="51F3CB8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Ozone depletion</w:t>
            </w:r>
          </w:p>
        </w:tc>
        <w:tc>
          <w:tcPr>
            <w:tcW w:w="896" w:type="dxa"/>
            <w:noWrap/>
            <w:hideMark/>
          </w:tcPr>
          <w:p w14:paraId="10D4E573"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CFC-11 eq</w:t>
            </w:r>
          </w:p>
        </w:tc>
        <w:tc>
          <w:tcPr>
            <w:tcW w:w="896" w:type="dxa"/>
            <w:noWrap/>
            <w:hideMark/>
          </w:tcPr>
          <w:p w14:paraId="52731E9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c>
          <w:tcPr>
            <w:tcW w:w="1028" w:type="dxa"/>
            <w:noWrap/>
            <w:hideMark/>
          </w:tcPr>
          <w:p w14:paraId="2569F222"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c>
          <w:tcPr>
            <w:tcW w:w="891" w:type="dxa"/>
            <w:noWrap/>
            <w:hideMark/>
          </w:tcPr>
          <w:p w14:paraId="6C7AC350"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c>
          <w:tcPr>
            <w:tcW w:w="916" w:type="dxa"/>
            <w:noWrap/>
            <w:hideMark/>
          </w:tcPr>
          <w:p w14:paraId="3CA3C06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c>
          <w:tcPr>
            <w:tcW w:w="1056" w:type="dxa"/>
            <w:noWrap/>
            <w:hideMark/>
          </w:tcPr>
          <w:p w14:paraId="711948C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1.41E-09</w:t>
            </w:r>
          </w:p>
        </w:tc>
        <w:tc>
          <w:tcPr>
            <w:tcW w:w="891" w:type="dxa"/>
            <w:noWrap/>
            <w:hideMark/>
          </w:tcPr>
          <w:p w14:paraId="720A8CFA"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1.94E-09</w:t>
            </w:r>
          </w:p>
        </w:tc>
        <w:tc>
          <w:tcPr>
            <w:tcW w:w="836" w:type="dxa"/>
            <w:noWrap/>
            <w:hideMark/>
          </w:tcPr>
          <w:p w14:paraId="19CF4F2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0.000</w:t>
            </w:r>
          </w:p>
        </w:tc>
      </w:tr>
      <w:tr w:rsidR="00BA1CDA" w:rsidRPr="00E25C87" w14:paraId="10C8B9BB" w14:textId="77777777" w:rsidTr="00A074B8">
        <w:trPr>
          <w:trHeight w:val="288"/>
        </w:trPr>
        <w:tc>
          <w:tcPr>
            <w:tcW w:w="1605" w:type="dxa"/>
            <w:noWrap/>
            <w:hideMark/>
          </w:tcPr>
          <w:p w14:paraId="53178824"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Metal depletion</w:t>
            </w:r>
          </w:p>
        </w:tc>
        <w:tc>
          <w:tcPr>
            <w:tcW w:w="896" w:type="dxa"/>
            <w:noWrap/>
            <w:hideMark/>
          </w:tcPr>
          <w:p w14:paraId="48CEAA10"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Fe eq</w:t>
            </w:r>
          </w:p>
        </w:tc>
        <w:tc>
          <w:tcPr>
            <w:tcW w:w="896" w:type="dxa"/>
            <w:noWrap/>
            <w:hideMark/>
          </w:tcPr>
          <w:p w14:paraId="3B5F119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3.759</w:t>
            </w:r>
          </w:p>
        </w:tc>
        <w:tc>
          <w:tcPr>
            <w:tcW w:w="1028" w:type="dxa"/>
            <w:noWrap/>
            <w:hideMark/>
          </w:tcPr>
          <w:p w14:paraId="493379C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0.221</w:t>
            </w:r>
          </w:p>
        </w:tc>
        <w:tc>
          <w:tcPr>
            <w:tcW w:w="891" w:type="dxa"/>
            <w:noWrap/>
            <w:hideMark/>
          </w:tcPr>
          <w:p w14:paraId="56D43EB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0.676</w:t>
            </w:r>
          </w:p>
        </w:tc>
        <w:tc>
          <w:tcPr>
            <w:tcW w:w="916" w:type="dxa"/>
            <w:noWrap/>
            <w:hideMark/>
          </w:tcPr>
          <w:p w14:paraId="2776770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0.132</w:t>
            </w:r>
          </w:p>
        </w:tc>
        <w:tc>
          <w:tcPr>
            <w:tcW w:w="1056" w:type="dxa"/>
            <w:noWrap/>
            <w:hideMark/>
          </w:tcPr>
          <w:p w14:paraId="06C20AA3"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3.84E-04</w:t>
            </w:r>
          </w:p>
        </w:tc>
        <w:tc>
          <w:tcPr>
            <w:tcW w:w="891" w:type="dxa"/>
            <w:noWrap/>
            <w:hideMark/>
          </w:tcPr>
          <w:p w14:paraId="5D1ECBA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5.27E-04</w:t>
            </w:r>
          </w:p>
        </w:tc>
        <w:tc>
          <w:tcPr>
            <w:tcW w:w="836" w:type="dxa"/>
            <w:noWrap/>
            <w:hideMark/>
          </w:tcPr>
          <w:p w14:paraId="0178C27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4.788</w:t>
            </w:r>
          </w:p>
        </w:tc>
      </w:tr>
      <w:tr w:rsidR="00BA1CDA" w:rsidRPr="00E25C87" w14:paraId="32139F43" w14:textId="77777777" w:rsidTr="00A074B8">
        <w:trPr>
          <w:trHeight w:val="288"/>
        </w:trPr>
        <w:tc>
          <w:tcPr>
            <w:tcW w:w="1605" w:type="dxa"/>
            <w:noWrap/>
            <w:hideMark/>
          </w:tcPr>
          <w:p w14:paraId="7F89E963"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Fossil depletion</w:t>
            </w:r>
          </w:p>
        </w:tc>
        <w:tc>
          <w:tcPr>
            <w:tcW w:w="896" w:type="dxa"/>
            <w:noWrap/>
            <w:hideMark/>
          </w:tcPr>
          <w:p w14:paraId="68CB77FB"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kg oil eq</w:t>
            </w:r>
          </w:p>
        </w:tc>
        <w:tc>
          <w:tcPr>
            <w:tcW w:w="896" w:type="dxa"/>
            <w:noWrap/>
            <w:hideMark/>
          </w:tcPr>
          <w:p w14:paraId="60C6C7E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28.737</w:t>
            </w:r>
          </w:p>
        </w:tc>
        <w:tc>
          <w:tcPr>
            <w:tcW w:w="1028" w:type="dxa"/>
            <w:noWrap/>
            <w:hideMark/>
          </w:tcPr>
          <w:p w14:paraId="44EFBC1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1.687</w:t>
            </w:r>
          </w:p>
        </w:tc>
        <w:tc>
          <w:tcPr>
            <w:tcW w:w="891" w:type="dxa"/>
            <w:noWrap/>
            <w:hideMark/>
          </w:tcPr>
          <w:p w14:paraId="3C0F89A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5.173</w:t>
            </w:r>
          </w:p>
        </w:tc>
        <w:tc>
          <w:tcPr>
            <w:tcW w:w="916" w:type="dxa"/>
            <w:noWrap/>
            <w:hideMark/>
          </w:tcPr>
          <w:p w14:paraId="3B20E0E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1.011</w:t>
            </w:r>
          </w:p>
        </w:tc>
        <w:tc>
          <w:tcPr>
            <w:tcW w:w="1056" w:type="dxa"/>
            <w:noWrap/>
            <w:hideMark/>
          </w:tcPr>
          <w:p w14:paraId="7761B75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2.93E-03</w:t>
            </w:r>
          </w:p>
        </w:tc>
        <w:tc>
          <w:tcPr>
            <w:tcW w:w="891" w:type="dxa"/>
            <w:noWrap/>
            <w:hideMark/>
          </w:tcPr>
          <w:p w14:paraId="7AC37D3D"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4.03E-03</w:t>
            </w:r>
          </w:p>
        </w:tc>
        <w:tc>
          <w:tcPr>
            <w:tcW w:w="836" w:type="dxa"/>
            <w:noWrap/>
            <w:hideMark/>
          </w:tcPr>
          <w:p w14:paraId="38A87815"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36.615</w:t>
            </w:r>
          </w:p>
        </w:tc>
      </w:tr>
      <w:tr w:rsidR="00BA1CDA" w:rsidRPr="00E25C87" w14:paraId="67DDFDD3" w14:textId="77777777" w:rsidTr="00A074B8">
        <w:trPr>
          <w:trHeight w:val="288"/>
        </w:trPr>
        <w:tc>
          <w:tcPr>
            <w:tcW w:w="1605" w:type="dxa"/>
            <w:noWrap/>
            <w:hideMark/>
          </w:tcPr>
          <w:p w14:paraId="35D19AD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Urban land occupation</w:t>
            </w:r>
          </w:p>
        </w:tc>
        <w:tc>
          <w:tcPr>
            <w:tcW w:w="896" w:type="dxa"/>
            <w:noWrap/>
            <w:hideMark/>
          </w:tcPr>
          <w:p w14:paraId="452D16B9"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m2*a</w:t>
            </w:r>
          </w:p>
        </w:tc>
        <w:tc>
          <w:tcPr>
            <w:tcW w:w="896" w:type="dxa"/>
            <w:noWrap/>
            <w:hideMark/>
          </w:tcPr>
          <w:p w14:paraId="6DCD8607"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1.944</w:t>
            </w:r>
          </w:p>
        </w:tc>
        <w:tc>
          <w:tcPr>
            <w:tcW w:w="1028" w:type="dxa"/>
            <w:noWrap/>
            <w:hideMark/>
          </w:tcPr>
          <w:p w14:paraId="009BBE0C"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0.114</w:t>
            </w:r>
          </w:p>
        </w:tc>
        <w:tc>
          <w:tcPr>
            <w:tcW w:w="891" w:type="dxa"/>
            <w:noWrap/>
            <w:hideMark/>
          </w:tcPr>
          <w:p w14:paraId="71D67D71"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0.349</w:t>
            </w:r>
          </w:p>
        </w:tc>
        <w:tc>
          <w:tcPr>
            <w:tcW w:w="916" w:type="dxa"/>
            <w:noWrap/>
            <w:hideMark/>
          </w:tcPr>
          <w:p w14:paraId="4C9742E6"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0.069</w:t>
            </w:r>
          </w:p>
        </w:tc>
        <w:tc>
          <w:tcPr>
            <w:tcW w:w="1056" w:type="dxa"/>
            <w:noWrap/>
            <w:hideMark/>
          </w:tcPr>
          <w:p w14:paraId="61EE57AE"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1.92E-04</w:t>
            </w:r>
          </w:p>
        </w:tc>
        <w:tc>
          <w:tcPr>
            <w:tcW w:w="891" w:type="dxa"/>
            <w:noWrap/>
            <w:hideMark/>
          </w:tcPr>
          <w:p w14:paraId="0FA69E28"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2.72E-04</w:t>
            </w:r>
          </w:p>
        </w:tc>
        <w:tc>
          <w:tcPr>
            <w:tcW w:w="836" w:type="dxa"/>
            <w:noWrap/>
            <w:hideMark/>
          </w:tcPr>
          <w:p w14:paraId="060E263F" w14:textId="77777777" w:rsidR="00BA1CDA" w:rsidRPr="00E25C87" w:rsidRDefault="00BA1CDA" w:rsidP="00BA1CDA">
            <w:pPr>
              <w:spacing w:line="240" w:lineRule="auto"/>
              <w:jc w:val="center"/>
              <w:rPr>
                <w:rFonts w:ascii="Times New Roman" w:hAnsi="Times New Roman"/>
                <w:sz w:val="16"/>
                <w:szCs w:val="16"/>
                <w:lang w:val="en-GB"/>
              </w:rPr>
            </w:pPr>
            <w:r w:rsidRPr="00E25C87">
              <w:rPr>
                <w:rFonts w:ascii="Times New Roman" w:hAnsi="Times New Roman"/>
                <w:sz w:val="16"/>
                <w:szCs w:val="16"/>
                <w:lang w:val="en-GB"/>
              </w:rPr>
              <w:t>2.477</w:t>
            </w:r>
          </w:p>
        </w:tc>
      </w:tr>
    </w:tbl>
    <w:p w14:paraId="42CD79A4" w14:textId="7111059C" w:rsidR="00C41596" w:rsidRPr="00E25C87" w:rsidRDefault="00C41596" w:rsidP="00C41596">
      <w:pPr>
        <w:pStyle w:val="Abstract"/>
        <w:ind w:left="0"/>
        <w:jc w:val="center"/>
        <w:rPr>
          <w:szCs w:val="22"/>
          <w:u w:val="single"/>
          <w:lang w:val="en-GB"/>
        </w:rPr>
      </w:pPr>
      <w:r w:rsidRPr="00E25C87">
        <w:rPr>
          <w:szCs w:val="22"/>
          <w:lang w:val="en-GB"/>
        </w:rPr>
        <w:t>Source: Elaboration of the Authors</w:t>
      </w:r>
    </w:p>
    <w:p w14:paraId="1944A274" w14:textId="7C62C0CC" w:rsidR="006E7D1D" w:rsidRPr="00E25C87" w:rsidRDefault="006E7D1D" w:rsidP="00C41596">
      <w:pPr>
        <w:pStyle w:val="Abstract"/>
        <w:ind w:left="0"/>
        <w:rPr>
          <w:szCs w:val="22"/>
          <w:lang w:val="en-GB"/>
        </w:rPr>
      </w:pPr>
    </w:p>
    <w:p w14:paraId="738B51C9" w14:textId="77777777" w:rsidR="00C41596" w:rsidRPr="00E25C87" w:rsidRDefault="00C41596" w:rsidP="006E7D1D">
      <w:pPr>
        <w:pStyle w:val="Abstract"/>
        <w:ind w:left="0"/>
        <w:rPr>
          <w:szCs w:val="22"/>
          <w:lang w:val="en-GB"/>
        </w:rPr>
      </w:pPr>
    </w:p>
    <w:p w14:paraId="005DE6E6" w14:textId="78902E10" w:rsidR="009D47BE" w:rsidRPr="00E25C87" w:rsidRDefault="006E7D1D" w:rsidP="00BA1CDA">
      <w:pPr>
        <w:pStyle w:val="Abstract"/>
        <w:tabs>
          <w:tab w:val="left" w:pos="6379"/>
        </w:tabs>
        <w:spacing w:line="276" w:lineRule="auto"/>
        <w:ind w:left="0" w:right="-30"/>
        <w:rPr>
          <w:b/>
          <w:bCs/>
          <w:snapToGrid/>
          <w:sz w:val="22"/>
          <w:szCs w:val="22"/>
          <w:lang w:val="en-GB"/>
        </w:rPr>
      </w:pPr>
      <w:r w:rsidRPr="00E25C87">
        <w:rPr>
          <w:snapToGrid/>
          <w:sz w:val="22"/>
          <w:szCs w:val="22"/>
          <w:lang w:val="en-GB"/>
        </w:rPr>
        <w:t xml:space="preserve">The Table </w:t>
      </w:r>
      <w:r w:rsidR="00F76A58" w:rsidRPr="00E25C87">
        <w:rPr>
          <w:snapToGrid/>
          <w:sz w:val="22"/>
          <w:szCs w:val="22"/>
          <w:lang w:val="en-GB"/>
        </w:rPr>
        <w:t>6</w:t>
      </w:r>
      <w:r w:rsidRPr="00E25C87">
        <w:rPr>
          <w:snapToGrid/>
          <w:sz w:val="22"/>
          <w:szCs w:val="22"/>
          <w:lang w:val="en-GB"/>
        </w:rPr>
        <w:t xml:space="preserve"> shows the Endpoint results per functional unit for all the materials and components recovered in the R2 category, calculated by means of Impact Assessment ReCiPe Endpoint Method</w:t>
      </w:r>
      <w:r w:rsidR="00064B85" w:rsidRPr="00E25C87">
        <w:rPr>
          <w:snapToGrid/>
          <w:sz w:val="22"/>
          <w:szCs w:val="22"/>
          <w:lang w:val="en-GB"/>
        </w:rPr>
        <w:t xml:space="preserve"> and</w:t>
      </w:r>
      <w:r w:rsidRPr="00E25C87">
        <w:rPr>
          <w:snapToGrid/>
          <w:sz w:val="22"/>
          <w:szCs w:val="22"/>
          <w:lang w:val="en-GB"/>
        </w:rPr>
        <w:t xml:space="preserve"> evidencing </w:t>
      </w:r>
      <w:r w:rsidR="00064B85" w:rsidRPr="00E25C87">
        <w:rPr>
          <w:snapToGrid/>
          <w:sz w:val="22"/>
          <w:szCs w:val="22"/>
          <w:lang w:val="en-GB"/>
        </w:rPr>
        <w:t xml:space="preserve">that </w:t>
      </w:r>
      <w:r w:rsidRPr="00E25C87">
        <w:rPr>
          <w:snapToGrid/>
          <w:sz w:val="22"/>
          <w:szCs w:val="22"/>
          <w:lang w:val="en-GB"/>
        </w:rPr>
        <w:t xml:space="preserve">the total impacts </w:t>
      </w:r>
      <w:r w:rsidR="00064B85" w:rsidRPr="00E25C87">
        <w:rPr>
          <w:snapToGrid/>
          <w:sz w:val="22"/>
          <w:szCs w:val="22"/>
          <w:lang w:val="en-GB"/>
        </w:rPr>
        <w:t xml:space="preserve">of R2 treatment </w:t>
      </w:r>
      <w:r w:rsidRPr="00E25C87">
        <w:rPr>
          <w:snapToGrid/>
          <w:sz w:val="22"/>
          <w:szCs w:val="22"/>
          <w:lang w:val="en-GB"/>
        </w:rPr>
        <w:t xml:space="preserve">contribute to the depletion of the ecosystems by </w:t>
      </w:r>
      <w:r w:rsidR="00F76A58" w:rsidRPr="00E25C87">
        <w:rPr>
          <w:snapToGrid/>
          <w:sz w:val="22"/>
          <w:szCs w:val="22"/>
          <w:lang w:val="en-GB"/>
        </w:rPr>
        <w:t>1.04E+06</w:t>
      </w:r>
      <w:r w:rsidRPr="00E25C87">
        <w:rPr>
          <w:snapToGrid/>
          <w:sz w:val="22"/>
          <w:szCs w:val="22"/>
          <w:lang w:val="en-GB"/>
        </w:rPr>
        <w:t xml:space="preserve"> species-yr, to the resource </w:t>
      </w:r>
      <w:r w:rsidR="00F76A58" w:rsidRPr="00E25C87">
        <w:rPr>
          <w:snapToGrid/>
          <w:sz w:val="22"/>
          <w:szCs w:val="22"/>
          <w:lang w:val="en-GB"/>
        </w:rPr>
        <w:t>depletion by</w:t>
      </w:r>
      <w:r w:rsidRPr="00E25C87">
        <w:rPr>
          <w:snapToGrid/>
          <w:sz w:val="22"/>
          <w:szCs w:val="22"/>
          <w:lang w:val="en-GB"/>
        </w:rPr>
        <w:t xml:space="preserve"> </w:t>
      </w:r>
      <w:r w:rsidR="00F76A58" w:rsidRPr="00E25C87">
        <w:rPr>
          <w:snapToGrid/>
          <w:sz w:val="22"/>
          <w:szCs w:val="22"/>
          <w:lang w:val="en-GB"/>
        </w:rPr>
        <w:t>6.40E+00</w:t>
      </w:r>
      <w:r w:rsidRPr="00E25C87">
        <w:rPr>
          <w:snapToGrid/>
          <w:sz w:val="22"/>
          <w:szCs w:val="22"/>
          <w:lang w:val="en-GB"/>
        </w:rPr>
        <w:t xml:space="preserve"> US$ and to damages to human health by </w:t>
      </w:r>
      <w:r w:rsidR="00F76A58" w:rsidRPr="00E25C87">
        <w:rPr>
          <w:snapToGrid/>
          <w:sz w:val="22"/>
          <w:szCs w:val="22"/>
          <w:lang w:val="en-GB"/>
        </w:rPr>
        <w:t>2.10E-04</w:t>
      </w:r>
      <w:r w:rsidRPr="00E25C87">
        <w:rPr>
          <w:snapToGrid/>
          <w:sz w:val="22"/>
          <w:szCs w:val="22"/>
          <w:lang w:val="en-GB"/>
        </w:rPr>
        <w:t xml:space="preserve"> DALY (Disability Adjusted Life Years). </w:t>
      </w:r>
    </w:p>
    <w:p w14:paraId="04515E09" w14:textId="77777777" w:rsidR="00371859" w:rsidRPr="00E25C87" w:rsidRDefault="00371859" w:rsidP="00BA1CDA">
      <w:pPr>
        <w:pStyle w:val="Abstract"/>
        <w:tabs>
          <w:tab w:val="left" w:pos="6379"/>
        </w:tabs>
        <w:spacing w:line="276" w:lineRule="auto"/>
        <w:ind w:left="0" w:right="-30"/>
        <w:rPr>
          <w:b/>
          <w:bCs/>
          <w:snapToGrid/>
          <w:sz w:val="22"/>
          <w:szCs w:val="22"/>
          <w:lang w:val="en-GB"/>
        </w:rPr>
      </w:pPr>
    </w:p>
    <w:p w14:paraId="311A6517" w14:textId="31AB4675" w:rsidR="009D47BE" w:rsidRPr="00E25C87" w:rsidRDefault="00A074B8" w:rsidP="00A074B8">
      <w:pPr>
        <w:spacing w:line="259" w:lineRule="auto"/>
        <w:jc w:val="left"/>
        <w:rPr>
          <w:b/>
          <w:bCs/>
          <w:szCs w:val="22"/>
          <w:lang w:val="en-GB"/>
        </w:rPr>
      </w:pPr>
      <w:r w:rsidRPr="00E25C87">
        <w:rPr>
          <w:rFonts w:eastAsia="Calibri"/>
          <w:sz w:val="18"/>
          <w:szCs w:val="18"/>
          <w:lang w:val="en-GB"/>
        </w:rPr>
        <w:t xml:space="preserve">Table </w:t>
      </w:r>
      <w:r w:rsidR="00371859" w:rsidRPr="00E25C87">
        <w:rPr>
          <w:rFonts w:eastAsia="Calibri"/>
          <w:sz w:val="18"/>
          <w:szCs w:val="18"/>
          <w:lang w:val="en-GB"/>
        </w:rPr>
        <w:t>6</w:t>
      </w:r>
      <w:r w:rsidRPr="00E25C87">
        <w:rPr>
          <w:rFonts w:eastAsia="Calibri"/>
          <w:sz w:val="18"/>
          <w:szCs w:val="18"/>
          <w:lang w:val="en-GB"/>
        </w:rPr>
        <w:t>. Endpoint results per functional unit (1 tonne collected and treated)</w:t>
      </w:r>
      <w:r w:rsidR="00C41596" w:rsidRPr="00E25C87">
        <w:rPr>
          <w:rFonts w:eastAsia="Calibri"/>
          <w:sz w:val="18"/>
          <w:szCs w:val="18"/>
          <w:lang w:val="en-GB"/>
        </w:rPr>
        <w:t xml:space="preserve"> for the R2 </w:t>
      </w:r>
      <w:r w:rsidR="005A4B94">
        <w:rPr>
          <w:rFonts w:eastAsia="Calibri"/>
          <w:sz w:val="18"/>
          <w:szCs w:val="18"/>
          <w:lang w:val="en-GB"/>
        </w:rPr>
        <w:t xml:space="preserve">WEEE </w:t>
      </w:r>
      <w:r w:rsidR="00C41596" w:rsidRPr="00E25C87">
        <w:rPr>
          <w:rFonts w:eastAsia="Calibri"/>
          <w:sz w:val="18"/>
          <w:szCs w:val="18"/>
          <w:lang w:val="en-GB"/>
        </w:rPr>
        <w:t>category.</w:t>
      </w:r>
    </w:p>
    <w:tbl>
      <w:tblPr>
        <w:tblStyle w:val="Grigliatabella4"/>
        <w:tblW w:w="8605" w:type="dxa"/>
        <w:tblLook w:val="04A0" w:firstRow="1" w:lastRow="0" w:firstColumn="1" w:lastColumn="0" w:noHBand="0" w:noVBand="1"/>
      </w:tblPr>
      <w:tblGrid>
        <w:gridCol w:w="1126"/>
        <w:gridCol w:w="931"/>
        <w:gridCol w:w="923"/>
        <w:gridCol w:w="891"/>
        <w:gridCol w:w="891"/>
        <w:gridCol w:w="916"/>
        <w:gridCol w:w="1056"/>
        <w:gridCol w:w="891"/>
        <w:gridCol w:w="980"/>
      </w:tblGrid>
      <w:tr w:rsidR="00A074B8" w:rsidRPr="00E25C87" w14:paraId="5DDAF32C" w14:textId="77777777" w:rsidTr="00C41596">
        <w:trPr>
          <w:trHeight w:val="288"/>
        </w:trPr>
        <w:tc>
          <w:tcPr>
            <w:tcW w:w="1126" w:type="dxa"/>
            <w:noWrap/>
            <w:hideMark/>
          </w:tcPr>
          <w:p w14:paraId="093D1A87"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lastRenderedPageBreak/>
              <w:t>Impact category</w:t>
            </w:r>
          </w:p>
        </w:tc>
        <w:tc>
          <w:tcPr>
            <w:tcW w:w="931" w:type="dxa"/>
            <w:noWrap/>
            <w:hideMark/>
          </w:tcPr>
          <w:p w14:paraId="082F682A"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Unit</w:t>
            </w:r>
          </w:p>
        </w:tc>
        <w:tc>
          <w:tcPr>
            <w:tcW w:w="923" w:type="dxa"/>
            <w:noWrap/>
            <w:hideMark/>
          </w:tcPr>
          <w:p w14:paraId="1DBBD2CD"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Recover. Steel and iron </w:t>
            </w:r>
          </w:p>
        </w:tc>
        <w:tc>
          <w:tcPr>
            <w:tcW w:w="891" w:type="dxa"/>
            <w:noWrap/>
            <w:hideMark/>
          </w:tcPr>
          <w:p w14:paraId="4992B726"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Recover. Cables </w:t>
            </w:r>
          </w:p>
        </w:tc>
        <w:tc>
          <w:tcPr>
            <w:tcW w:w="891" w:type="dxa"/>
            <w:noWrap/>
            <w:hideMark/>
          </w:tcPr>
          <w:p w14:paraId="1C88FAE2"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Recover.  Motors</w:t>
            </w:r>
          </w:p>
        </w:tc>
        <w:tc>
          <w:tcPr>
            <w:tcW w:w="916" w:type="dxa"/>
            <w:noWrap/>
            <w:hideMark/>
          </w:tcPr>
          <w:p w14:paraId="4E0D6DEB"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Recover.</w:t>
            </w:r>
          </w:p>
          <w:p w14:paraId="743EA496"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Concrete </w:t>
            </w:r>
          </w:p>
        </w:tc>
        <w:tc>
          <w:tcPr>
            <w:tcW w:w="1056" w:type="dxa"/>
            <w:noWrap/>
            <w:hideMark/>
          </w:tcPr>
          <w:p w14:paraId="223D14FE"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Recover.</w:t>
            </w:r>
          </w:p>
          <w:p w14:paraId="1C5B098D"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Capacitors </w:t>
            </w:r>
          </w:p>
        </w:tc>
        <w:tc>
          <w:tcPr>
            <w:tcW w:w="891" w:type="dxa"/>
            <w:noWrap/>
            <w:hideMark/>
          </w:tcPr>
          <w:p w14:paraId="6B8A1F51"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Recover.</w:t>
            </w:r>
          </w:p>
          <w:p w14:paraId="2CE05000"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Elec. Boards</w:t>
            </w:r>
          </w:p>
        </w:tc>
        <w:tc>
          <w:tcPr>
            <w:tcW w:w="980" w:type="dxa"/>
            <w:noWrap/>
            <w:hideMark/>
          </w:tcPr>
          <w:p w14:paraId="3469E74B" w14:textId="77777777" w:rsidR="00A074B8" w:rsidRPr="00E25C87" w:rsidRDefault="00A074B8" w:rsidP="00A074B8">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Total impacts per category </w:t>
            </w:r>
          </w:p>
        </w:tc>
      </w:tr>
      <w:tr w:rsidR="00A074B8" w:rsidRPr="00E25C87" w14:paraId="0012DAB4" w14:textId="77777777" w:rsidTr="00C41596">
        <w:trPr>
          <w:trHeight w:val="288"/>
        </w:trPr>
        <w:tc>
          <w:tcPr>
            <w:tcW w:w="1126" w:type="dxa"/>
            <w:noWrap/>
            <w:hideMark/>
          </w:tcPr>
          <w:p w14:paraId="33AFD16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Ecosystems-total</w:t>
            </w:r>
          </w:p>
        </w:tc>
        <w:tc>
          <w:tcPr>
            <w:tcW w:w="931" w:type="dxa"/>
            <w:noWrap/>
            <w:hideMark/>
          </w:tcPr>
          <w:p w14:paraId="7B011DE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species.yr</w:t>
            </w:r>
          </w:p>
        </w:tc>
        <w:tc>
          <w:tcPr>
            <w:tcW w:w="923" w:type="dxa"/>
            <w:noWrap/>
            <w:hideMark/>
          </w:tcPr>
          <w:p w14:paraId="74E51DAD"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8.16E-07</w:t>
            </w:r>
          </w:p>
        </w:tc>
        <w:tc>
          <w:tcPr>
            <w:tcW w:w="891" w:type="dxa"/>
            <w:noWrap/>
            <w:hideMark/>
          </w:tcPr>
          <w:p w14:paraId="14B0724E"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4.79E-08</w:t>
            </w:r>
          </w:p>
        </w:tc>
        <w:tc>
          <w:tcPr>
            <w:tcW w:w="891" w:type="dxa"/>
            <w:noWrap/>
            <w:hideMark/>
          </w:tcPr>
          <w:p w14:paraId="501DE8EF"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1.470E-07</w:t>
            </w:r>
          </w:p>
        </w:tc>
        <w:tc>
          <w:tcPr>
            <w:tcW w:w="916" w:type="dxa"/>
            <w:noWrap/>
            <w:hideMark/>
          </w:tcPr>
          <w:p w14:paraId="267E076C"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2.88E-08</w:t>
            </w:r>
          </w:p>
        </w:tc>
        <w:tc>
          <w:tcPr>
            <w:tcW w:w="1056" w:type="dxa"/>
            <w:noWrap/>
            <w:hideMark/>
          </w:tcPr>
          <w:p w14:paraId="4BEF719B"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8.32E-11</w:t>
            </w:r>
          </w:p>
        </w:tc>
        <w:tc>
          <w:tcPr>
            <w:tcW w:w="891" w:type="dxa"/>
            <w:noWrap/>
            <w:hideMark/>
          </w:tcPr>
          <w:p w14:paraId="3BE62A11"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1.144E-10</w:t>
            </w:r>
          </w:p>
        </w:tc>
        <w:tc>
          <w:tcPr>
            <w:tcW w:w="980" w:type="dxa"/>
            <w:noWrap/>
            <w:hideMark/>
          </w:tcPr>
          <w:p w14:paraId="07E8911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1.04E-06</w:t>
            </w:r>
          </w:p>
        </w:tc>
      </w:tr>
      <w:tr w:rsidR="00A074B8" w:rsidRPr="00E25C87" w14:paraId="365C7EDA" w14:textId="77777777" w:rsidTr="00C41596">
        <w:trPr>
          <w:trHeight w:val="288"/>
        </w:trPr>
        <w:tc>
          <w:tcPr>
            <w:tcW w:w="1126" w:type="dxa"/>
            <w:noWrap/>
            <w:hideMark/>
          </w:tcPr>
          <w:p w14:paraId="6E5CD978"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Resources-total</w:t>
            </w:r>
          </w:p>
        </w:tc>
        <w:tc>
          <w:tcPr>
            <w:tcW w:w="931" w:type="dxa"/>
            <w:noWrap/>
            <w:hideMark/>
          </w:tcPr>
          <w:p w14:paraId="7B0FC5A1"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w:t>
            </w:r>
          </w:p>
        </w:tc>
        <w:tc>
          <w:tcPr>
            <w:tcW w:w="923" w:type="dxa"/>
            <w:noWrap/>
            <w:hideMark/>
          </w:tcPr>
          <w:p w14:paraId="271DB4D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5.02E+00</w:t>
            </w:r>
          </w:p>
        </w:tc>
        <w:tc>
          <w:tcPr>
            <w:tcW w:w="891" w:type="dxa"/>
            <w:noWrap/>
            <w:hideMark/>
          </w:tcPr>
          <w:p w14:paraId="39AF5F9E"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2.95E-01</w:t>
            </w:r>
          </w:p>
        </w:tc>
        <w:tc>
          <w:tcPr>
            <w:tcW w:w="891" w:type="dxa"/>
            <w:noWrap/>
            <w:hideMark/>
          </w:tcPr>
          <w:p w14:paraId="17F3FD21"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9.044E-01</w:t>
            </w:r>
          </w:p>
        </w:tc>
        <w:tc>
          <w:tcPr>
            <w:tcW w:w="916" w:type="dxa"/>
            <w:noWrap/>
            <w:hideMark/>
          </w:tcPr>
          <w:p w14:paraId="06428E78"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1.78E-01</w:t>
            </w:r>
          </w:p>
        </w:tc>
        <w:tc>
          <w:tcPr>
            <w:tcW w:w="1056" w:type="dxa"/>
            <w:noWrap/>
            <w:hideMark/>
          </w:tcPr>
          <w:p w14:paraId="42603CE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5.16E-04</w:t>
            </w:r>
          </w:p>
        </w:tc>
        <w:tc>
          <w:tcPr>
            <w:tcW w:w="891" w:type="dxa"/>
            <w:noWrap/>
            <w:hideMark/>
          </w:tcPr>
          <w:p w14:paraId="010D4350"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6.970E-04</w:t>
            </w:r>
          </w:p>
        </w:tc>
        <w:tc>
          <w:tcPr>
            <w:tcW w:w="980" w:type="dxa"/>
            <w:noWrap/>
            <w:hideMark/>
          </w:tcPr>
          <w:p w14:paraId="74DBFBEC"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6.40E+00</w:t>
            </w:r>
          </w:p>
        </w:tc>
      </w:tr>
      <w:tr w:rsidR="00A074B8" w:rsidRPr="00E25C87" w14:paraId="44ADB6FD" w14:textId="77777777" w:rsidTr="00C41596">
        <w:trPr>
          <w:trHeight w:val="288"/>
        </w:trPr>
        <w:tc>
          <w:tcPr>
            <w:tcW w:w="1126" w:type="dxa"/>
            <w:noWrap/>
            <w:hideMark/>
          </w:tcPr>
          <w:p w14:paraId="157B48CA"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Human Health-total</w:t>
            </w:r>
          </w:p>
        </w:tc>
        <w:tc>
          <w:tcPr>
            <w:tcW w:w="931" w:type="dxa"/>
            <w:noWrap/>
            <w:hideMark/>
          </w:tcPr>
          <w:p w14:paraId="35A42DD2"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DALY</w:t>
            </w:r>
          </w:p>
        </w:tc>
        <w:tc>
          <w:tcPr>
            <w:tcW w:w="923" w:type="dxa"/>
            <w:noWrap/>
            <w:hideMark/>
          </w:tcPr>
          <w:p w14:paraId="767EB338"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1.64E-04</w:t>
            </w:r>
          </w:p>
        </w:tc>
        <w:tc>
          <w:tcPr>
            <w:tcW w:w="891" w:type="dxa"/>
            <w:noWrap/>
            <w:hideMark/>
          </w:tcPr>
          <w:p w14:paraId="75AE54B1"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9.66E-06</w:t>
            </w:r>
          </w:p>
        </w:tc>
        <w:tc>
          <w:tcPr>
            <w:tcW w:w="891" w:type="dxa"/>
            <w:noWrap/>
            <w:hideMark/>
          </w:tcPr>
          <w:p w14:paraId="3BF3F320"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2.960E-05</w:t>
            </w:r>
          </w:p>
        </w:tc>
        <w:tc>
          <w:tcPr>
            <w:tcW w:w="916" w:type="dxa"/>
            <w:noWrap/>
            <w:hideMark/>
          </w:tcPr>
          <w:p w14:paraId="18C2F0F6"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5.79E-06</w:t>
            </w:r>
          </w:p>
        </w:tc>
        <w:tc>
          <w:tcPr>
            <w:tcW w:w="1056" w:type="dxa"/>
            <w:noWrap/>
            <w:hideMark/>
          </w:tcPr>
          <w:p w14:paraId="09A2DB25"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1.68E-08</w:t>
            </w:r>
          </w:p>
        </w:tc>
        <w:tc>
          <w:tcPr>
            <w:tcW w:w="891" w:type="dxa"/>
            <w:noWrap/>
            <w:hideMark/>
          </w:tcPr>
          <w:p w14:paraId="47BDE2BF"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2.305E-08</w:t>
            </w:r>
          </w:p>
        </w:tc>
        <w:tc>
          <w:tcPr>
            <w:tcW w:w="980" w:type="dxa"/>
            <w:noWrap/>
            <w:hideMark/>
          </w:tcPr>
          <w:p w14:paraId="5AB09E17" w14:textId="77777777" w:rsidR="00A074B8" w:rsidRPr="00E25C87" w:rsidRDefault="00A074B8" w:rsidP="00A074B8">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2.10E-04</w:t>
            </w:r>
          </w:p>
        </w:tc>
      </w:tr>
    </w:tbl>
    <w:p w14:paraId="35113852" w14:textId="458D8B78" w:rsidR="00C41596" w:rsidRPr="00E25C87" w:rsidRDefault="00C41596" w:rsidP="00C41596">
      <w:pPr>
        <w:pStyle w:val="Abstract"/>
        <w:tabs>
          <w:tab w:val="left" w:pos="6379"/>
        </w:tabs>
        <w:ind w:right="-30"/>
        <w:jc w:val="center"/>
        <w:rPr>
          <w:szCs w:val="22"/>
          <w:u w:val="single"/>
          <w:lang w:val="en-GB"/>
        </w:rPr>
      </w:pPr>
      <w:r w:rsidRPr="00E25C87">
        <w:rPr>
          <w:szCs w:val="22"/>
          <w:lang w:val="en-GB"/>
        </w:rPr>
        <w:t>Source: Elaboration of the Authors</w:t>
      </w:r>
    </w:p>
    <w:p w14:paraId="2886DF4B" w14:textId="59310C39" w:rsidR="00A074B8" w:rsidRPr="00E25C87" w:rsidRDefault="00A074B8" w:rsidP="009D47BE">
      <w:pPr>
        <w:pStyle w:val="Abstract"/>
        <w:tabs>
          <w:tab w:val="left" w:pos="6379"/>
        </w:tabs>
        <w:spacing w:line="276" w:lineRule="auto"/>
        <w:ind w:right="-30"/>
        <w:rPr>
          <w:b/>
          <w:bCs/>
          <w:snapToGrid/>
          <w:sz w:val="22"/>
          <w:szCs w:val="22"/>
          <w:lang w:val="en-GB"/>
        </w:rPr>
      </w:pPr>
    </w:p>
    <w:p w14:paraId="71691CA9" w14:textId="5CDED1DE" w:rsidR="005C5C47" w:rsidRPr="00E25C87" w:rsidRDefault="00F76A58" w:rsidP="00AB35C3">
      <w:pPr>
        <w:pStyle w:val="Abstract"/>
        <w:tabs>
          <w:tab w:val="left" w:pos="6379"/>
        </w:tabs>
        <w:spacing w:line="276" w:lineRule="auto"/>
        <w:ind w:left="0" w:right="-30"/>
        <w:rPr>
          <w:snapToGrid/>
          <w:sz w:val="22"/>
          <w:szCs w:val="22"/>
          <w:lang w:val="en-GB"/>
        </w:rPr>
      </w:pPr>
      <w:r w:rsidRPr="00E25C87">
        <w:rPr>
          <w:snapToGrid/>
          <w:sz w:val="22"/>
          <w:szCs w:val="22"/>
          <w:lang w:val="en-GB"/>
        </w:rPr>
        <w:t xml:space="preserve">Finally, we </w:t>
      </w:r>
      <w:r w:rsidR="00F72142">
        <w:rPr>
          <w:snapToGrid/>
          <w:sz w:val="22"/>
          <w:szCs w:val="22"/>
          <w:lang w:val="en-GB"/>
        </w:rPr>
        <w:t xml:space="preserve">compared </w:t>
      </w:r>
      <w:r w:rsidRPr="00E25C87">
        <w:rPr>
          <w:snapToGrid/>
          <w:sz w:val="22"/>
          <w:szCs w:val="22"/>
          <w:lang w:val="en-GB"/>
        </w:rPr>
        <w:t xml:space="preserve">the environmental impacts </w:t>
      </w:r>
      <w:r w:rsidR="00CA12D7" w:rsidRPr="00E25C87">
        <w:rPr>
          <w:snapToGrid/>
          <w:sz w:val="22"/>
          <w:szCs w:val="22"/>
          <w:lang w:val="en-GB"/>
        </w:rPr>
        <w:t>of</w:t>
      </w:r>
      <w:r w:rsidRPr="00E25C87">
        <w:rPr>
          <w:snapToGrid/>
          <w:sz w:val="22"/>
          <w:szCs w:val="22"/>
          <w:lang w:val="en-GB"/>
        </w:rPr>
        <w:t xml:space="preserve"> </w:t>
      </w:r>
      <w:r w:rsidR="005A4B94">
        <w:rPr>
          <w:snapToGrid/>
          <w:sz w:val="22"/>
          <w:szCs w:val="22"/>
          <w:lang w:val="en-GB"/>
        </w:rPr>
        <w:t xml:space="preserve">one of the main </w:t>
      </w:r>
      <w:r w:rsidR="00CA12D7" w:rsidRPr="00E25C87">
        <w:rPr>
          <w:snapToGrid/>
          <w:sz w:val="22"/>
          <w:szCs w:val="22"/>
          <w:lang w:val="en-GB"/>
        </w:rPr>
        <w:t xml:space="preserve">recovered materials </w:t>
      </w:r>
      <w:r w:rsidR="00F72142">
        <w:rPr>
          <w:snapToGrid/>
          <w:sz w:val="22"/>
          <w:szCs w:val="22"/>
          <w:lang w:val="en-GB"/>
        </w:rPr>
        <w:t>in the</w:t>
      </w:r>
      <w:r w:rsidR="00F72142" w:rsidRPr="00E25C87">
        <w:rPr>
          <w:snapToGrid/>
          <w:sz w:val="22"/>
          <w:szCs w:val="22"/>
          <w:lang w:val="en-GB"/>
        </w:rPr>
        <w:t xml:space="preserve"> </w:t>
      </w:r>
      <w:r w:rsidR="00CA12D7" w:rsidRPr="00E25C87">
        <w:rPr>
          <w:snapToGrid/>
          <w:sz w:val="22"/>
          <w:szCs w:val="22"/>
          <w:lang w:val="en-GB"/>
        </w:rPr>
        <w:t>WEEE R1 and R2 categories</w:t>
      </w:r>
      <w:r w:rsidR="005A4B94">
        <w:rPr>
          <w:snapToGrid/>
          <w:sz w:val="22"/>
          <w:szCs w:val="22"/>
          <w:lang w:val="en-GB"/>
        </w:rPr>
        <w:t>,</w:t>
      </w:r>
      <w:r w:rsidR="00CA12D7" w:rsidRPr="00E25C87">
        <w:rPr>
          <w:snapToGrid/>
          <w:sz w:val="22"/>
          <w:szCs w:val="22"/>
          <w:lang w:val="en-GB"/>
        </w:rPr>
        <w:t xml:space="preserve"> </w:t>
      </w:r>
      <w:r w:rsidR="005A4B94">
        <w:rPr>
          <w:snapToGrid/>
          <w:sz w:val="22"/>
          <w:szCs w:val="22"/>
          <w:lang w:val="en-GB"/>
        </w:rPr>
        <w:t>e.g.</w:t>
      </w:r>
      <w:r w:rsidR="00CA12D7" w:rsidRPr="00E25C87">
        <w:rPr>
          <w:snapToGrid/>
          <w:sz w:val="22"/>
          <w:szCs w:val="22"/>
          <w:lang w:val="en-GB"/>
        </w:rPr>
        <w:t xml:space="preserve"> </w:t>
      </w:r>
      <w:r w:rsidR="005A4B94">
        <w:rPr>
          <w:snapToGrid/>
          <w:sz w:val="22"/>
          <w:szCs w:val="22"/>
          <w:lang w:val="en-GB"/>
        </w:rPr>
        <w:t>“I</w:t>
      </w:r>
      <w:r w:rsidR="00CA12D7" w:rsidRPr="00E25C87">
        <w:rPr>
          <w:snapToGrid/>
          <w:sz w:val="22"/>
          <w:szCs w:val="22"/>
          <w:lang w:val="en-GB"/>
        </w:rPr>
        <w:t>ron</w:t>
      </w:r>
      <w:r w:rsidR="005A4B94">
        <w:rPr>
          <w:snapToGrid/>
          <w:sz w:val="22"/>
          <w:szCs w:val="22"/>
          <w:lang w:val="en-GB"/>
        </w:rPr>
        <w:t>”</w:t>
      </w:r>
      <w:r w:rsidR="00CA12D7" w:rsidRPr="00E25C87">
        <w:rPr>
          <w:snapToGrid/>
          <w:sz w:val="22"/>
          <w:szCs w:val="22"/>
          <w:lang w:val="en-GB"/>
        </w:rPr>
        <w:t xml:space="preserve"> and </w:t>
      </w:r>
      <w:r w:rsidR="005A4B94">
        <w:rPr>
          <w:snapToGrid/>
          <w:sz w:val="22"/>
          <w:szCs w:val="22"/>
          <w:lang w:val="en-GB"/>
        </w:rPr>
        <w:t>“M</w:t>
      </w:r>
      <w:r w:rsidR="005A4B94" w:rsidRPr="00E25C87">
        <w:rPr>
          <w:snapToGrid/>
          <w:sz w:val="22"/>
          <w:szCs w:val="22"/>
          <w:lang w:val="en-GB"/>
        </w:rPr>
        <w:t xml:space="preserve">ixed </w:t>
      </w:r>
      <w:r w:rsidR="00CA12D7" w:rsidRPr="00E25C87">
        <w:rPr>
          <w:snapToGrid/>
          <w:sz w:val="22"/>
          <w:szCs w:val="22"/>
          <w:lang w:val="en-GB"/>
        </w:rPr>
        <w:t>iron and steel</w:t>
      </w:r>
      <w:r w:rsidR="005A4B94">
        <w:rPr>
          <w:snapToGrid/>
          <w:sz w:val="22"/>
          <w:szCs w:val="22"/>
          <w:lang w:val="en-GB"/>
        </w:rPr>
        <w:t>”</w:t>
      </w:r>
      <w:r w:rsidR="00CA12D7" w:rsidRPr="00E25C87">
        <w:rPr>
          <w:snapToGrid/>
          <w:sz w:val="22"/>
          <w:szCs w:val="22"/>
          <w:lang w:val="en-GB"/>
        </w:rPr>
        <w:t xml:space="preserve"> </w:t>
      </w:r>
      <w:r w:rsidR="00F72142">
        <w:rPr>
          <w:snapToGrid/>
          <w:sz w:val="22"/>
          <w:szCs w:val="22"/>
          <w:lang w:val="en-GB"/>
        </w:rPr>
        <w:t>respectively, with the primary materials from mining and industrial processing</w:t>
      </w:r>
      <w:r w:rsidR="00CA12D7" w:rsidRPr="00E25C87">
        <w:rPr>
          <w:snapToGrid/>
          <w:sz w:val="22"/>
          <w:szCs w:val="22"/>
          <w:lang w:val="en-GB"/>
        </w:rPr>
        <w:t>. In R1</w:t>
      </w:r>
      <w:r w:rsidR="00F72142">
        <w:rPr>
          <w:snapToGrid/>
          <w:sz w:val="22"/>
          <w:szCs w:val="22"/>
          <w:lang w:val="en-GB"/>
        </w:rPr>
        <w:t xml:space="preserve"> category</w:t>
      </w:r>
      <w:r w:rsidR="00CA12D7" w:rsidRPr="00E25C87">
        <w:rPr>
          <w:snapToGrid/>
          <w:sz w:val="22"/>
          <w:szCs w:val="22"/>
          <w:lang w:val="en-GB"/>
        </w:rPr>
        <w:t xml:space="preserve">, the amount of iron recovered per </w:t>
      </w:r>
      <w:r w:rsidR="00F72142">
        <w:rPr>
          <w:snapToGrid/>
          <w:sz w:val="22"/>
          <w:szCs w:val="22"/>
          <w:lang w:val="en-GB"/>
        </w:rPr>
        <w:t>ton of treated WEEE</w:t>
      </w:r>
      <w:r w:rsidR="005C5C47" w:rsidRPr="00E25C87">
        <w:rPr>
          <w:snapToGrid/>
          <w:sz w:val="22"/>
          <w:szCs w:val="22"/>
          <w:lang w:val="en-GB"/>
        </w:rPr>
        <w:t xml:space="preserve"> is 484.40 kg</w:t>
      </w:r>
      <w:r w:rsidR="00F72142">
        <w:rPr>
          <w:snapToGrid/>
          <w:sz w:val="22"/>
          <w:szCs w:val="22"/>
          <w:lang w:val="en-GB"/>
        </w:rPr>
        <w:t>,</w:t>
      </w:r>
      <w:r w:rsidR="005C5C47" w:rsidRPr="00E25C87">
        <w:rPr>
          <w:snapToGrid/>
          <w:sz w:val="22"/>
          <w:szCs w:val="22"/>
          <w:lang w:val="en-GB"/>
        </w:rPr>
        <w:t xml:space="preserve"> whereas the amount of mixed </w:t>
      </w:r>
      <w:r w:rsidR="00F72142">
        <w:rPr>
          <w:snapToGrid/>
          <w:sz w:val="22"/>
          <w:szCs w:val="22"/>
          <w:lang w:val="en-GB"/>
        </w:rPr>
        <w:t>“</w:t>
      </w:r>
      <w:r w:rsidR="005C5C47" w:rsidRPr="00E25C87">
        <w:rPr>
          <w:snapToGrid/>
          <w:sz w:val="22"/>
          <w:szCs w:val="22"/>
          <w:lang w:val="en-GB"/>
        </w:rPr>
        <w:t>steel and iron</w:t>
      </w:r>
      <w:r w:rsidR="00F72142">
        <w:rPr>
          <w:snapToGrid/>
          <w:sz w:val="22"/>
          <w:szCs w:val="22"/>
          <w:lang w:val="en-GB"/>
        </w:rPr>
        <w:t>”</w:t>
      </w:r>
      <w:r w:rsidR="005C5C47" w:rsidRPr="00E25C87">
        <w:rPr>
          <w:snapToGrid/>
          <w:sz w:val="22"/>
          <w:szCs w:val="22"/>
          <w:lang w:val="en-GB"/>
        </w:rPr>
        <w:t xml:space="preserve"> in R2 category is 648.10 kg</w:t>
      </w:r>
      <w:r w:rsidR="00F72142">
        <w:rPr>
          <w:snapToGrid/>
          <w:sz w:val="22"/>
          <w:szCs w:val="22"/>
          <w:lang w:val="en-GB"/>
        </w:rPr>
        <w:t xml:space="preserve"> per functional unit</w:t>
      </w:r>
      <w:r w:rsidR="005C5C47" w:rsidRPr="00E25C87">
        <w:rPr>
          <w:snapToGrid/>
          <w:sz w:val="22"/>
          <w:szCs w:val="22"/>
          <w:lang w:val="en-GB"/>
        </w:rPr>
        <w:t xml:space="preserve">. </w:t>
      </w:r>
    </w:p>
    <w:p w14:paraId="687B11CE" w14:textId="4BC347AD" w:rsidR="00F76A58" w:rsidRPr="00E25C87" w:rsidRDefault="005C5C47" w:rsidP="00AB35C3">
      <w:pPr>
        <w:pStyle w:val="Abstract"/>
        <w:tabs>
          <w:tab w:val="left" w:pos="6379"/>
        </w:tabs>
        <w:spacing w:line="276" w:lineRule="auto"/>
        <w:ind w:left="0" w:right="-30"/>
        <w:rPr>
          <w:snapToGrid/>
          <w:sz w:val="22"/>
          <w:szCs w:val="22"/>
          <w:lang w:val="en-GB"/>
        </w:rPr>
      </w:pPr>
      <w:r w:rsidRPr="00E25C87">
        <w:rPr>
          <w:snapToGrid/>
          <w:sz w:val="22"/>
          <w:szCs w:val="22"/>
          <w:lang w:val="en-GB"/>
        </w:rPr>
        <w:t xml:space="preserve">The Table </w:t>
      </w:r>
      <w:r w:rsidR="00BE4FFE" w:rsidRPr="00E25C87">
        <w:rPr>
          <w:snapToGrid/>
          <w:sz w:val="22"/>
          <w:szCs w:val="22"/>
          <w:lang w:val="en-GB"/>
        </w:rPr>
        <w:t>7 shows that the environmental impacts of the production of primary iron</w:t>
      </w:r>
      <w:r w:rsidR="00710ED0" w:rsidRPr="00E25C87">
        <w:rPr>
          <w:snapToGrid/>
          <w:sz w:val="22"/>
          <w:szCs w:val="22"/>
          <w:lang w:val="en-GB"/>
        </w:rPr>
        <w:t xml:space="preserve"> (1 kg)</w:t>
      </w:r>
      <w:r w:rsidR="00BE4FFE" w:rsidRPr="00E25C87">
        <w:rPr>
          <w:snapToGrid/>
          <w:sz w:val="22"/>
          <w:szCs w:val="22"/>
          <w:lang w:val="en-GB"/>
        </w:rPr>
        <w:t xml:space="preserve"> generate</w:t>
      </w:r>
      <w:r w:rsidR="00064B85" w:rsidRPr="00E25C87">
        <w:rPr>
          <w:snapToGrid/>
          <w:sz w:val="22"/>
          <w:szCs w:val="22"/>
          <w:lang w:val="en-GB"/>
        </w:rPr>
        <w:t>s</w:t>
      </w:r>
      <w:r w:rsidR="00BE4FFE" w:rsidRPr="00E25C87">
        <w:rPr>
          <w:snapToGrid/>
          <w:sz w:val="22"/>
          <w:szCs w:val="22"/>
          <w:lang w:val="en-GB"/>
        </w:rPr>
        <w:t xml:space="preserve"> </w:t>
      </w:r>
      <w:r w:rsidR="00710ED0" w:rsidRPr="00E25C87">
        <w:rPr>
          <w:snapToGrid/>
          <w:sz w:val="22"/>
          <w:szCs w:val="22"/>
          <w:lang w:val="en-GB"/>
        </w:rPr>
        <w:t>0.18 kg CO</w:t>
      </w:r>
      <w:r w:rsidR="00710ED0" w:rsidRPr="001A4672">
        <w:rPr>
          <w:snapToGrid/>
          <w:sz w:val="22"/>
          <w:szCs w:val="22"/>
          <w:vertAlign w:val="subscript"/>
          <w:lang w:val="en-GB"/>
        </w:rPr>
        <w:t>2</w:t>
      </w:r>
      <w:r w:rsidR="00710ED0" w:rsidRPr="00E25C87">
        <w:rPr>
          <w:snapToGrid/>
          <w:sz w:val="22"/>
          <w:szCs w:val="22"/>
          <w:lang w:val="en-GB"/>
        </w:rPr>
        <w:t xml:space="preserve"> eq. while the production of secondary iron from the R1 category of WEEE </w:t>
      </w:r>
      <w:r w:rsidR="00F72142">
        <w:rPr>
          <w:snapToGrid/>
          <w:sz w:val="22"/>
          <w:szCs w:val="22"/>
          <w:lang w:val="en-GB"/>
        </w:rPr>
        <w:t xml:space="preserve">only </w:t>
      </w:r>
      <w:r w:rsidR="00710ED0" w:rsidRPr="00E25C87">
        <w:rPr>
          <w:snapToGrid/>
          <w:sz w:val="22"/>
          <w:szCs w:val="22"/>
          <w:lang w:val="en-GB"/>
        </w:rPr>
        <w:t>generate</w:t>
      </w:r>
      <w:r w:rsidR="00064B85" w:rsidRPr="00E25C87">
        <w:rPr>
          <w:snapToGrid/>
          <w:sz w:val="22"/>
          <w:szCs w:val="22"/>
          <w:lang w:val="en-GB"/>
        </w:rPr>
        <w:t>s</w:t>
      </w:r>
      <w:r w:rsidR="00710ED0" w:rsidRPr="00E25C87">
        <w:rPr>
          <w:snapToGrid/>
          <w:sz w:val="22"/>
          <w:szCs w:val="22"/>
          <w:lang w:val="en-GB"/>
        </w:rPr>
        <w:t xml:space="preserve"> 0.04 kg CO</w:t>
      </w:r>
      <w:r w:rsidR="00710ED0" w:rsidRPr="00E25C87">
        <w:rPr>
          <w:snapToGrid/>
          <w:sz w:val="22"/>
          <w:szCs w:val="22"/>
          <w:vertAlign w:val="subscript"/>
          <w:lang w:val="en-GB"/>
        </w:rPr>
        <w:t>2</w:t>
      </w:r>
      <w:r w:rsidR="00710ED0" w:rsidRPr="00E25C87">
        <w:rPr>
          <w:snapToGrid/>
          <w:sz w:val="22"/>
          <w:szCs w:val="22"/>
          <w:lang w:val="en-GB"/>
        </w:rPr>
        <w:t xml:space="preserve"> eq. The production of 1 kg of </w:t>
      </w:r>
      <w:r w:rsidR="00F72142">
        <w:rPr>
          <w:snapToGrid/>
          <w:sz w:val="22"/>
          <w:szCs w:val="22"/>
          <w:lang w:val="en-GB"/>
        </w:rPr>
        <w:t>“</w:t>
      </w:r>
      <w:r w:rsidR="00710ED0" w:rsidRPr="00E25C87">
        <w:rPr>
          <w:snapToGrid/>
          <w:sz w:val="22"/>
          <w:szCs w:val="22"/>
          <w:lang w:val="en-GB"/>
        </w:rPr>
        <w:t>mixed steel and iron</w:t>
      </w:r>
      <w:r w:rsidR="00F72142">
        <w:rPr>
          <w:snapToGrid/>
          <w:sz w:val="22"/>
          <w:szCs w:val="22"/>
          <w:lang w:val="en-GB"/>
        </w:rPr>
        <w:t>”</w:t>
      </w:r>
      <w:r w:rsidR="00710ED0" w:rsidRPr="00E25C87">
        <w:rPr>
          <w:snapToGrid/>
          <w:sz w:val="22"/>
          <w:szCs w:val="22"/>
          <w:lang w:val="en-GB"/>
        </w:rPr>
        <w:t xml:space="preserve"> </w:t>
      </w:r>
      <w:r w:rsidR="00F72142">
        <w:rPr>
          <w:snapToGrid/>
          <w:sz w:val="22"/>
          <w:szCs w:val="22"/>
          <w:lang w:val="en-GB"/>
        </w:rPr>
        <w:t xml:space="preserve">with similar percentage composition </w:t>
      </w:r>
      <w:r w:rsidR="00710ED0" w:rsidRPr="00E25C87">
        <w:rPr>
          <w:snapToGrid/>
          <w:sz w:val="22"/>
          <w:szCs w:val="22"/>
          <w:lang w:val="en-GB"/>
        </w:rPr>
        <w:t>contribute</w:t>
      </w:r>
      <w:r w:rsidR="00F72142">
        <w:rPr>
          <w:snapToGrid/>
          <w:sz w:val="22"/>
          <w:szCs w:val="22"/>
          <w:lang w:val="en-GB"/>
        </w:rPr>
        <w:t>s</w:t>
      </w:r>
      <w:r w:rsidR="00710ED0" w:rsidRPr="00E25C87">
        <w:rPr>
          <w:snapToGrid/>
          <w:sz w:val="22"/>
          <w:szCs w:val="22"/>
          <w:lang w:val="en-GB"/>
        </w:rPr>
        <w:t xml:space="preserve"> to climate change by 2.44 kg CO</w:t>
      </w:r>
      <w:r w:rsidR="00710ED0" w:rsidRPr="00E25C87">
        <w:rPr>
          <w:snapToGrid/>
          <w:sz w:val="22"/>
          <w:szCs w:val="22"/>
          <w:vertAlign w:val="subscript"/>
          <w:lang w:val="en-GB"/>
        </w:rPr>
        <w:t>2</w:t>
      </w:r>
      <w:r w:rsidR="00710ED0" w:rsidRPr="00E25C87">
        <w:rPr>
          <w:snapToGrid/>
          <w:sz w:val="22"/>
          <w:szCs w:val="22"/>
          <w:lang w:val="en-GB"/>
        </w:rPr>
        <w:t xml:space="preserve"> eq. </w:t>
      </w:r>
      <w:r w:rsidR="00C41596" w:rsidRPr="00E25C87">
        <w:rPr>
          <w:snapToGrid/>
          <w:sz w:val="22"/>
          <w:szCs w:val="22"/>
          <w:lang w:val="en-GB"/>
        </w:rPr>
        <w:t>while</w:t>
      </w:r>
      <w:r w:rsidR="00710ED0" w:rsidRPr="00E25C87">
        <w:rPr>
          <w:snapToGrid/>
          <w:sz w:val="22"/>
          <w:szCs w:val="22"/>
          <w:lang w:val="en-GB"/>
        </w:rPr>
        <w:t xml:space="preserve"> the recovery of </w:t>
      </w:r>
      <w:r w:rsidR="00F72142">
        <w:rPr>
          <w:snapToGrid/>
          <w:sz w:val="22"/>
          <w:szCs w:val="22"/>
          <w:lang w:val="en-GB"/>
        </w:rPr>
        <w:t xml:space="preserve">“mixed </w:t>
      </w:r>
      <w:r w:rsidR="00710ED0" w:rsidRPr="00E25C87">
        <w:rPr>
          <w:snapToGrid/>
          <w:sz w:val="22"/>
          <w:szCs w:val="22"/>
          <w:lang w:val="en-GB"/>
        </w:rPr>
        <w:t>iron and steel</w:t>
      </w:r>
      <w:r w:rsidR="00F72142">
        <w:rPr>
          <w:snapToGrid/>
          <w:sz w:val="22"/>
          <w:szCs w:val="22"/>
          <w:lang w:val="en-GB"/>
        </w:rPr>
        <w:t>”</w:t>
      </w:r>
      <w:r w:rsidR="00710ED0" w:rsidRPr="00E25C87">
        <w:rPr>
          <w:snapToGrid/>
          <w:sz w:val="22"/>
          <w:szCs w:val="22"/>
          <w:lang w:val="en-GB"/>
        </w:rPr>
        <w:t xml:space="preserve"> from WEEE R2 </w:t>
      </w:r>
      <w:r w:rsidR="00F72142">
        <w:rPr>
          <w:snapToGrid/>
          <w:sz w:val="22"/>
          <w:szCs w:val="22"/>
          <w:lang w:val="en-GB"/>
        </w:rPr>
        <w:t>contributes a lower</w:t>
      </w:r>
      <w:r w:rsidR="00710ED0" w:rsidRPr="00E25C87">
        <w:rPr>
          <w:snapToGrid/>
          <w:sz w:val="22"/>
          <w:szCs w:val="22"/>
          <w:lang w:val="en-GB"/>
        </w:rPr>
        <w:t xml:space="preserve"> 0.13 kg CO</w:t>
      </w:r>
      <w:r w:rsidR="00710ED0" w:rsidRPr="00E25C87">
        <w:rPr>
          <w:snapToGrid/>
          <w:sz w:val="22"/>
          <w:szCs w:val="22"/>
          <w:vertAlign w:val="subscript"/>
          <w:lang w:val="en-GB"/>
        </w:rPr>
        <w:t>2</w:t>
      </w:r>
      <w:r w:rsidR="00710ED0" w:rsidRPr="00E25C87">
        <w:rPr>
          <w:snapToGrid/>
          <w:sz w:val="22"/>
          <w:szCs w:val="22"/>
          <w:lang w:val="en-GB"/>
        </w:rPr>
        <w:t xml:space="preserve"> eq.</w:t>
      </w:r>
      <w:r w:rsidR="00F72142">
        <w:rPr>
          <w:snapToGrid/>
          <w:sz w:val="22"/>
          <w:szCs w:val="22"/>
          <w:lang w:val="en-GB"/>
        </w:rPr>
        <w:t xml:space="preserve"> Similar results can be found also for the other impact categories.  We expect that other WEEE recovered materials (copper, aluminium, glass, concrete, etc) may show the same impact </w:t>
      </w:r>
      <w:r w:rsidR="00B36A92">
        <w:rPr>
          <w:snapToGrid/>
          <w:sz w:val="22"/>
          <w:szCs w:val="22"/>
          <w:lang w:val="en-GB"/>
        </w:rPr>
        <w:t>behaviour</w:t>
      </w:r>
      <w:r w:rsidR="00F72142">
        <w:rPr>
          <w:snapToGrid/>
          <w:sz w:val="22"/>
          <w:szCs w:val="22"/>
          <w:lang w:val="en-GB"/>
        </w:rPr>
        <w:t xml:space="preserve"> and work is in progress to finalize these calculations.</w:t>
      </w:r>
    </w:p>
    <w:p w14:paraId="4B2AD071" w14:textId="77777777" w:rsidR="00AB35C3" w:rsidRPr="00E25C87" w:rsidRDefault="00AB35C3" w:rsidP="009D47BE">
      <w:pPr>
        <w:pStyle w:val="Abstract"/>
        <w:tabs>
          <w:tab w:val="left" w:pos="6379"/>
        </w:tabs>
        <w:spacing w:line="276" w:lineRule="auto"/>
        <w:ind w:right="-30"/>
        <w:rPr>
          <w:b/>
          <w:bCs/>
          <w:snapToGrid/>
          <w:sz w:val="22"/>
          <w:szCs w:val="22"/>
          <w:lang w:val="en-GB"/>
        </w:rPr>
      </w:pPr>
    </w:p>
    <w:p w14:paraId="0EF27C92" w14:textId="654C9218" w:rsidR="00F76A58" w:rsidRPr="00E25C87" w:rsidRDefault="00AB35C3" w:rsidP="00AB35C3">
      <w:pPr>
        <w:pStyle w:val="Abstract"/>
        <w:tabs>
          <w:tab w:val="left" w:pos="6379"/>
        </w:tabs>
        <w:spacing w:line="276" w:lineRule="auto"/>
        <w:ind w:left="0" w:right="-30"/>
        <w:rPr>
          <w:b/>
          <w:bCs/>
          <w:snapToGrid/>
          <w:sz w:val="22"/>
          <w:szCs w:val="22"/>
          <w:lang w:val="en-GB"/>
        </w:rPr>
      </w:pPr>
      <w:r w:rsidRPr="00E25C87">
        <w:rPr>
          <w:szCs w:val="22"/>
          <w:lang w:val="en-GB"/>
        </w:rPr>
        <w:t xml:space="preserve">Table 7. Midpoint results per </w:t>
      </w:r>
      <w:r w:rsidR="007A5C6A" w:rsidRPr="00E25C87">
        <w:rPr>
          <w:szCs w:val="22"/>
          <w:lang w:val="en-GB"/>
        </w:rPr>
        <w:t>kg of primary iron and secondary iron from WEEE of R1 category and steel and iron and secondary iron and steel from WEEE of R2 category.</w:t>
      </w:r>
    </w:p>
    <w:tbl>
      <w:tblPr>
        <w:tblStyle w:val="Grigliatabella6"/>
        <w:tblW w:w="0" w:type="auto"/>
        <w:tblLook w:val="04A0" w:firstRow="1" w:lastRow="0" w:firstColumn="1" w:lastColumn="0" w:noHBand="0" w:noVBand="1"/>
      </w:tblPr>
      <w:tblGrid>
        <w:gridCol w:w="1554"/>
        <w:gridCol w:w="1263"/>
        <w:gridCol w:w="996"/>
        <w:gridCol w:w="1277"/>
        <w:gridCol w:w="1074"/>
        <w:gridCol w:w="1026"/>
      </w:tblGrid>
      <w:tr w:rsidR="00BE4FFE" w:rsidRPr="00E25C87" w14:paraId="209316AB" w14:textId="77777777" w:rsidTr="007A5C6A">
        <w:trPr>
          <w:trHeight w:val="288"/>
        </w:trPr>
        <w:tc>
          <w:tcPr>
            <w:tcW w:w="1554" w:type="dxa"/>
            <w:noWrap/>
            <w:hideMark/>
          </w:tcPr>
          <w:p w14:paraId="5B9039FC"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Impact Category </w:t>
            </w:r>
          </w:p>
        </w:tc>
        <w:tc>
          <w:tcPr>
            <w:tcW w:w="1263" w:type="dxa"/>
            <w:noWrap/>
            <w:hideMark/>
          </w:tcPr>
          <w:p w14:paraId="470D6318"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Unit</w:t>
            </w:r>
          </w:p>
        </w:tc>
        <w:tc>
          <w:tcPr>
            <w:tcW w:w="996" w:type="dxa"/>
            <w:noWrap/>
            <w:hideMark/>
          </w:tcPr>
          <w:p w14:paraId="679F74CC"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Primary iron </w:t>
            </w:r>
          </w:p>
        </w:tc>
        <w:tc>
          <w:tcPr>
            <w:tcW w:w="1277" w:type="dxa"/>
            <w:noWrap/>
            <w:hideMark/>
          </w:tcPr>
          <w:p w14:paraId="6B509138"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Secondary iron (R1)  </w:t>
            </w:r>
          </w:p>
        </w:tc>
        <w:tc>
          <w:tcPr>
            <w:tcW w:w="1074" w:type="dxa"/>
            <w:noWrap/>
            <w:hideMark/>
          </w:tcPr>
          <w:p w14:paraId="0CE00CC1"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Primary iron and steel </w:t>
            </w:r>
          </w:p>
        </w:tc>
        <w:tc>
          <w:tcPr>
            <w:tcW w:w="1026" w:type="dxa"/>
            <w:noWrap/>
            <w:hideMark/>
          </w:tcPr>
          <w:p w14:paraId="0A5601E3" w14:textId="77777777" w:rsidR="00BE4FFE" w:rsidRPr="00E25C87" w:rsidRDefault="00BE4FFE" w:rsidP="00BE4FFE">
            <w:pPr>
              <w:spacing w:line="240" w:lineRule="auto"/>
              <w:jc w:val="left"/>
              <w:rPr>
                <w:rFonts w:ascii="Times New Roman" w:hAnsi="Times New Roman"/>
                <w:b/>
                <w:bCs/>
                <w:sz w:val="18"/>
                <w:szCs w:val="18"/>
                <w:lang w:val="en-GB"/>
              </w:rPr>
            </w:pPr>
            <w:r w:rsidRPr="00E25C87">
              <w:rPr>
                <w:rFonts w:ascii="Times New Roman" w:hAnsi="Times New Roman"/>
                <w:b/>
                <w:bCs/>
                <w:sz w:val="18"/>
                <w:szCs w:val="18"/>
                <w:lang w:val="en-GB"/>
              </w:rPr>
              <w:t xml:space="preserve">Secondary iron and steel (R2) </w:t>
            </w:r>
          </w:p>
        </w:tc>
      </w:tr>
      <w:tr w:rsidR="00BE4FFE" w:rsidRPr="00E25C87" w14:paraId="395FCD68" w14:textId="77777777" w:rsidTr="007A5C6A">
        <w:trPr>
          <w:trHeight w:val="288"/>
        </w:trPr>
        <w:tc>
          <w:tcPr>
            <w:tcW w:w="1554" w:type="dxa"/>
            <w:noWrap/>
            <w:hideMark/>
          </w:tcPr>
          <w:p w14:paraId="45D95040"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Terrestrial acidification</w:t>
            </w:r>
          </w:p>
        </w:tc>
        <w:tc>
          <w:tcPr>
            <w:tcW w:w="1263" w:type="dxa"/>
            <w:noWrap/>
            <w:hideMark/>
          </w:tcPr>
          <w:p w14:paraId="3CE86E95"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SO2 eq</w:t>
            </w:r>
          </w:p>
        </w:tc>
        <w:tc>
          <w:tcPr>
            <w:tcW w:w="996" w:type="dxa"/>
            <w:noWrap/>
            <w:hideMark/>
          </w:tcPr>
          <w:p w14:paraId="3BE720F9"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1.01E-03</w:t>
            </w:r>
          </w:p>
        </w:tc>
        <w:tc>
          <w:tcPr>
            <w:tcW w:w="1277" w:type="dxa"/>
            <w:noWrap/>
            <w:hideMark/>
          </w:tcPr>
          <w:p w14:paraId="2CE8B7F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4.80E-04</w:t>
            </w:r>
          </w:p>
        </w:tc>
        <w:tc>
          <w:tcPr>
            <w:tcW w:w="1074" w:type="dxa"/>
            <w:noWrap/>
            <w:hideMark/>
          </w:tcPr>
          <w:p w14:paraId="76E556F7"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1.40E-02</w:t>
            </w:r>
          </w:p>
        </w:tc>
        <w:tc>
          <w:tcPr>
            <w:tcW w:w="1026" w:type="dxa"/>
            <w:noWrap/>
            <w:hideMark/>
          </w:tcPr>
          <w:p w14:paraId="5746275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4.60E-04</w:t>
            </w:r>
          </w:p>
        </w:tc>
      </w:tr>
      <w:tr w:rsidR="00BE4FFE" w:rsidRPr="00E25C87" w14:paraId="2D203981" w14:textId="77777777" w:rsidTr="007A5C6A">
        <w:trPr>
          <w:trHeight w:val="288"/>
        </w:trPr>
        <w:tc>
          <w:tcPr>
            <w:tcW w:w="1554" w:type="dxa"/>
            <w:noWrap/>
            <w:hideMark/>
          </w:tcPr>
          <w:p w14:paraId="2B57ED58"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Human toxicity</w:t>
            </w:r>
          </w:p>
        </w:tc>
        <w:tc>
          <w:tcPr>
            <w:tcW w:w="1263" w:type="dxa"/>
            <w:noWrap/>
            <w:hideMark/>
          </w:tcPr>
          <w:p w14:paraId="67390549"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1,4-DB eq</w:t>
            </w:r>
          </w:p>
        </w:tc>
        <w:tc>
          <w:tcPr>
            <w:tcW w:w="996" w:type="dxa"/>
            <w:noWrap/>
            <w:hideMark/>
          </w:tcPr>
          <w:p w14:paraId="118CA3D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2.58E-02</w:t>
            </w:r>
          </w:p>
        </w:tc>
        <w:tc>
          <w:tcPr>
            <w:tcW w:w="1277" w:type="dxa"/>
            <w:noWrap/>
            <w:hideMark/>
          </w:tcPr>
          <w:p w14:paraId="5B75BB7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-6.39E-02</w:t>
            </w:r>
          </w:p>
        </w:tc>
        <w:tc>
          <w:tcPr>
            <w:tcW w:w="1074" w:type="dxa"/>
            <w:noWrap/>
            <w:hideMark/>
          </w:tcPr>
          <w:p w14:paraId="4EA631C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1.38E+00</w:t>
            </w:r>
          </w:p>
        </w:tc>
        <w:tc>
          <w:tcPr>
            <w:tcW w:w="1026" w:type="dxa"/>
            <w:noWrap/>
            <w:hideMark/>
          </w:tcPr>
          <w:p w14:paraId="58CF8B4F"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2.70E-02</w:t>
            </w:r>
          </w:p>
        </w:tc>
      </w:tr>
      <w:tr w:rsidR="00BE4FFE" w:rsidRPr="00E25C87" w14:paraId="5DB0E7B4" w14:textId="77777777" w:rsidTr="007A5C6A">
        <w:trPr>
          <w:trHeight w:val="288"/>
        </w:trPr>
        <w:tc>
          <w:tcPr>
            <w:tcW w:w="1554" w:type="dxa"/>
            <w:noWrap/>
            <w:hideMark/>
          </w:tcPr>
          <w:p w14:paraId="484AE19B"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Marine eutrophication</w:t>
            </w:r>
          </w:p>
        </w:tc>
        <w:tc>
          <w:tcPr>
            <w:tcW w:w="1263" w:type="dxa"/>
            <w:noWrap/>
            <w:hideMark/>
          </w:tcPr>
          <w:p w14:paraId="7BBDC5AE"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N eq</w:t>
            </w:r>
          </w:p>
        </w:tc>
        <w:tc>
          <w:tcPr>
            <w:tcW w:w="996" w:type="dxa"/>
            <w:noWrap/>
            <w:hideMark/>
          </w:tcPr>
          <w:p w14:paraId="3A55A44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1.10E-04</w:t>
            </w:r>
          </w:p>
        </w:tc>
        <w:tc>
          <w:tcPr>
            <w:tcW w:w="1277" w:type="dxa"/>
            <w:noWrap/>
            <w:hideMark/>
          </w:tcPr>
          <w:p w14:paraId="028B888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5.50E-04</w:t>
            </w:r>
          </w:p>
        </w:tc>
        <w:tc>
          <w:tcPr>
            <w:tcW w:w="1074" w:type="dxa"/>
            <w:noWrap/>
            <w:hideMark/>
          </w:tcPr>
          <w:p w14:paraId="3E00F23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2.29E-03</w:t>
            </w:r>
          </w:p>
        </w:tc>
        <w:tc>
          <w:tcPr>
            <w:tcW w:w="1026" w:type="dxa"/>
            <w:noWrap/>
            <w:hideMark/>
          </w:tcPr>
          <w:p w14:paraId="45580B28"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3.50E-04</w:t>
            </w:r>
          </w:p>
        </w:tc>
      </w:tr>
      <w:tr w:rsidR="00BE4FFE" w:rsidRPr="00E25C87" w14:paraId="6DC16A6F" w14:textId="77777777" w:rsidTr="007A5C6A">
        <w:trPr>
          <w:trHeight w:val="288"/>
        </w:trPr>
        <w:tc>
          <w:tcPr>
            <w:tcW w:w="1554" w:type="dxa"/>
            <w:noWrap/>
            <w:hideMark/>
          </w:tcPr>
          <w:p w14:paraId="66B5CCFD"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Terrestrial ecotoxicity</w:t>
            </w:r>
          </w:p>
        </w:tc>
        <w:tc>
          <w:tcPr>
            <w:tcW w:w="1263" w:type="dxa"/>
            <w:noWrap/>
            <w:hideMark/>
          </w:tcPr>
          <w:p w14:paraId="6785F5A0"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1,4-DB eq</w:t>
            </w:r>
          </w:p>
        </w:tc>
        <w:tc>
          <w:tcPr>
            <w:tcW w:w="996" w:type="dxa"/>
            <w:noWrap/>
            <w:hideMark/>
          </w:tcPr>
          <w:p w14:paraId="192CF4A9"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8.77E-06</w:t>
            </w:r>
          </w:p>
        </w:tc>
        <w:tc>
          <w:tcPr>
            <w:tcW w:w="1277" w:type="dxa"/>
            <w:noWrap/>
            <w:hideMark/>
          </w:tcPr>
          <w:p w14:paraId="6CB2C2B2"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1.12E-05</w:t>
            </w:r>
          </w:p>
        </w:tc>
        <w:tc>
          <w:tcPr>
            <w:tcW w:w="1074" w:type="dxa"/>
            <w:noWrap/>
            <w:hideMark/>
          </w:tcPr>
          <w:p w14:paraId="20E4158F"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4.24E-04</w:t>
            </w:r>
          </w:p>
        </w:tc>
        <w:tc>
          <w:tcPr>
            <w:tcW w:w="1026" w:type="dxa"/>
            <w:noWrap/>
            <w:hideMark/>
          </w:tcPr>
          <w:p w14:paraId="691BE23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2.80E-05</w:t>
            </w:r>
          </w:p>
        </w:tc>
      </w:tr>
      <w:tr w:rsidR="00BE4FFE" w:rsidRPr="00E25C87" w14:paraId="61B3E029" w14:textId="77777777" w:rsidTr="007A5C6A">
        <w:trPr>
          <w:trHeight w:val="288"/>
        </w:trPr>
        <w:tc>
          <w:tcPr>
            <w:tcW w:w="1554" w:type="dxa"/>
            <w:noWrap/>
            <w:hideMark/>
          </w:tcPr>
          <w:p w14:paraId="301D0F19"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Water depletion</w:t>
            </w:r>
          </w:p>
        </w:tc>
        <w:tc>
          <w:tcPr>
            <w:tcW w:w="1263" w:type="dxa"/>
            <w:noWrap/>
            <w:hideMark/>
          </w:tcPr>
          <w:p w14:paraId="65D905C6"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m3</w:t>
            </w:r>
          </w:p>
        </w:tc>
        <w:tc>
          <w:tcPr>
            <w:tcW w:w="996" w:type="dxa"/>
            <w:noWrap/>
            <w:hideMark/>
          </w:tcPr>
          <w:p w14:paraId="51BF7903"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2.37E+00</w:t>
            </w:r>
          </w:p>
        </w:tc>
        <w:tc>
          <w:tcPr>
            <w:tcW w:w="1277" w:type="dxa"/>
            <w:noWrap/>
            <w:hideMark/>
          </w:tcPr>
          <w:p w14:paraId="39923A23"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5.22E-01</w:t>
            </w:r>
          </w:p>
        </w:tc>
        <w:tc>
          <w:tcPr>
            <w:tcW w:w="1074" w:type="dxa"/>
            <w:noWrap/>
            <w:hideMark/>
          </w:tcPr>
          <w:p w14:paraId="39CD269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5.86E+01</w:t>
            </w:r>
          </w:p>
        </w:tc>
        <w:tc>
          <w:tcPr>
            <w:tcW w:w="1026" w:type="dxa"/>
            <w:noWrap/>
            <w:hideMark/>
          </w:tcPr>
          <w:p w14:paraId="0E4E021E"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3.39E-01</w:t>
            </w:r>
          </w:p>
        </w:tc>
      </w:tr>
      <w:tr w:rsidR="00BE4FFE" w:rsidRPr="00E25C87" w14:paraId="28A916D1" w14:textId="77777777" w:rsidTr="007A5C6A">
        <w:trPr>
          <w:trHeight w:val="288"/>
        </w:trPr>
        <w:tc>
          <w:tcPr>
            <w:tcW w:w="1554" w:type="dxa"/>
            <w:noWrap/>
            <w:hideMark/>
          </w:tcPr>
          <w:p w14:paraId="4CAB65A0"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Climate Change</w:t>
            </w:r>
          </w:p>
        </w:tc>
        <w:tc>
          <w:tcPr>
            <w:tcW w:w="1263" w:type="dxa"/>
            <w:noWrap/>
            <w:hideMark/>
          </w:tcPr>
          <w:p w14:paraId="66669812"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CO2 eq</w:t>
            </w:r>
          </w:p>
        </w:tc>
        <w:tc>
          <w:tcPr>
            <w:tcW w:w="996" w:type="dxa"/>
            <w:noWrap/>
            <w:hideMark/>
          </w:tcPr>
          <w:p w14:paraId="08E4C86E" w14:textId="2B4A71DA"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0.18</w:t>
            </w:r>
          </w:p>
        </w:tc>
        <w:tc>
          <w:tcPr>
            <w:tcW w:w="1277" w:type="dxa"/>
            <w:noWrap/>
          </w:tcPr>
          <w:p w14:paraId="4BE9C7ED" w14:textId="50B2CDF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0.04</w:t>
            </w:r>
          </w:p>
        </w:tc>
        <w:tc>
          <w:tcPr>
            <w:tcW w:w="1074" w:type="dxa"/>
            <w:noWrap/>
          </w:tcPr>
          <w:p w14:paraId="62A7B021" w14:textId="7F6B60DD"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2.44</w:t>
            </w:r>
          </w:p>
        </w:tc>
        <w:tc>
          <w:tcPr>
            <w:tcW w:w="1026" w:type="dxa"/>
            <w:noWrap/>
          </w:tcPr>
          <w:p w14:paraId="561CC471" w14:textId="10D47686"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0.13</w:t>
            </w:r>
          </w:p>
        </w:tc>
      </w:tr>
      <w:tr w:rsidR="00BE4FFE" w:rsidRPr="00E25C87" w14:paraId="45A7D6DF" w14:textId="77777777" w:rsidTr="007A5C6A">
        <w:trPr>
          <w:trHeight w:val="288"/>
        </w:trPr>
        <w:tc>
          <w:tcPr>
            <w:tcW w:w="1554" w:type="dxa"/>
            <w:noWrap/>
            <w:hideMark/>
          </w:tcPr>
          <w:p w14:paraId="79DD1BC0"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lastRenderedPageBreak/>
              <w:t>Photochemical oxidant formation</w:t>
            </w:r>
          </w:p>
        </w:tc>
        <w:tc>
          <w:tcPr>
            <w:tcW w:w="1263" w:type="dxa"/>
            <w:noWrap/>
            <w:hideMark/>
          </w:tcPr>
          <w:p w14:paraId="327E8E0F"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NMVOC</w:t>
            </w:r>
          </w:p>
        </w:tc>
        <w:tc>
          <w:tcPr>
            <w:tcW w:w="996" w:type="dxa"/>
            <w:noWrap/>
            <w:hideMark/>
          </w:tcPr>
          <w:p w14:paraId="3C1CB249"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9.00E-04</w:t>
            </w:r>
          </w:p>
        </w:tc>
        <w:tc>
          <w:tcPr>
            <w:tcW w:w="1277" w:type="dxa"/>
            <w:noWrap/>
            <w:hideMark/>
          </w:tcPr>
          <w:p w14:paraId="33F07662"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3.10E-04</w:t>
            </w:r>
          </w:p>
        </w:tc>
        <w:tc>
          <w:tcPr>
            <w:tcW w:w="1074" w:type="dxa"/>
            <w:noWrap/>
            <w:hideMark/>
          </w:tcPr>
          <w:p w14:paraId="2AFA5B9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9.66E-03</w:t>
            </w:r>
          </w:p>
        </w:tc>
        <w:tc>
          <w:tcPr>
            <w:tcW w:w="1026" w:type="dxa"/>
            <w:noWrap/>
            <w:hideMark/>
          </w:tcPr>
          <w:p w14:paraId="61990028"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4.20E-04</w:t>
            </w:r>
          </w:p>
        </w:tc>
      </w:tr>
      <w:tr w:rsidR="00BE4FFE" w:rsidRPr="00E25C87" w14:paraId="65C0BBBC" w14:textId="77777777" w:rsidTr="007A5C6A">
        <w:trPr>
          <w:trHeight w:val="288"/>
        </w:trPr>
        <w:tc>
          <w:tcPr>
            <w:tcW w:w="1554" w:type="dxa"/>
            <w:noWrap/>
            <w:hideMark/>
          </w:tcPr>
          <w:p w14:paraId="52EB08C5"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Freshwater ecotoxicity</w:t>
            </w:r>
          </w:p>
        </w:tc>
        <w:tc>
          <w:tcPr>
            <w:tcW w:w="1263" w:type="dxa"/>
            <w:noWrap/>
            <w:hideMark/>
          </w:tcPr>
          <w:p w14:paraId="1DBC4CA7"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1,4-DB eq</w:t>
            </w:r>
          </w:p>
        </w:tc>
        <w:tc>
          <w:tcPr>
            <w:tcW w:w="996" w:type="dxa"/>
            <w:noWrap/>
            <w:hideMark/>
          </w:tcPr>
          <w:p w14:paraId="5BD56966"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8.90E-04</w:t>
            </w:r>
          </w:p>
        </w:tc>
        <w:tc>
          <w:tcPr>
            <w:tcW w:w="1277" w:type="dxa"/>
            <w:noWrap/>
            <w:hideMark/>
          </w:tcPr>
          <w:p w14:paraId="253959E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-7.29E-02</w:t>
            </w:r>
          </w:p>
        </w:tc>
        <w:tc>
          <w:tcPr>
            <w:tcW w:w="1074" w:type="dxa"/>
            <w:noWrap/>
            <w:hideMark/>
          </w:tcPr>
          <w:p w14:paraId="2439CED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1.92E-01</w:t>
            </w:r>
          </w:p>
        </w:tc>
        <w:tc>
          <w:tcPr>
            <w:tcW w:w="1026" w:type="dxa"/>
            <w:noWrap/>
            <w:hideMark/>
          </w:tcPr>
          <w:p w14:paraId="58C0566F"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8.00E-04</w:t>
            </w:r>
          </w:p>
        </w:tc>
      </w:tr>
      <w:tr w:rsidR="00BE4FFE" w:rsidRPr="00E25C87" w14:paraId="237B983D" w14:textId="77777777" w:rsidTr="007A5C6A">
        <w:trPr>
          <w:trHeight w:val="288"/>
        </w:trPr>
        <w:tc>
          <w:tcPr>
            <w:tcW w:w="1554" w:type="dxa"/>
            <w:noWrap/>
            <w:hideMark/>
          </w:tcPr>
          <w:p w14:paraId="2DEF0C37"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Natural land transformation</w:t>
            </w:r>
          </w:p>
        </w:tc>
        <w:tc>
          <w:tcPr>
            <w:tcW w:w="1263" w:type="dxa"/>
            <w:noWrap/>
            <w:hideMark/>
          </w:tcPr>
          <w:p w14:paraId="46B4698E"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m2</w:t>
            </w:r>
          </w:p>
        </w:tc>
        <w:tc>
          <w:tcPr>
            <w:tcW w:w="996" w:type="dxa"/>
            <w:noWrap/>
            <w:hideMark/>
          </w:tcPr>
          <w:p w14:paraId="124242AF"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1.60E-04</w:t>
            </w:r>
          </w:p>
        </w:tc>
        <w:tc>
          <w:tcPr>
            <w:tcW w:w="1277" w:type="dxa"/>
            <w:noWrap/>
            <w:hideMark/>
          </w:tcPr>
          <w:p w14:paraId="1304DBBD"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4.70E-05</w:t>
            </w:r>
          </w:p>
        </w:tc>
        <w:tc>
          <w:tcPr>
            <w:tcW w:w="1074" w:type="dxa"/>
            <w:noWrap/>
            <w:hideMark/>
          </w:tcPr>
          <w:p w14:paraId="3C6EA2EC"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2.95E-04</w:t>
            </w:r>
          </w:p>
        </w:tc>
        <w:tc>
          <w:tcPr>
            <w:tcW w:w="1026" w:type="dxa"/>
            <w:noWrap/>
            <w:hideMark/>
          </w:tcPr>
          <w:p w14:paraId="7B6D1996"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3.70E-05</w:t>
            </w:r>
          </w:p>
        </w:tc>
      </w:tr>
      <w:tr w:rsidR="00BE4FFE" w:rsidRPr="00E25C87" w14:paraId="277AA666" w14:textId="77777777" w:rsidTr="007A5C6A">
        <w:trPr>
          <w:trHeight w:val="288"/>
        </w:trPr>
        <w:tc>
          <w:tcPr>
            <w:tcW w:w="1554" w:type="dxa"/>
            <w:noWrap/>
            <w:hideMark/>
          </w:tcPr>
          <w:p w14:paraId="578C22AB"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Ionising radiation</w:t>
            </w:r>
          </w:p>
        </w:tc>
        <w:tc>
          <w:tcPr>
            <w:tcW w:w="1263" w:type="dxa"/>
            <w:noWrap/>
            <w:hideMark/>
          </w:tcPr>
          <w:p w14:paraId="361AD10A"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U235 eq</w:t>
            </w:r>
          </w:p>
        </w:tc>
        <w:tc>
          <w:tcPr>
            <w:tcW w:w="996" w:type="dxa"/>
            <w:noWrap/>
            <w:hideMark/>
          </w:tcPr>
          <w:p w14:paraId="3DD23B1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1.30E-02</w:t>
            </w:r>
          </w:p>
        </w:tc>
        <w:tc>
          <w:tcPr>
            <w:tcW w:w="1277" w:type="dxa"/>
            <w:noWrap/>
            <w:hideMark/>
          </w:tcPr>
          <w:p w14:paraId="45317549"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2.14E-02</w:t>
            </w:r>
          </w:p>
        </w:tc>
        <w:tc>
          <w:tcPr>
            <w:tcW w:w="1074" w:type="dxa"/>
            <w:noWrap/>
            <w:hideMark/>
          </w:tcPr>
          <w:p w14:paraId="156D5780"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2.47E-01</w:t>
            </w:r>
          </w:p>
        </w:tc>
        <w:tc>
          <w:tcPr>
            <w:tcW w:w="1026" w:type="dxa"/>
            <w:noWrap/>
            <w:hideMark/>
          </w:tcPr>
          <w:p w14:paraId="1EC2852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1.53E-02</w:t>
            </w:r>
          </w:p>
        </w:tc>
      </w:tr>
      <w:tr w:rsidR="00BE4FFE" w:rsidRPr="00E25C87" w14:paraId="36B7220C" w14:textId="77777777" w:rsidTr="007A5C6A">
        <w:trPr>
          <w:trHeight w:val="288"/>
        </w:trPr>
        <w:tc>
          <w:tcPr>
            <w:tcW w:w="1554" w:type="dxa"/>
            <w:noWrap/>
            <w:hideMark/>
          </w:tcPr>
          <w:p w14:paraId="274E553F"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Agricultural land occupation</w:t>
            </w:r>
          </w:p>
        </w:tc>
        <w:tc>
          <w:tcPr>
            <w:tcW w:w="1263" w:type="dxa"/>
            <w:noWrap/>
            <w:hideMark/>
          </w:tcPr>
          <w:p w14:paraId="03292297"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m2*a</w:t>
            </w:r>
          </w:p>
        </w:tc>
        <w:tc>
          <w:tcPr>
            <w:tcW w:w="996" w:type="dxa"/>
            <w:noWrap/>
            <w:hideMark/>
          </w:tcPr>
          <w:p w14:paraId="5C20A00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2.21E-03</w:t>
            </w:r>
          </w:p>
        </w:tc>
        <w:tc>
          <w:tcPr>
            <w:tcW w:w="1277" w:type="dxa"/>
            <w:noWrap/>
            <w:hideMark/>
          </w:tcPr>
          <w:p w14:paraId="6AA7BD41"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4.51E-03</w:t>
            </w:r>
          </w:p>
        </w:tc>
        <w:tc>
          <w:tcPr>
            <w:tcW w:w="1074" w:type="dxa"/>
            <w:noWrap/>
            <w:hideMark/>
          </w:tcPr>
          <w:p w14:paraId="40144480"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1.83E-01</w:t>
            </w:r>
          </w:p>
        </w:tc>
        <w:tc>
          <w:tcPr>
            <w:tcW w:w="1026" w:type="dxa"/>
            <w:noWrap/>
            <w:hideMark/>
          </w:tcPr>
          <w:p w14:paraId="6494ACD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2.99E-03</w:t>
            </w:r>
          </w:p>
        </w:tc>
      </w:tr>
      <w:tr w:rsidR="00BE4FFE" w:rsidRPr="00E25C87" w14:paraId="7E9FCF0F" w14:textId="77777777" w:rsidTr="007A5C6A">
        <w:trPr>
          <w:trHeight w:val="288"/>
        </w:trPr>
        <w:tc>
          <w:tcPr>
            <w:tcW w:w="1554" w:type="dxa"/>
            <w:noWrap/>
            <w:hideMark/>
          </w:tcPr>
          <w:p w14:paraId="2AA208D1"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Freshwater eutrophication</w:t>
            </w:r>
          </w:p>
        </w:tc>
        <w:tc>
          <w:tcPr>
            <w:tcW w:w="1263" w:type="dxa"/>
            <w:noWrap/>
            <w:hideMark/>
          </w:tcPr>
          <w:p w14:paraId="25390754"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P eq</w:t>
            </w:r>
          </w:p>
        </w:tc>
        <w:tc>
          <w:tcPr>
            <w:tcW w:w="996" w:type="dxa"/>
            <w:noWrap/>
            <w:hideMark/>
          </w:tcPr>
          <w:p w14:paraId="17DAED59"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2.46E-05</w:t>
            </w:r>
          </w:p>
        </w:tc>
        <w:tc>
          <w:tcPr>
            <w:tcW w:w="1277" w:type="dxa"/>
            <w:noWrap/>
            <w:hideMark/>
          </w:tcPr>
          <w:p w14:paraId="44D01BEA"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1.19E-05</w:t>
            </w:r>
          </w:p>
        </w:tc>
        <w:tc>
          <w:tcPr>
            <w:tcW w:w="1074" w:type="dxa"/>
            <w:noWrap/>
            <w:hideMark/>
          </w:tcPr>
          <w:p w14:paraId="7ECBBCC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7.77E-04</w:t>
            </w:r>
          </w:p>
        </w:tc>
        <w:tc>
          <w:tcPr>
            <w:tcW w:w="1026" w:type="dxa"/>
            <w:noWrap/>
            <w:hideMark/>
          </w:tcPr>
          <w:p w14:paraId="6915A67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1.55E-05</w:t>
            </w:r>
          </w:p>
        </w:tc>
      </w:tr>
      <w:tr w:rsidR="00BE4FFE" w:rsidRPr="00E25C87" w14:paraId="7F8FBF18" w14:textId="77777777" w:rsidTr="007A5C6A">
        <w:trPr>
          <w:trHeight w:val="288"/>
        </w:trPr>
        <w:tc>
          <w:tcPr>
            <w:tcW w:w="1554" w:type="dxa"/>
            <w:noWrap/>
            <w:hideMark/>
          </w:tcPr>
          <w:p w14:paraId="53D77C9E"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Marine ecotoxicity</w:t>
            </w:r>
          </w:p>
        </w:tc>
        <w:tc>
          <w:tcPr>
            <w:tcW w:w="1263" w:type="dxa"/>
            <w:noWrap/>
            <w:hideMark/>
          </w:tcPr>
          <w:p w14:paraId="0CD49125"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1,4-DB eq</w:t>
            </w:r>
          </w:p>
        </w:tc>
        <w:tc>
          <w:tcPr>
            <w:tcW w:w="996" w:type="dxa"/>
            <w:noWrap/>
            <w:hideMark/>
          </w:tcPr>
          <w:p w14:paraId="51D0E07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8.70E-04</w:t>
            </w:r>
          </w:p>
        </w:tc>
        <w:tc>
          <w:tcPr>
            <w:tcW w:w="1277" w:type="dxa"/>
            <w:noWrap/>
            <w:hideMark/>
          </w:tcPr>
          <w:p w14:paraId="553F9BD4"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-7.06E-02</w:t>
            </w:r>
          </w:p>
        </w:tc>
        <w:tc>
          <w:tcPr>
            <w:tcW w:w="1074" w:type="dxa"/>
            <w:noWrap/>
            <w:hideMark/>
          </w:tcPr>
          <w:p w14:paraId="0449FE1E"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1.96E-01</w:t>
            </w:r>
          </w:p>
        </w:tc>
        <w:tc>
          <w:tcPr>
            <w:tcW w:w="1026" w:type="dxa"/>
            <w:noWrap/>
            <w:hideMark/>
          </w:tcPr>
          <w:p w14:paraId="25A6802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8.60E-04</w:t>
            </w:r>
          </w:p>
        </w:tc>
      </w:tr>
      <w:tr w:rsidR="00BE4FFE" w:rsidRPr="00E25C87" w14:paraId="38D12DAF" w14:textId="77777777" w:rsidTr="007A5C6A">
        <w:trPr>
          <w:trHeight w:val="288"/>
        </w:trPr>
        <w:tc>
          <w:tcPr>
            <w:tcW w:w="1554" w:type="dxa"/>
            <w:noWrap/>
            <w:hideMark/>
          </w:tcPr>
          <w:p w14:paraId="48A2F4E1"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Particulate matter formation</w:t>
            </w:r>
          </w:p>
        </w:tc>
        <w:tc>
          <w:tcPr>
            <w:tcW w:w="1263" w:type="dxa"/>
            <w:noWrap/>
            <w:hideMark/>
          </w:tcPr>
          <w:p w14:paraId="2E992AA4"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PM10 eq</w:t>
            </w:r>
          </w:p>
        </w:tc>
        <w:tc>
          <w:tcPr>
            <w:tcW w:w="996" w:type="dxa"/>
            <w:noWrap/>
            <w:hideMark/>
          </w:tcPr>
          <w:p w14:paraId="45059352"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4.80E-04</w:t>
            </w:r>
          </w:p>
        </w:tc>
        <w:tc>
          <w:tcPr>
            <w:tcW w:w="1277" w:type="dxa"/>
            <w:noWrap/>
            <w:hideMark/>
          </w:tcPr>
          <w:p w14:paraId="01F17E0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1.80E-04</w:t>
            </w:r>
          </w:p>
        </w:tc>
        <w:tc>
          <w:tcPr>
            <w:tcW w:w="1074" w:type="dxa"/>
            <w:noWrap/>
            <w:hideMark/>
          </w:tcPr>
          <w:p w14:paraId="287D29E3"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1.23E-02</w:t>
            </w:r>
          </w:p>
        </w:tc>
        <w:tc>
          <w:tcPr>
            <w:tcW w:w="1026" w:type="dxa"/>
            <w:noWrap/>
            <w:hideMark/>
          </w:tcPr>
          <w:p w14:paraId="64BCC4A7"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1.80E-04</w:t>
            </w:r>
          </w:p>
        </w:tc>
      </w:tr>
      <w:tr w:rsidR="00BE4FFE" w:rsidRPr="00E25C87" w14:paraId="1FFDF04F" w14:textId="77777777" w:rsidTr="007A5C6A">
        <w:trPr>
          <w:trHeight w:val="288"/>
        </w:trPr>
        <w:tc>
          <w:tcPr>
            <w:tcW w:w="1554" w:type="dxa"/>
            <w:noWrap/>
            <w:hideMark/>
          </w:tcPr>
          <w:p w14:paraId="4BD26572"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Ozone depletion</w:t>
            </w:r>
          </w:p>
        </w:tc>
        <w:tc>
          <w:tcPr>
            <w:tcW w:w="1263" w:type="dxa"/>
            <w:noWrap/>
            <w:hideMark/>
          </w:tcPr>
          <w:p w14:paraId="618A9C35"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CFC-11 eq</w:t>
            </w:r>
          </w:p>
        </w:tc>
        <w:tc>
          <w:tcPr>
            <w:tcW w:w="996" w:type="dxa"/>
            <w:noWrap/>
            <w:hideMark/>
          </w:tcPr>
          <w:p w14:paraId="1D977645"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1.18E-08</w:t>
            </w:r>
          </w:p>
        </w:tc>
        <w:tc>
          <w:tcPr>
            <w:tcW w:w="1277" w:type="dxa"/>
            <w:noWrap/>
            <w:hideMark/>
          </w:tcPr>
          <w:p w14:paraId="56A106D0"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2.68E-08</w:t>
            </w:r>
          </w:p>
        </w:tc>
        <w:tc>
          <w:tcPr>
            <w:tcW w:w="1074" w:type="dxa"/>
            <w:noWrap/>
            <w:hideMark/>
          </w:tcPr>
          <w:p w14:paraId="7A8F39E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1.50E-07</w:t>
            </w:r>
          </w:p>
        </w:tc>
        <w:tc>
          <w:tcPr>
            <w:tcW w:w="1026" w:type="dxa"/>
            <w:noWrap/>
            <w:hideMark/>
          </w:tcPr>
          <w:p w14:paraId="63ADDCD6"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2.13E-08</w:t>
            </w:r>
          </w:p>
        </w:tc>
      </w:tr>
      <w:tr w:rsidR="00BE4FFE" w:rsidRPr="00E25C87" w14:paraId="3F9F979F" w14:textId="77777777" w:rsidTr="007A5C6A">
        <w:trPr>
          <w:trHeight w:val="288"/>
        </w:trPr>
        <w:tc>
          <w:tcPr>
            <w:tcW w:w="1554" w:type="dxa"/>
            <w:noWrap/>
            <w:hideMark/>
          </w:tcPr>
          <w:p w14:paraId="6BF8D61F"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Metal depletion</w:t>
            </w:r>
          </w:p>
        </w:tc>
        <w:tc>
          <w:tcPr>
            <w:tcW w:w="1263" w:type="dxa"/>
            <w:noWrap/>
            <w:hideMark/>
          </w:tcPr>
          <w:p w14:paraId="443B51C8"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Fe eq</w:t>
            </w:r>
          </w:p>
        </w:tc>
        <w:tc>
          <w:tcPr>
            <w:tcW w:w="996" w:type="dxa"/>
            <w:noWrap/>
            <w:hideMark/>
          </w:tcPr>
          <w:p w14:paraId="32BD3C80"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8.92E-01</w:t>
            </w:r>
          </w:p>
        </w:tc>
        <w:tc>
          <w:tcPr>
            <w:tcW w:w="1277" w:type="dxa"/>
            <w:noWrap/>
            <w:hideMark/>
          </w:tcPr>
          <w:p w14:paraId="20C6C1FC"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5.91E-03</w:t>
            </w:r>
          </w:p>
        </w:tc>
        <w:tc>
          <w:tcPr>
            <w:tcW w:w="1074" w:type="dxa"/>
            <w:noWrap/>
            <w:hideMark/>
          </w:tcPr>
          <w:p w14:paraId="040C9EF7"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7.26E+00</w:t>
            </w:r>
          </w:p>
        </w:tc>
        <w:tc>
          <w:tcPr>
            <w:tcW w:w="1026" w:type="dxa"/>
            <w:noWrap/>
            <w:hideMark/>
          </w:tcPr>
          <w:p w14:paraId="733B28F8"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5.80E-03</w:t>
            </w:r>
          </w:p>
        </w:tc>
      </w:tr>
      <w:tr w:rsidR="00BE4FFE" w:rsidRPr="00E25C87" w14:paraId="4557892B" w14:textId="77777777" w:rsidTr="007A5C6A">
        <w:trPr>
          <w:trHeight w:val="288"/>
        </w:trPr>
        <w:tc>
          <w:tcPr>
            <w:tcW w:w="1554" w:type="dxa"/>
            <w:noWrap/>
            <w:hideMark/>
          </w:tcPr>
          <w:p w14:paraId="68888D65"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Fossil depletion</w:t>
            </w:r>
          </w:p>
        </w:tc>
        <w:tc>
          <w:tcPr>
            <w:tcW w:w="1263" w:type="dxa"/>
            <w:noWrap/>
            <w:hideMark/>
          </w:tcPr>
          <w:p w14:paraId="59A54557"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kg oil eq</w:t>
            </w:r>
          </w:p>
        </w:tc>
        <w:tc>
          <w:tcPr>
            <w:tcW w:w="996" w:type="dxa"/>
            <w:noWrap/>
            <w:hideMark/>
          </w:tcPr>
          <w:p w14:paraId="3461F8CB"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3.03E-02</w:t>
            </w:r>
          </w:p>
        </w:tc>
        <w:tc>
          <w:tcPr>
            <w:tcW w:w="1277" w:type="dxa"/>
            <w:noWrap/>
            <w:hideMark/>
          </w:tcPr>
          <w:p w14:paraId="2D924396"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5.55E-02</w:t>
            </w:r>
          </w:p>
        </w:tc>
        <w:tc>
          <w:tcPr>
            <w:tcW w:w="1074" w:type="dxa"/>
            <w:noWrap/>
            <w:hideMark/>
          </w:tcPr>
          <w:p w14:paraId="5F37A20A"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5.82E-01</w:t>
            </w:r>
          </w:p>
        </w:tc>
        <w:tc>
          <w:tcPr>
            <w:tcW w:w="1026" w:type="dxa"/>
            <w:noWrap/>
            <w:hideMark/>
          </w:tcPr>
          <w:p w14:paraId="74503D96"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4.43E-02</w:t>
            </w:r>
          </w:p>
        </w:tc>
      </w:tr>
      <w:tr w:rsidR="00BE4FFE" w:rsidRPr="00E25C87" w14:paraId="200C2A63" w14:textId="77777777" w:rsidTr="007A5C6A">
        <w:trPr>
          <w:trHeight w:val="288"/>
        </w:trPr>
        <w:tc>
          <w:tcPr>
            <w:tcW w:w="1554" w:type="dxa"/>
            <w:noWrap/>
            <w:hideMark/>
          </w:tcPr>
          <w:p w14:paraId="4A362331"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Urban land occupation</w:t>
            </w:r>
          </w:p>
        </w:tc>
        <w:tc>
          <w:tcPr>
            <w:tcW w:w="1263" w:type="dxa"/>
            <w:noWrap/>
            <w:hideMark/>
          </w:tcPr>
          <w:p w14:paraId="19F0F036" w14:textId="77777777" w:rsidR="00BE4FFE" w:rsidRPr="00E25C87" w:rsidRDefault="00BE4FFE" w:rsidP="00BE4FFE">
            <w:pPr>
              <w:spacing w:line="240" w:lineRule="auto"/>
              <w:jc w:val="left"/>
              <w:rPr>
                <w:rFonts w:ascii="Times New Roman" w:hAnsi="Times New Roman"/>
                <w:sz w:val="18"/>
                <w:szCs w:val="18"/>
                <w:lang w:val="en-GB"/>
              </w:rPr>
            </w:pPr>
            <w:r w:rsidRPr="00E25C87">
              <w:rPr>
                <w:rFonts w:ascii="Times New Roman" w:hAnsi="Times New Roman"/>
                <w:sz w:val="18"/>
                <w:szCs w:val="18"/>
                <w:lang w:val="en-GB"/>
              </w:rPr>
              <w:t>m2*a</w:t>
            </w:r>
          </w:p>
        </w:tc>
        <w:tc>
          <w:tcPr>
            <w:tcW w:w="996" w:type="dxa"/>
            <w:noWrap/>
            <w:hideMark/>
          </w:tcPr>
          <w:p w14:paraId="4B3C0030"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6.23E-03</w:t>
            </w:r>
          </w:p>
        </w:tc>
        <w:tc>
          <w:tcPr>
            <w:tcW w:w="1277" w:type="dxa"/>
            <w:noWrap/>
            <w:hideMark/>
          </w:tcPr>
          <w:p w14:paraId="57E01098"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3.15E-03</w:t>
            </w:r>
          </w:p>
        </w:tc>
        <w:tc>
          <w:tcPr>
            <w:tcW w:w="1074" w:type="dxa"/>
            <w:noWrap/>
            <w:hideMark/>
          </w:tcPr>
          <w:p w14:paraId="49E98B48"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4.61E-02</w:t>
            </w:r>
          </w:p>
        </w:tc>
        <w:tc>
          <w:tcPr>
            <w:tcW w:w="1026" w:type="dxa"/>
            <w:noWrap/>
            <w:hideMark/>
          </w:tcPr>
          <w:p w14:paraId="1F9130DC" w14:textId="77777777" w:rsidR="00BE4FFE" w:rsidRPr="00E25C87" w:rsidRDefault="00BE4FFE" w:rsidP="00BE4FFE">
            <w:pPr>
              <w:spacing w:line="240" w:lineRule="auto"/>
              <w:jc w:val="center"/>
              <w:rPr>
                <w:rFonts w:ascii="Times New Roman" w:hAnsi="Times New Roman"/>
                <w:sz w:val="18"/>
                <w:szCs w:val="18"/>
                <w:lang w:val="en-GB"/>
              </w:rPr>
            </w:pPr>
            <w:r w:rsidRPr="00E25C87">
              <w:rPr>
                <w:rFonts w:ascii="Times New Roman" w:hAnsi="Times New Roman"/>
                <w:sz w:val="18"/>
                <w:szCs w:val="18"/>
                <w:lang w:val="en-GB"/>
              </w:rPr>
              <w:t>3.00E-03</w:t>
            </w:r>
          </w:p>
        </w:tc>
      </w:tr>
    </w:tbl>
    <w:p w14:paraId="594E3C64" w14:textId="77777777" w:rsidR="007A5C6A" w:rsidRPr="00E25C87" w:rsidRDefault="007A5C6A" w:rsidP="007A5C6A">
      <w:pPr>
        <w:pStyle w:val="Abstract"/>
        <w:spacing w:line="276" w:lineRule="auto"/>
        <w:jc w:val="center"/>
        <w:rPr>
          <w:szCs w:val="22"/>
          <w:u w:val="single"/>
          <w:lang w:val="en-GB"/>
        </w:rPr>
      </w:pPr>
      <w:r w:rsidRPr="00E25C87">
        <w:rPr>
          <w:szCs w:val="22"/>
          <w:lang w:val="en-GB"/>
        </w:rPr>
        <w:t>Source: Elaboration of the Authors</w:t>
      </w:r>
    </w:p>
    <w:p w14:paraId="3915B54E" w14:textId="10D951FF" w:rsidR="00BE4FFE" w:rsidRPr="00E25C87" w:rsidRDefault="00BE4FFE" w:rsidP="009D47BE">
      <w:pPr>
        <w:pStyle w:val="Abstract"/>
        <w:tabs>
          <w:tab w:val="left" w:pos="6379"/>
        </w:tabs>
        <w:spacing w:line="276" w:lineRule="auto"/>
        <w:ind w:right="-30"/>
        <w:rPr>
          <w:b/>
          <w:bCs/>
          <w:snapToGrid/>
          <w:sz w:val="22"/>
          <w:szCs w:val="22"/>
          <w:lang w:val="en-GB"/>
        </w:rPr>
      </w:pPr>
    </w:p>
    <w:p w14:paraId="3DE2454C" w14:textId="7EA969C7" w:rsidR="009D47BE" w:rsidRPr="00E25C87" w:rsidRDefault="009D47BE" w:rsidP="009D47BE">
      <w:pPr>
        <w:pStyle w:val="Abstract"/>
        <w:numPr>
          <w:ilvl w:val="1"/>
          <w:numId w:val="44"/>
        </w:numPr>
        <w:tabs>
          <w:tab w:val="left" w:pos="6379"/>
        </w:tabs>
        <w:spacing w:line="276" w:lineRule="auto"/>
        <w:ind w:right="-30"/>
        <w:rPr>
          <w:b/>
          <w:bCs/>
          <w:snapToGrid/>
          <w:sz w:val="22"/>
          <w:szCs w:val="22"/>
          <w:lang w:val="en-GB"/>
        </w:rPr>
      </w:pPr>
      <w:r w:rsidRPr="00E25C87">
        <w:rPr>
          <w:b/>
          <w:bCs/>
          <w:snapToGrid/>
          <w:sz w:val="22"/>
          <w:szCs w:val="22"/>
          <w:lang w:val="en-GB"/>
        </w:rPr>
        <w:t xml:space="preserve">Conclusions and future perspectives </w:t>
      </w:r>
    </w:p>
    <w:p w14:paraId="0BC1B3DB" w14:textId="576BA69A" w:rsidR="009D47BE" w:rsidRPr="00E25C87" w:rsidRDefault="009D47BE" w:rsidP="009D47BE">
      <w:pPr>
        <w:pStyle w:val="Abstract"/>
        <w:tabs>
          <w:tab w:val="left" w:pos="6379"/>
        </w:tabs>
        <w:spacing w:line="276" w:lineRule="auto"/>
        <w:ind w:right="-30"/>
        <w:rPr>
          <w:b/>
          <w:bCs/>
          <w:snapToGrid/>
          <w:sz w:val="22"/>
          <w:szCs w:val="22"/>
          <w:lang w:val="en-GB"/>
        </w:rPr>
      </w:pPr>
    </w:p>
    <w:p w14:paraId="0D6D198F" w14:textId="7A41CFCC" w:rsidR="00D33403" w:rsidRPr="00E25C87" w:rsidRDefault="006F62DC" w:rsidP="00A63764">
      <w:pPr>
        <w:pStyle w:val="Abstract"/>
        <w:tabs>
          <w:tab w:val="left" w:pos="6379"/>
        </w:tabs>
        <w:spacing w:line="276" w:lineRule="auto"/>
        <w:ind w:left="0" w:right="-30"/>
        <w:rPr>
          <w:b/>
          <w:bCs/>
          <w:snapToGrid/>
          <w:sz w:val="22"/>
          <w:szCs w:val="22"/>
          <w:lang w:val="en-GB"/>
        </w:rPr>
      </w:pPr>
      <w:r w:rsidRPr="00E25C87">
        <w:rPr>
          <w:snapToGrid/>
          <w:sz w:val="22"/>
          <w:szCs w:val="22"/>
          <w:lang w:val="en-GB"/>
        </w:rPr>
        <w:t>This</w:t>
      </w:r>
      <w:r w:rsidR="00E0073A" w:rsidRPr="00E25C87">
        <w:rPr>
          <w:snapToGrid/>
          <w:sz w:val="22"/>
          <w:szCs w:val="22"/>
          <w:lang w:val="en-GB"/>
        </w:rPr>
        <w:t xml:space="preserve"> study was </w:t>
      </w:r>
      <w:r w:rsidRPr="00E25C87">
        <w:rPr>
          <w:snapToGrid/>
          <w:sz w:val="22"/>
          <w:szCs w:val="22"/>
          <w:lang w:val="en-GB"/>
        </w:rPr>
        <w:t xml:space="preserve">aimed at </w:t>
      </w:r>
      <w:r w:rsidR="00E0073A" w:rsidRPr="00E25C87">
        <w:rPr>
          <w:snapToGrid/>
          <w:sz w:val="22"/>
          <w:szCs w:val="22"/>
          <w:lang w:val="en-GB"/>
        </w:rPr>
        <w:t xml:space="preserve">evaluating the environmental impacts of the </w:t>
      </w:r>
      <w:r w:rsidRPr="00E25C87">
        <w:rPr>
          <w:snapToGrid/>
          <w:sz w:val="22"/>
          <w:szCs w:val="22"/>
          <w:lang w:val="en-GB"/>
        </w:rPr>
        <w:t>WEEE management system of Campania region in the stages of collection and treatment and by this improving the traceability of the system. In that, the LCA confirm its importance in evaluating the implementation of the</w:t>
      </w:r>
      <w:r w:rsidR="00322DA4" w:rsidRPr="00E25C87">
        <w:rPr>
          <w:snapToGrid/>
          <w:sz w:val="22"/>
          <w:szCs w:val="22"/>
          <w:lang w:val="en-GB"/>
        </w:rPr>
        <w:t xml:space="preserve"> European model of WEEE management</w:t>
      </w:r>
      <w:r w:rsidR="002D672B" w:rsidRPr="00E25C87">
        <w:rPr>
          <w:snapToGrid/>
          <w:sz w:val="22"/>
          <w:szCs w:val="22"/>
          <w:lang w:val="en-GB"/>
        </w:rPr>
        <w:t xml:space="preserve"> tracing the WEEE from their collection until their transport to the first treatment plants and their treatment</w:t>
      </w:r>
      <w:r w:rsidR="00064B85" w:rsidRPr="00E25C87">
        <w:rPr>
          <w:snapToGrid/>
          <w:sz w:val="22"/>
          <w:szCs w:val="22"/>
          <w:lang w:val="en-GB"/>
        </w:rPr>
        <w:t>. The latter stage</w:t>
      </w:r>
      <w:r w:rsidR="002C6364" w:rsidRPr="00E25C87">
        <w:rPr>
          <w:snapToGrid/>
          <w:sz w:val="22"/>
          <w:szCs w:val="22"/>
          <w:lang w:val="en-GB"/>
        </w:rPr>
        <w:t xml:space="preserve"> result</w:t>
      </w:r>
      <w:r w:rsidR="00064B85" w:rsidRPr="00E25C87">
        <w:rPr>
          <w:snapToGrid/>
          <w:sz w:val="22"/>
          <w:szCs w:val="22"/>
          <w:lang w:val="en-GB"/>
        </w:rPr>
        <w:t>s</w:t>
      </w:r>
      <w:r w:rsidR="002C6364" w:rsidRPr="00E25C87">
        <w:rPr>
          <w:snapToGrid/>
          <w:sz w:val="22"/>
          <w:szCs w:val="22"/>
          <w:lang w:val="en-GB"/>
        </w:rPr>
        <w:t xml:space="preserve"> in the recovery of a wide range of materials and components depending on the category of WEEE. </w:t>
      </w:r>
      <w:r w:rsidR="00322DA4" w:rsidRPr="00E25C87">
        <w:rPr>
          <w:snapToGrid/>
          <w:sz w:val="22"/>
          <w:szCs w:val="22"/>
          <w:lang w:val="en-GB"/>
        </w:rPr>
        <w:t xml:space="preserve">The </w:t>
      </w:r>
      <w:r w:rsidR="002D672B" w:rsidRPr="00E25C87">
        <w:rPr>
          <w:snapToGrid/>
          <w:sz w:val="22"/>
          <w:szCs w:val="22"/>
          <w:lang w:val="en-GB"/>
        </w:rPr>
        <w:t xml:space="preserve">preliminary results of this </w:t>
      </w:r>
      <w:r w:rsidR="00322DA4" w:rsidRPr="00E25C87">
        <w:rPr>
          <w:snapToGrid/>
          <w:sz w:val="22"/>
          <w:szCs w:val="22"/>
          <w:lang w:val="en-GB"/>
        </w:rPr>
        <w:t xml:space="preserve">LCA shows that the recovery of the materials in WEEE is beneficial for the environment. The environmental impacts </w:t>
      </w:r>
      <w:r w:rsidR="002C6364" w:rsidRPr="00E25C87">
        <w:rPr>
          <w:snapToGrid/>
          <w:sz w:val="22"/>
          <w:szCs w:val="22"/>
          <w:lang w:val="en-GB"/>
        </w:rPr>
        <w:t xml:space="preserve">for example </w:t>
      </w:r>
      <w:r w:rsidR="00271AC9" w:rsidRPr="00E25C87">
        <w:rPr>
          <w:snapToGrid/>
          <w:sz w:val="22"/>
          <w:szCs w:val="22"/>
          <w:lang w:val="en-GB"/>
        </w:rPr>
        <w:t xml:space="preserve">of </w:t>
      </w:r>
      <w:r w:rsidR="00322DA4" w:rsidRPr="00E25C87">
        <w:rPr>
          <w:snapToGrid/>
          <w:sz w:val="22"/>
          <w:szCs w:val="22"/>
          <w:lang w:val="en-GB"/>
        </w:rPr>
        <w:t xml:space="preserve">the recovery of iron from WEEE in R1 category generate a much lower contribution to climate change </w:t>
      </w:r>
      <w:r w:rsidR="00271AC9" w:rsidRPr="00E25C87">
        <w:rPr>
          <w:snapToGrid/>
          <w:sz w:val="22"/>
          <w:szCs w:val="22"/>
          <w:lang w:val="en-GB"/>
        </w:rPr>
        <w:t xml:space="preserve">and the other impact categories </w:t>
      </w:r>
      <w:r w:rsidR="00322DA4" w:rsidRPr="00E25C87">
        <w:rPr>
          <w:snapToGrid/>
          <w:sz w:val="22"/>
          <w:szCs w:val="22"/>
          <w:lang w:val="en-GB"/>
        </w:rPr>
        <w:t xml:space="preserve">compared to the primary iron. </w:t>
      </w:r>
      <w:r w:rsidR="002C6364" w:rsidRPr="00E25C87">
        <w:rPr>
          <w:snapToGrid/>
          <w:sz w:val="22"/>
          <w:szCs w:val="22"/>
          <w:lang w:val="en-GB"/>
        </w:rPr>
        <w:t xml:space="preserve">The analysis will be further advanced towards the evaluation of the </w:t>
      </w:r>
      <w:r w:rsidR="00A20338" w:rsidRPr="00E25C87">
        <w:rPr>
          <w:snapToGrid/>
          <w:sz w:val="22"/>
          <w:szCs w:val="22"/>
          <w:lang w:val="en-GB"/>
        </w:rPr>
        <w:t xml:space="preserve">environmental </w:t>
      </w:r>
      <w:r w:rsidR="002C6364" w:rsidRPr="00E25C87">
        <w:rPr>
          <w:snapToGrid/>
          <w:sz w:val="22"/>
          <w:szCs w:val="22"/>
          <w:lang w:val="en-GB"/>
        </w:rPr>
        <w:t>impacts of the life cycle of the other WEEE categories (R3, R4, R5) and the comparison of the impacts with the most representative recovered materials</w:t>
      </w:r>
      <w:r w:rsidR="00271AC9" w:rsidRPr="00E25C87">
        <w:rPr>
          <w:snapToGrid/>
          <w:sz w:val="22"/>
          <w:szCs w:val="22"/>
          <w:lang w:val="en-GB"/>
        </w:rPr>
        <w:t xml:space="preserve"> </w:t>
      </w:r>
      <w:r w:rsidR="002C6364" w:rsidRPr="00E25C87">
        <w:rPr>
          <w:snapToGrid/>
          <w:sz w:val="22"/>
          <w:szCs w:val="22"/>
          <w:lang w:val="en-GB"/>
        </w:rPr>
        <w:t>in the functional unit with the same materials produced by virgin materials</w:t>
      </w:r>
      <w:r w:rsidR="00271AC9" w:rsidRPr="00E25C87">
        <w:rPr>
          <w:snapToGrid/>
          <w:sz w:val="22"/>
          <w:szCs w:val="22"/>
          <w:lang w:val="en-GB"/>
        </w:rPr>
        <w:t xml:space="preserve">. </w:t>
      </w:r>
      <w:r w:rsidR="00EE62F2" w:rsidRPr="00E25C87">
        <w:rPr>
          <w:snapToGrid/>
          <w:sz w:val="22"/>
          <w:szCs w:val="22"/>
          <w:lang w:val="en-GB"/>
        </w:rPr>
        <w:t xml:space="preserve">In this perspective, this LCA can </w:t>
      </w:r>
      <w:r w:rsidR="001C6D78" w:rsidRPr="00E25C87">
        <w:rPr>
          <w:snapToGrid/>
          <w:sz w:val="22"/>
          <w:szCs w:val="22"/>
          <w:lang w:val="en-GB"/>
        </w:rPr>
        <w:t xml:space="preserve">also </w:t>
      </w:r>
      <w:r w:rsidR="00EE62F2" w:rsidRPr="00E25C87">
        <w:rPr>
          <w:snapToGrid/>
          <w:sz w:val="22"/>
          <w:szCs w:val="22"/>
          <w:lang w:val="en-GB"/>
        </w:rPr>
        <w:t xml:space="preserve">be considered a useful tool for improving the understanding </w:t>
      </w:r>
      <w:r w:rsidR="00A20338" w:rsidRPr="00E25C87">
        <w:rPr>
          <w:snapToGrid/>
          <w:sz w:val="22"/>
          <w:szCs w:val="22"/>
          <w:lang w:val="en-GB"/>
        </w:rPr>
        <w:t>of</w:t>
      </w:r>
      <w:r w:rsidR="00EE62F2" w:rsidRPr="00E25C87">
        <w:rPr>
          <w:snapToGrid/>
          <w:sz w:val="22"/>
          <w:szCs w:val="22"/>
          <w:lang w:val="en-GB"/>
        </w:rPr>
        <w:t xml:space="preserve"> policy makers of </w:t>
      </w:r>
      <w:r w:rsidR="00A20338" w:rsidRPr="00E25C87">
        <w:rPr>
          <w:snapToGrid/>
          <w:sz w:val="22"/>
          <w:szCs w:val="22"/>
          <w:lang w:val="en-GB"/>
        </w:rPr>
        <w:t xml:space="preserve">Campania Region about the environmental </w:t>
      </w:r>
      <w:r w:rsidR="00A20338" w:rsidRPr="00E25C87">
        <w:rPr>
          <w:snapToGrid/>
          <w:sz w:val="22"/>
          <w:szCs w:val="22"/>
          <w:lang w:val="en-GB"/>
        </w:rPr>
        <w:lastRenderedPageBreak/>
        <w:t xml:space="preserve">impacts of the </w:t>
      </w:r>
      <w:r w:rsidR="008171D4" w:rsidRPr="00E25C87">
        <w:rPr>
          <w:snapToGrid/>
          <w:sz w:val="22"/>
          <w:szCs w:val="22"/>
          <w:lang w:val="en-GB"/>
        </w:rPr>
        <w:t xml:space="preserve">Regional </w:t>
      </w:r>
      <w:r w:rsidR="00A20338" w:rsidRPr="00E25C87">
        <w:rPr>
          <w:snapToGrid/>
          <w:sz w:val="22"/>
          <w:szCs w:val="22"/>
          <w:lang w:val="en-GB"/>
        </w:rPr>
        <w:t xml:space="preserve">WEEE </w:t>
      </w:r>
      <w:r w:rsidR="008171D4" w:rsidRPr="00E25C87">
        <w:rPr>
          <w:snapToGrid/>
          <w:sz w:val="22"/>
          <w:szCs w:val="22"/>
          <w:lang w:val="en-GB"/>
        </w:rPr>
        <w:t>system and cycl</w:t>
      </w:r>
      <w:r w:rsidR="00EE62F2" w:rsidRPr="00E25C87">
        <w:rPr>
          <w:snapToGrid/>
          <w:sz w:val="22"/>
          <w:szCs w:val="22"/>
          <w:lang w:val="en-GB"/>
        </w:rPr>
        <w:t>e</w:t>
      </w:r>
      <w:r w:rsidR="00A20338" w:rsidRPr="00E25C87">
        <w:rPr>
          <w:snapToGrid/>
          <w:sz w:val="22"/>
          <w:szCs w:val="22"/>
          <w:lang w:val="en-GB"/>
        </w:rPr>
        <w:t xml:space="preserve"> as well as on </w:t>
      </w:r>
      <w:r w:rsidR="008171D4" w:rsidRPr="00E25C87">
        <w:rPr>
          <w:snapToGrid/>
          <w:sz w:val="22"/>
          <w:szCs w:val="22"/>
          <w:lang w:val="en-GB"/>
        </w:rPr>
        <w:t>the</w:t>
      </w:r>
      <w:r w:rsidR="00A20338" w:rsidRPr="00E25C87">
        <w:rPr>
          <w:snapToGrid/>
          <w:sz w:val="22"/>
          <w:szCs w:val="22"/>
          <w:lang w:val="en-GB"/>
        </w:rPr>
        <w:t xml:space="preserve"> social and just implications</w:t>
      </w:r>
      <w:r w:rsidR="008171D4" w:rsidRPr="00E25C87">
        <w:rPr>
          <w:snapToGrid/>
          <w:sz w:val="22"/>
          <w:szCs w:val="22"/>
          <w:lang w:val="en-GB"/>
        </w:rPr>
        <w:t>.</w:t>
      </w:r>
      <w:r w:rsidR="00A20338" w:rsidRPr="00E25C87">
        <w:rPr>
          <w:snapToGrid/>
          <w:sz w:val="22"/>
          <w:szCs w:val="22"/>
          <w:lang w:val="en-GB"/>
        </w:rPr>
        <w:t xml:space="preserve">  </w:t>
      </w:r>
      <w:r w:rsidR="00EE62F2" w:rsidRPr="00E25C87">
        <w:rPr>
          <w:snapToGrid/>
          <w:sz w:val="22"/>
          <w:szCs w:val="22"/>
          <w:lang w:val="en-GB"/>
        </w:rPr>
        <w:t xml:space="preserve"> </w:t>
      </w:r>
    </w:p>
    <w:p w14:paraId="46780EE5" w14:textId="06E0508B" w:rsidR="00D33403" w:rsidRPr="00E25C87" w:rsidRDefault="00D33403" w:rsidP="009D47BE">
      <w:pPr>
        <w:pStyle w:val="Abstract"/>
        <w:tabs>
          <w:tab w:val="left" w:pos="6379"/>
        </w:tabs>
        <w:spacing w:line="276" w:lineRule="auto"/>
        <w:ind w:right="-30"/>
        <w:rPr>
          <w:b/>
          <w:bCs/>
          <w:snapToGrid/>
          <w:sz w:val="22"/>
          <w:szCs w:val="22"/>
          <w:lang w:val="en-GB"/>
        </w:rPr>
      </w:pPr>
    </w:p>
    <w:p w14:paraId="667EA6CE" w14:textId="7B157F2B" w:rsidR="00D33403" w:rsidRPr="00E25C87" w:rsidRDefault="005855E7" w:rsidP="005855E7">
      <w:pPr>
        <w:pStyle w:val="Abstract"/>
        <w:tabs>
          <w:tab w:val="left" w:pos="6379"/>
        </w:tabs>
        <w:spacing w:line="276" w:lineRule="auto"/>
        <w:ind w:left="0" w:right="-30"/>
        <w:rPr>
          <w:snapToGrid/>
          <w:sz w:val="22"/>
          <w:szCs w:val="22"/>
          <w:lang w:val="en-GB"/>
        </w:rPr>
      </w:pPr>
      <w:r w:rsidRPr="00E25C87">
        <w:rPr>
          <w:b/>
          <w:bCs/>
          <w:snapToGrid/>
          <w:sz w:val="22"/>
          <w:szCs w:val="22"/>
          <w:lang w:val="en-GB"/>
        </w:rPr>
        <w:t>Acknowledgements:</w:t>
      </w:r>
      <w:r w:rsidRPr="00E25C87">
        <w:rPr>
          <w:snapToGrid/>
          <w:sz w:val="22"/>
          <w:szCs w:val="22"/>
          <w:lang w:val="en-GB"/>
        </w:rPr>
        <w:t xml:space="preserve"> The authors would like to thank for the data useful for this study: Ing.</w:t>
      </w:r>
      <w:r w:rsidR="00A63764" w:rsidRPr="00E25C87">
        <w:rPr>
          <w:snapToGrid/>
          <w:sz w:val="22"/>
          <w:szCs w:val="22"/>
          <w:lang w:val="en-GB"/>
        </w:rPr>
        <w:t xml:space="preserve"> </w:t>
      </w:r>
      <w:r w:rsidRPr="00E25C87">
        <w:rPr>
          <w:snapToGrid/>
          <w:sz w:val="22"/>
          <w:szCs w:val="22"/>
          <w:lang w:val="en-GB"/>
        </w:rPr>
        <w:t>Armentano of the company Riplastic S.p.A, Dott. Fasolino of the Consortia Ecoem, Ing. Alberto Grosso, ARPAC Regione Campania, Dott.</w:t>
      </w:r>
      <w:r w:rsidR="00A63764" w:rsidRPr="00E25C87">
        <w:rPr>
          <w:snapToGrid/>
          <w:sz w:val="22"/>
          <w:szCs w:val="22"/>
          <w:lang w:val="en-GB"/>
        </w:rPr>
        <w:t xml:space="preserve"> Baretta, General Director of the Integrated Cycle of Water, Waste, Evaluations and Environmental Authorizations of the Regional Council of Campania Region. </w:t>
      </w:r>
      <w:r w:rsidRPr="00E25C87">
        <w:rPr>
          <w:snapToGrid/>
          <w:sz w:val="22"/>
          <w:szCs w:val="22"/>
          <w:lang w:val="en-GB"/>
        </w:rPr>
        <w:t xml:space="preserve">  </w:t>
      </w:r>
    </w:p>
    <w:p w14:paraId="02BCA0BE" w14:textId="77777777" w:rsidR="00E25C87" w:rsidRPr="00E25C87" w:rsidRDefault="00E25C87" w:rsidP="005855E7">
      <w:pPr>
        <w:pStyle w:val="Abstract"/>
        <w:tabs>
          <w:tab w:val="left" w:pos="6379"/>
        </w:tabs>
        <w:spacing w:line="276" w:lineRule="auto"/>
        <w:ind w:left="0" w:right="-30"/>
        <w:rPr>
          <w:snapToGrid/>
          <w:sz w:val="22"/>
          <w:szCs w:val="22"/>
          <w:lang w:val="en-GB"/>
        </w:rPr>
      </w:pPr>
    </w:p>
    <w:p w14:paraId="4FA99ABA" w14:textId="676209B9" w:rsidR="00D33403" w:rsidRPr="00E25C87" w:rsidRDefault="005855E7" w:rsidP="005855E7">
      <w:pPr>
        <w:pStyle w:val="Abstract"/>
        <w:tabs>
          <w:tab w:val="left" w:pos="6379"/>
        </w:tabs>
        <w:spacing w:line="276" w:lineRule="auto"/>
        <w:ind w:left="0" w:right="-30"/>
        <w:rPr>
          <w:snapToGrid/>
          <w:sz w:val="22"/>
          <w:szCs w:val="22"/>
          <w:lang w:val="en-GB"/>
        </w:rPr>
      </w:pPr>
      <w:r w:rsidRPr="005855E7">
        <w:rPr>
          <w:snapToGrid/>
          <w:sz w:val="22"/>
          <w:szCs w:val="22"/>
          <w:lang w:val="en-GB"/>
        </w:rPr>
        <w:t>The research described in this paper received funding from the European Commission’s</w:t>
      </w:r>
      <w:r w:rsidRPr="00E25C87">
        <w:rPr>
          <w:snapToGrid/>
          <w:sz w:val="22"/>
          <w:szCs w:val="22"/>
          <w:lang w:val="en-GB"/>
        </w:rPr>
        <w:t xml:space="preserve"> </w:t>
      </w:r>
      <w:r w:rsidRPr="005855E7">
        <w:rPr>
          <w:snapToGrid/>
          <w:sz w:val="22"/>
          <w:szCs w:val="22"/>
          <w:lang w:val="en-GB"/>
        </w:rPr>
        <w:t>research programmes Horizon 2020-SC5-2020-2 scheme, Grant Agreement 101003491 (JUST Transition</w:t>
      </w:r>
      <w:r w:rsidRPr="00E25C87">
        <w:rPr>
          <w:snapToGrid/>
          <w:sz w:val="22"/>
          <w:szCs w:val="22"/>
          <w:lang w:val="en-GB"/>
        </w:rPr>
        <w:t xml:space="preserve"> </w:t>
      </w:r>
      <w:r w:rsidRPr="005855E7">
        <w:rPr>
          <w:snapToGrid/>
          <w:sz w:val="22"/>
          <w:szCs w:val="22"/>
          <w:lang w:val="en-GB"/>
        </w:rPr>
        <w:t>to the Circular Economy project)</w:t>
      </w:r>
      <w:r w:rsidRPr="00E25C87">
        <w:rPr>
          <w:snapToGrid/>
          <w:sz w:val="22"/>
          <w:szCs w:val="22"/>
          <w:lang w:val="en-GB"/>
        </w:rPr>
        <w:t>.</w:t>
      </w:r>
    </w:p>
    <w:p w14:paraId="30DA230C" w14:textId="3B7F4200" w:rsidR="00D33403" w:rsidRPr="00E25C87" w:rsidRDefault="00D33403" w:rsidP="009D47BE">
      <w:pPr>
        <w:pStyle w:val="Abstract"/>
        <w:tabs>
          <w:tab w:val="left" w:pos="6379"/>
        </w:tabs>
        <w:spacing w:line="276" w:lineRule="auto"/>
        <w:ind w:right="-30"/>
        <w:rPr>
          <w:b/>
          <w:bCs/>
          <w:snapToGrid/>
          <w:sz w:val="22"/>
          <w:szCs w:val="22"/>
          <w:lang w:val="en-GB"/>
        </w:rPr>
      </w:pPr>
    </w:p>
    <w:p w14:paraId="1C13CE26" w14:textId="77777777" w:rsidR="00D33403" w:rsidRPr="00E25C87" w:rsidRDefault="00D33403" w:rsidP="009D47BE">
      <w:pPr>
        <w:pStyle w:val="Abstract"/>
        <w:tabs>
          <w:tab w:val="left" w:pos="6379"/>
        </w:tabs>
        <w:spacing w:line="276" w:lineRule="auto"/>
        <w:ind w:right="-30"/>
        <w:rPr>
          <w:b/>
          <w:bCs/>
          <w:snapToGrid/>
          <w:sz w:val="22"/>
          <w:szCs w:val="22"/>
          <w:lang w:val="en-GB"/>
        </w:rPr>
      </w:pPr>
    </w:p>
    <w:p w14:paraId="7FC8D140" w14:textId="43E9DD52" w:rsidR="009D47BE" w:rsidRPr="00E25C87" w:rsidRDefault="009D47BE" w:rsidP="009D47BE">
      <w:pPr>
        <w:pStyle w:val="Abstract"/>
        <w:numPr>
          <w:ilvl w:val="1"/>
          <w:numId w:val="44"/>
        </w:numPr>
        <w:tabs>
          <w:tab w:val="left" w:pos="6379"/>
        </w:tabs>
        <w:spacing w:line="276" w:lineRule="auto"/>
        <w:ind w:right="-30"/>
        <w:rPr>
          <w:b/>
          <w:bCs/>
          <w:snapToGrid/>
          <w:sz w:val="22"/>
          <w:szCs w:val="22"/>
          <w:lang w:val="en-GB"/>
        </w:rPr>
      </w:pPr>
      <w:r w:rsidRPr="00E25C87">
        <w:rPr>
          <w:b/>
          <w:bCs/>
          <w:snapToGrid/>
          <w:sz w:val="22"/>
          <w:szCs w:val="22"/>
          <w:lang w:val="en-GB"/>
        </w:rPr>
        <w:t xml:space="preserve">References </w:t>
      </w:r>
    </w:p>
    <w:p w14:paraId="68CF7C85" w14:textId="77777777" w:rsidR="00A370E2" w:rsidRPr="00E25C87" w:rsidRDefault="00A370E2" w:rsidP="00D66ED0">
      <w:pPr>
        <w:pStyle w:val="Abstract"/>
        <w:tabs>
          <w:tab w:val="left" w:pos="6379"/>
        </w:tabs>
        <w:spacing w:line="276" w:lineRule="auto"/>
        <w:ind w:left="0" w:right="-30"/>
        <w:rPr>
          <w:snapToGrid/>
          <w:sz w:val="24"/>
          <w:lang w:val="en-GB"/>
        </w:rPr>
      </w:pPr>
    </w:p>
    <w:p w14:paraId="6352FC4E" w14:textId="77777777" w:rsidR="00E25C87" w:rsidRPr="00E25C87" w:rsidRDefault="00E25C87" w:rsidP="00E25C87">
      <w:pPr>
        <w:rPr>
          <w:lang w:val="en-GB"/>
        </w:rPr>
      </w:pPr>
      <w:bookmarkStart w:id="8" w:name="_Hlk107004541"/>
      <w:r w:rsidRPr="00E25C87">
        <w:rPr>
          <w:lang w:val="en-GB"/>
        </w:rPr>
        <w:t xml:space="preserve">Abalansa S, Mahrad B E, Icely J, Newton A (2021) ElectronicWaste, an Environmental Problem Exported to Developing Countries: The GOOD, the BAD and the UGLY. Sustainability 13, 5302. </w:t>
      </w:r>
    </w:p>
    <w:p w14:paraId="01A62743" w14:textId="77777777" w:rsidR="00E25C87" w:rsidRPr="00E25C87" w:rsidRDefault="00E25C87" w:rsidP="00E25C87">
      <w:pPr>
        <w:rPr>
          <w:lang w:val="en-GB"/>
        </w:rPr>
      </w:pPr>
    </w:p>
    <w:p w14:paraId="5E3CF088" w14:textId="77777777" w:rsidR="00E25C87" w:rsidRPr="00E25C87" w:rsidRDefault="00E25C87" w:rsidP="00E25C87">
      <w:pPr>
        <w:rPr>
          <w:lang w:val="en-GB"/>
        </w:rPr>
      </w:pPr>
      <w:r w:rsidRPr="00E25C87">
        <w:rPr>
          <w:lang w:val="en-GB"/>
        </w:rPr>
        <w:t>Angouria-Tsorochidou E, Cimpan C, Parajuly K (2018) Optimized collection of EoL electronic products for Circular economy: A techno-economic assessment. Procedia CIRP 69: 986 – 991.</w:t>
      </w:r>
    </w:p>
    <w:p w14:paraId="62E47E47" w14:textId="77777777" w:rsidR="00E25C87" w:rsidRPr="00E25C87" w:rsidRDefault="00E25C87" w:rsidP="00E25C87">
      <w:pPr>
        <w:rPr>
          <w:lang w:val="en-GB"/>
        </w:rPr>
      </w:pPr>
    </w:p>
    <w:p w14:paraId="72CD4C2C" w14:textId="77777777" w:rsidR="00E25C87" w:rsidRPr="00E25C87" w:rsidRDefault="00E25C87" w:rsidP="00E25C87">
      <w:pPr>
        <w:rPr>
          <w:lang w:val="en-GB"/>
        </w:rPr>
      </w:pPr>
      <w:r w:rsidRPr="00E25C87">
        <w:rPr>
          <w:lang w:val="en-GB"/>
        </w:rPr>
        <w:t>Arauzo-Carod J-M, Kostakis I, Tsagarakis K P (2022) Policies for supporting the regional circular economy</w:t>
      </w:r>
    </w:p>
    <w:p w14:paraId="48F020C8" w14:textId="77777777" w:rsidR="00E25C87" w:rsidRPr="00E25C87" w:rsidRDefault="00E25C87" w:rsidP="00E25C87">
      <w:pPr>
        <w:rPr>
          <w:lang w:val="en-GB"/>
        </w:rPr>
      </w:pPr>
      <w:r w:rsidRPr="00E25C87">
        <w:rPr>
          <w:lang w:val="en-GB"/>
        </w:rPr>
        <w:t>and sustainability. The Annals of Regional Science 68:255–262</w:t>
      </w:r>
    </w:p>
    <w:p w14:paraId="3F26689B" w14:textId="77777777" w:rsidR="00E25C87" w:rsidRPr="00E25C87" w:rsidRDefault="00E25C87" w:rsidP="00E25C87">
      <w:pPr>
        <w:rPr>
          <w:lang w:val="en-GB"/>
        </w:rPr>
      </w:pPr>
    </w:p>
    <w:p w14:paraId="3F87D4E1" w14:textId="77777777" w:rsidR="00E25C87" w:rsidRPr="00E25C87" w:rsidRDefault="00E25C87" w:rsidP="00E25C87">
      <w:pPr>
        <w:rPr>
          <w:lang w:val="en-GB"/>
        </w:rPr>
      </w:pPr>
      <w:r w:rsidRPr="00E25C87">
        <w:rPr>
          <w:lang w:val="en-GB"/>
        </w:rPr>
        <w:t xml:space="preserve">Berežni I, Castro F D, Batinić B, Vaccari M, Stanisavljevic N (2021) WEEE treatment and system management in Italy and Serbia: A comparison. Waste Management &amp; Research 39 (10): 1302-1316. </w:t>
      </w:r>
    </w:p>
    <w:p w14:paraId="58FE9C05" w14:textId="77777777" w:rsidR="00E25C87" w:rsidRPr="00E25C87" w:rsidRDefault="00E25C87" w:rsidP="00E25C87">
      <w:pPr>
        <w:rPr>
          <w:lang w:val="en-GB"/>
        </w:rPr>
      </w:pPr>
    </w:p>
    <w:p w14:paraId="3AB45551" w14:textId="77777777" w:rsidR="00E25C87" w:rsidRPr="001A4672" w:rsidRDefault="00E25C87" w:rsidP="00E25C87">
      <w:pPr>
        <w:rPr>
          <w:lang w:val="it-IT"/>
        </w:rPr>
      </w:pPr>
      <w:r w:rsidRPr="00E25C87">
        <w:rPr>
          <w:lang w:val="en-GB"/>
        </w:rPr>
        <w:t xml:space="preserve">Biganzoli L, Falbo A, Forte F, Grosso M, Rigamonti L (2015) Mass balance and life cycle assessment of the waste electrical and electronic equipment management system implemented in Lombardia Region (Italy). </w:t>
      </w:r>
      <w:r w:rsidRPr="001A4672">
        <w:rPr>
          <w:lang w:val="it-IT"/>
        </w:rPr>
        <w:t>Science of the Total Environment 524–525: 361–375</w:t>
      </w:r>
    </w:p>
    <w:p w14:paraId="3339D4AD" w14:textId="77777777" w:rsidR="00E25C87" w:rsidRPr="001A4672" w:rsidRDefault="00E25C87" w:rsidP="00E25C87">
      <w:pPr>
        <w:rPr>
          <w:lang w:val="it-IT"/>
        </w:rPr>
      </w:pPr>
    </w:p>
    <w:p w14:paraId="4CA0B8EE" w14:textId="77777777" w:rsidR="00E25C87" w:rsidRPr="001A4672" w:rsidRDefault="00E25C87" w:rsidP="00E25C87">
      <w:pPr>
        <w:rPr>
          <w:lang w:val="it-IT"/>
        </w:rPr>
      </w:pPr>
      <w:r w:rsidRPr="001A4672">
        <w:rPr>
          <w:lang w:val="it-IT"/>
        </w:rPr>
        <w:lastRenderedPageBreak/>
        <w:t xml:space="preserve">Campania Region (2022) Rifiuti di apparecchiature elettriche ed elettroniche. Proposta di aggiornamento del Piano Regionale dei Rifiuti Speciali della Regione Campania. </w:t>
      </w:r>
    </w:p>
    <w:p w14:paraId="4CE35242" w14:textId="77777777" w:rsidR="00E25C87" w:rsidRPr="001A4672" w:rsidRDefault="00E25C87" w:rsidP="00E25C87">
      <w:pPr>
        <w:rPr>
          <w:lang w:val="it-IT"/>
        </w:rPr>
      </w:pPr>
    </w:p>
    <w:p w14:paraId="47D798F9" w14:textId="77777777" w:rsidR="00E25C87" w:rsidRPr="00E25C87" w:rsidRDefault="00E25C87" w:rsidP="00E25C87">
      <w:pPr>
        <w:rPr>
          <w:lang w:val="en-GB"/>
        </w:rPr>
      </w:pPr>
      <w:r w:rsidRPr="00E25C87">
        <w:rPr>
          <w:lang w:val="en-GB"/>
        </w:rPr>
        <w:t>de Bruijn, H. et al</w:t>
      </w:r>
      <w:r w:rsidRPr="00E25C87">
        <w:rPr>
          <w:i/>
          <w:iCs/>
          <w:lang w:val="en-GB"/>
        </w:rPr>
        <w:t>.</w:t>
      </w:r>
      <w:r w:rsidRPr="00E25C87">
        <w:rPr>
          <w:lang w:val="en-GB"/>
        </w:rPr>
        <w:t xml:space="preserve"> (2002) Inventory analysis. In: Handbook on Life Cycle Assessment. Eco-Efficiency in Industry and Science, vol 7. Springer, Dordrecht. </w:t>
      </w:r>
      <w:hyperlink r:id="rId8" w:history="1">
        <w:r w:rsidRPr="00E25C87">
          <w:rPr>
            <w:color w:val="0000FF"/>
            <w:u w:val="single"/>
            <w:lang w:val="en-GB"/>
          </w:rPr>
          <w:t>https://doi.org/10.1007/0-306-48055-7_8</w:t>
        </w:r>
      </w:hyperlink>
    </w:p>
    <w:p w14:paraId="351470FC" w14:textId="77777777" w:rsidR="00E25C87" w:rsidRPr="00E25C87" w:rsidRDefault="00E25C87" w:rsidP="00E25C87">
      <w:pPr>
        <w:rPr>
          <w:lang w:val="en-GB"/>
        </w:rPr>
      </w:pPr>
    </w:p>
    <w:p w14:paraId="6C3F35EE" w14:textId="77777777" w:rsidR="00E25C87" w:rsidRPr="00E25C87" w:rsidRDefault="00E25C87" w:rsidP="00E25C87">
      <w:pPr>
        <w:rPr>
          <w:lang w:val="en-GB"/>
        </w:rPr>
      </w:pPr>
      <w:r w:rsidRPr="00E25C87">
        <w:rPr>
          <w:lang w:val="en-GB"/>
        </w:rPr>
        <w:t xml:space="preserve">European Union, Joint Workshop on “all WEEE flows”, how can we improve information as regards collection of waste electrical and electronic equipment (WEEE) through all routes?, available at: </w:t>
      </w:r>
      <w:hyperlink r:id="rId9" w:history="1">
        <w:r w:rsidRPr="00E25C87">
          <w:rPr>
            <w:color w:val="0000FF"/>
            <w:u w:val="single"/>
            <w:lang w:val="en-GB"/>
          </w:rPr>
          <w:t>https://ec.europa.eu/environment/pdf/waste/weee/WEEE%20workshol%20february%202017/All%20WEEE%20Flows%20Workshop%20Report.pdf</w:t>
        </w:r>
      </w:hyperlink>
      <w:r w:rsidRPr="00E25C87">
        <w:rPr>
          <w:lang w:val="en-GB"/>
        </w:rPr>
        <w:t>. Last accessed: 20/06/2022.</w:t>
      </w:r>
    </w:p>
    <w:p w14:paraId="5004E91D" w14:textId="77777777" w:rsidR="00E25C87" w:rsidRPr="00E25C87" w:rsidRDefault="00E25C87" w:rsidP="00E25C87">
      <w:pPr>
        <w:rPr>
          <w:lang w:val="en-GB"/>
        </w:rPr>
      </w:pPr>
    </w:p>
    <w:p w14:paraId="676FEEE6" w14:textId="77777777" w:rsidR="00E25C87" w:rsidRPr="00E25C87" w:rsidRDefault="00E25C87" w:rsidP="00E25C87">
      <w:pPr>
        <w:rPr>
          <w:lang w:val="en-GB"/>
        </w:rPr>
      </w:pPr>
      <w:r w:rsidRPr="00E25C87">
        <w:rPr>
          <w:lang w:val="en-GB"/>
        </w:rPr>
        <w:t xml:space="preserve">Fiore S, Ibanescu D, Teodosiu C, Ronco A (2019) Improving waste electric and electronic equipment management at full-scale by using material flow analysis and life cycle assessment. Science of the Total Environment 659: 928-939. </w:t>
      </w:r>
    </w:p>
    <w:p w14:paraId="4C2CE6F0" w14:textId="77777777" w:rsidR="00E25C87" w:rsidRPr="00E25C87" w:rsidRDefault="00E25C87" w:rsidP="00E25C87">
      <w:pPr>
        <w:rPr>
          <w:lang w:val="en-GB"/>
        </w:rPr>
      </w:pPr>
    </w:p>
    <w:p w14:paraId="71A468EA" w14:textId="77777777" w:rsidR="00E25C87" w:rsidRPr="00E25C87" w:rsidRDefault="00E25C87" w:rsidP="00E25C87">
      <w:pPr>
        <w:rPr>
          <w:sz w:val="24"/>
          <w:szCs w:val="24"/>
          <w:lang w:val="en-GB"/>
        </w:rPr>
      </w:pPr>
      <w:r w:rsidRPr="00E25C87">
        <w:rPr>
          <w:sz w:val="24"/>
          <w:szCs w:val="24"/>
          <w:lang w:val="en-GB"/>
        </w:rPr>
        <w:t xml:space="preserve">Ghisellini P, Santagata R, Zucaro A, Ulgiati S (2019) Circular patterns of waste prevention and recovery.  E3S Web of Conferences 119, 00003, Science and the Future 2. </w:t>
      </w:r>
    </w:p>
    <w:p w14:paraId="4B59D025" w14:textId="77777777" w:rsidR="00E25C87" w:rsidRPr="00E25C87" w:rsidRDefault="00E25C87" w:rsidP="00E25C87">
      <w:pPr>
        <w:rPr>
          <w:sz w:val="24"/>
          <w:szCs w:val="24"/>
          <w:lang w:val="en-GB"/>
        </w:rPr>
      </w:pPr>
    </w:p>
    <w:p w14:paraId="4F92EE16" w14:textId="77777777" w:rsidR="00E25C87" w:rsidRPr="00E25C87" w:rsidRDefault="00E25C87" w:rsidP="00E25C87">
      <w:pPr>
        <w:rPr>
          <w:sz w:val="24"/>
          <w:szCs w:val="24"/>
          <w:lang w:val="en-GB"/>
        </w:rPr>
      </w:pPr>
      <w:r w:rsidRPr="00E25C87">
        <w:rPr>
          <w:sz w:val="24"/>
          <w:szCs w:val="24"/>
          <w:lang w:val="en-GB"/>
        </w:rPr>
        <w:t xml:space="preserve">Huisman J, Magalini F, Kuehr R, Maurer C (2008) Lessons from the 2008 WEEE Review Research Studies. Conference: Proceedings of the Electronics Goes Green 2008Proceedings of the Electronics Goes Green 2008. </w:t>
      </w:r>
    </w:p>
    <w:p w14:paraId="52C4A93E" w14:textId="77777777" w:rsidR="00E25C87" w:rsidRPr="00E25C87" w:rsidRDefault="00E25C87" w:rsidP="00E25C87">
      <w:pPr>
        <w:rPr>
          <w:lang w:val="en-GB"/>
        </w:rPr>
      </w:pPr>
    </w:p>
    <w:p w14:paraId="5D9D94E6" w14:textId="77777777" w:rsidR="00E25C87" w:rsidRPr="00E25C87" w:rsidRDefault="00E25C87" w:rsidP="00E25C87">
      <w:pPr>
        <w:rPr>
          <w:sz w:val="24"/>
          <w:szCs w:val="24"/>
          <w:lang w:val="en-GB"/>
        </w:rPr>
      </w:pPr>
      <w:r w:rsidRPr="00E25C87">
        <w:rPr>
          <w:sz w:val="24"/>
          <w:szCs w:val="24"/>
          <w:lang w:val="en-GB"/>
        </w:rPr>
        <w:t>De Souza R B et al (2016) Sustainability assessment and prioritisation of e-waste management</w:t>
      </w:r>
    </w:p>
    <w:p w14:paraId="0166328C" w14:textId="77777777" w:rsidR="00E25C87" w:rsidRPr="00E25C87" w:rsidRDefault="00E25C87" w:rsidP="00E25C87">
      <w:pPr>
        <w:rPr>
          <w:sz w:val="24"/>
          <w:szCs w:val="24"/>
          <w:lang w:val="en-GB"/>
        </w:rPr>
      </w:pPr>
      <w:r w:rsidRPr="00E25C87">
        <w:rPr>
          <w:sz w:val="24"/>
          <w:szCs w:val="24"/>
          <w:lang w:val="en-GB"/>
        </w:rPr>
        <w:t>options in Brazil. Waste Management 57: 46–56</w:t>
      </w:r>
    </w:p>
    <w:p w14:paraId="48ADC30E" w14:textId="77777777" w:rsidR="00E25C87" w:rsidRPr="00E25C87" w:rsidRDefault="00E25C87" w:rsidP="00E25C87">
      <w:pPr>
        <w:rPr>
          <w:sz w:val="24"/>
          <w:szCs w:val="24"/>
          <w:lang w:val="en-GB"/>
        </w:rPr>
      </w:pPr>
    </w:p>
    <w:p w14:paraId="4D20D1A5" w14:textId="77777777" w:rsidR="00E25C87" w:rsidRPr="00E25C87" w:rsidRDefault="00E25C87" w:rsidP="00E25C87">
      <w:pPr>
        <w:rPr>
          <w:sz w:val="24"/>
          <w:szCs w:val="24"/>
          <w:lang w:val="en-GB"/>
        </w:rPr>
      </w:pPr>
      <w:r w:rsidRPr="00E25C87">
        <w:rPr>
          <w:sz w:val="24"/>
          <w:szCs w:val="24"/>
          <w:lang w:val="en-GB"/>
        </w:rPr>
        <w:t xml:space="preserve">Umair S, Björklund A, Petersen E E (2015) Social impact assessment of informal recycling of electronic ICT waste in Pakistan using UNEP SETAC guidelines. Resource, Conservation &amp; Recycling 95: 46-57. </w:t>
      </w:r>
    </w:p>
    <w:p w14:paraId="7F1778E9" w14:textId="77777777" w:rsidR="00E25C87" w:rsidRPr="00E25C87" w:rsidRDefault="00E25C87" w:rsidP="00E25C87">
      <w:pPr>
        <w:rPr>
          <w:sz w:val="24"/>
          <w:szCs w:val="24"/>
          <w:lang w:val="en-GB"/>
        </w:rPr>
      </w:pPr>
    </w:p>
    <w:p w14:paraId="428677E8" w14:textId="77777777" w:rsidR="00E25C87" w:rsidRPr="00E25C87" w:rsidRDefault="00E25C87" w:rsidP="00E25C87">
      <w:pPr>
        <w:rPr>
          <w:sz w:val="24"/>
          <w:lang w:val="en-GB"/>
        </w:rPr>
      </w:pPr>
      <w:r w:rsidRPr="00E25C87">
        <w:rPr>
          <w:sz w:val="24"/>
          <w:lang w:val="en-GB"/>
        </w:rPr>
        <w:t>Withanage S V, Habib K (2021) Life Cycle Assessment and Material Flow Analysis: Two</w:t>
      </w:r>
    </w:p>
    <w:p w14:paraId="3BB2E376" w14:textId="77777777" w:rsidR="00E25C87" w:rsidRPr="00E25C87" w:rsidRDefault="00E25C87" w:rsidP="00E25C87">
      <w:pPr>
        <w:rPr>
          <w:sz w:val="24"/>
          <w:lang w:val="en-GB"/>
        </w:rPr>
      </w:pPr>
      <w:r w:rsidRPr="00E25C87">
        <w:rPr>
          <w:sz w:val="24"/>
          <w:lang w:val="en-GB"/>
        </w:rPr>
        <w:lastRenderedPageBreak/>
        <w:t>Under-Utilized Tools for Informing E-Waste Management. Sustainability 13, 7939.</w:t>
      </w:r>
    </w:p>
    <w:p w14:paraId="58CCFA16" w14:textId="77777777" w:rsidR="00E25C87" w:rsidRPr="00E25C87" w:rsidRDefault="00E25C87" w:rsidP="00E25C87">
      <w:pPr>
        <w:rPr>
          <w:sz w:val="24"/>
          <w:lang w:val="en-GB"/>
        </w:rPr>
      </w:pPr>
    </w:p>
    <w:p w14:paraId="4AA2FE20" w14:textId="77777777" w:rsidR="00E25C87" w:rsidRPr="00E25C87" w:rsidRDefault="00E25C87" w:rsidP="00E25C87">
      <w:pPr>
        <w:rPr>
          <w:sz w:val="24"/>
          <w:lang w:val="en-GB"/>
        </w:rPr>
      </w:pPr>
    </w:p>
    <w:p w14:paraId="69FBED2F" w14:textId="77777777" w:rsidR="00E25C87" w:rsidRPr="00E25C87" w:rsidRDefault="00E25C87" w:rsidP="00E25C87">
      <w:pPr>
        <w:rPr>
          <w:sz w:val="24"/>
          <w:lang w:val="en-GB"/>
        </w:rPr>
      </w:pPr>
    </w:p>
    <w:p w14:paraId="6C7AA069" w14:textId="3E87461B" w:rsidR="00BA1CDA" w:rsidRPr="00E25C87" w:rsidRDefault="00BA1CDA" w:rsidP="00EB6EB5">
      <w:pPr>
        <w:rPr>
          <w:lang w:val="en-GB"/>
        </w:rPr>
      </w:pPr>
    </w:p>
    <w:bookmarkEnd w:id="8"/>
    <w:p w14:paraId="669961E2" w14:textId="254D0068" w:rsidR="00BA1CDA" w:rsidRPr="00E25C87" w:rsidRDefault="00BA1CDA" w:rsidP="00EB6EB5">
      <w:pPr>
        <w:rPr>
          <w:lang w:val="en-GB"/>
        </w:rPr>
      </w:pPr>
    </w:p>
    <w:p w14:paraId="16155F70" w14:textId="4CFB145E" w:rsidR="00BA1CDA" w:rsidRPr="00E25C87" w:rsidRDefault="00BA1CDA" w:rsidP="00EB6EB5">
      <w:pPr>
        <w:rPr>
          <w:lang w:val="en-GB"/>
        </w:rPr>
      </w:pPr>
    </w:p>
    <w:p w14:paraId="57493B54" w14:textId="2F75F5E9" w:rsidR="00BA1CDA" w:rsidRPr="00E25C87" w:rsidRDefault="00BA1CDA" w:rsidP="00EB6EB5">
      <w:pPr>
        <w:rPr>
          <w:lang w:val="en-GB"/>
        </w:rPr>
      </w:pPr>
    </w:p>
    <w:p w14:paraId="5B67B0CD" w14:textId="33F69B6A" w:rsidR="00BA1CDA" w:rsidRPr="00E25C87" w:rsidRDefault="00BA1CDA" w:rsidP="00EB6EB5">
      <w:pPr>
        <w:rPr>
          <w:lang w:val="en-GB"/>
        </w:rPr>
      </w:pPr>
    </w:p>
    <w:p w14:paraId="16B4FD6A" w14:textId="386A7F0F" w:rsidR="00BA1CDA" w:rsidRPr="00E25C87" w:rsidRDefault="00BA1CDA" w:rsidP="00EB6EB5">
      <w:pPr>
        <w:rPr>
          <w:lang w:val="en-GB"/>
        </w:rPr>
      </w:pPr>
    </w:p>
    <w:p w14:paraId="68993B16" w14:textId="597CB69F" w:rsidR="00BA1CDA" w:rsidRPr="00E25C87" w:rsidRDefault="00BA1CDA" w:rsidP="00EB6EB5">
      <w:pPr>
        <w:rPr>
          <w:lang w:val="en-GB"/>
        </w:rPr>
      </w:pPr>
    </w:p>
    <w:p w14:paraId="2076E6BA" w14:textId="0C7E35CE" w:rsidR="00BA1CDA" w:rsidRPr="00E25C87" w:rsidRDefault="00BA1CDA" w:rsidP="00EB6EB5">
      <w:pPr>
        <w:rPr>
          <w:lang w:val="en-GB"/>
        </w:rPr>
      </w:pPr>
    </w:p>
    <w:p w14:paraId="60E2D735" w14:textId="7966EF02" w:rsidR="00BA1CDA" w:rsidRPr="00E25C87" w:rsidRDefault="00BA1CDA" w:rsidP="00EB6EB5">
      <w:pPr>
        <w:rPr>
          <w:lang w:val="en-GB"/>
        </w:rPr>
      </w:pPr>
    </w:p>
    <w:p w14:paraId="7CEC08FF" w14:textId="062226C9" w:rsidR="00BA1CDA" w:rsidRPr="00E25C87" w:rsidRDefault="00BA1CDA" w:rsidP="00EB6EB5">
      <w:pPr>
        <w:rPr>
          <w:lang w:val="en-GB"/>
        </w:rPr>
      </w:pPr>
    </w:p>
    <w:p w14:paraId="6736A224" w14:textId="35F736F7" w:rsidR="00BA1CDA" w:rsidRPr="00E25C87" w:rsidRDefault="00BA1CDA" w:rsidP="00EB6EB5">
      <w:pPr>
        <w:rPr>
          <w:lang w:val="en-GB"/>
        </w:rPr>
      </w:pPr>
    </w:p>
    <w:p w14:paraId="68046D2E" w14:textId="0CDD7A8B" w:rsidR="00BA1CDA" w:rsidRPr="00E25C87" w:rsidRDefault="00BA1CDA" w:rsidP="00EB6EB5">
      <w:pPr>
        <w:rPr>
          <w:lang w:val="en-GB"/>
        </w:rPr>
      </w:pPr>
    </w:p>
    <w:p w14:paraId="27B2F180" w14:textId="16E78E86" w:rsidR="00BA1CDA" w:rsidRPr="00E25C87" w:rsidRDefault="00BA1CDA" w:rsidP="00EB6EB5">
      <w:pPr>
        <w:rPr>
          <w:lang w:val="en-GB"/>
        </w:rPr>
      </w:pPr>
    </w:p>
    <w:p w14:paraId="4C53680C" w14:textId="36CB6522" w:rsidR="00BA1CDA" w:rsidRPr="00E25C87" w:rsidRDefault="00BA1CDA" w:rsidP="00EB6EB5">
      <w:pPr>
        <w:rPr>
          <w:lang w:val="en-GB"/>
        </w:rPr>
      </w:pPr>
    </w:p>
    <w:p w14:paraId="33F39BD9" w14:textId="23AEAD26" w:rsidR="00BA1CDA" w:rsidRPr="00E25C87" w:rsidRDefault="00BA1CDA" w:rsidP="00EB6EB5">
      <w:pPr>
        <w:rPr>
          <w:lang w:val="en-GB"/>
        </w:rPr>
      </w:pPr>
    </w:p>
    <w:p w14:paraId="7F35520F" w14:textId="3B99FFB0" w:rsidR="00BA1CDA" w:rsidRPr="00E25C87" w:rsidRDefault="00BA1CDA" w:rsidP="00EB6EB5">
      <w:pPr>
        <w:rPr>
          <w:lang w:val="en-GB"/>
        </w:rPr>
      </w:pPr>
    </w:p>
    <w:p w14:paraId="1DF2CEB1" w14:textId="06F02848" w:rsidR="00BA1CDA" w:rsidRPr="00E25C87" w:rsidRDefault="00BA1CDA" w:rsidP="00EB6EB5">
      <w:pPr>
        <w:rPr>
          <w:lang w:val="en-GB"/>
        </w:rPr>
      </w:pPr>
    </w:p>
    <w:p w14:paraId="46460CAD" w14:textId="08611D5F" w:rsidR="00BA1CDA" w:rsidRPr="00E25C87" w:rsidRDefault="00BA1CDA" w:rsidP="00EB6EB5">
      <w:pPr>
        <w:rPr>
          <w:lang w:val="en-GB"/>
        </w:rPr>
      </w:pPr>
    </w:p>
    <w:p w14:paraId="10B074CB" w14:textId="5C7D5AD3" w:rsidR="00BA1CDA" w:rsidRPr="00E25C87" w:rsidRDefault="00BA1CDA" w:rsidP="00EB6EB5">
      <w:pPr>
        <w:rPr>
          <w:lang w:val="en-GB"/>
        </w:rPr>
      </w:pPr>
    </w:p>
    <w:p w14:paraId="50122AA4" w14:textId="63FAB52F" w:rsidR="00BA1CDA" w:rsidRPr="00E25C87" w:rsidRDefault="00BA1CDA" w:rsidP="00EB6EB5">
      <w:pPr>
        <w:rPr>
          <w:lang w:val="en-GB"/>
        </w:rPr>
      </w:pPr>
    </w:p>
    <w:p w14:paraId="2405C396" w14:textId="0C2D2078" w:rsidR="00BA1CDA" w:rsidRPr="00E25C87" w:rsidRDefault="00BA1CDA" w:rsidP="00EB6EB5">
      <w:pPr>
        <w:rPr>
          <w:lang w:val="en-GB"/>
        </w:rPr>
      </w:pPr>
    </w:p>
    <w:p w14:paraId="3A43604E" w14:textId="45D25977" w:rsidR="00BA1CDA" w:rsidRPr="00E25C87" w:rsidRDefault="00BA1CDA" w:rsidP="00EB6EB5">
      <w:pPr>
        <w:rPr>
          <w:lang w:val="en-GB"/>
        </w:rPr>
      </w:pPr>
    </w:p>
    <w:p w14:paraId="31BF0EDC" w14:textId="77777777" w:rsidR="00BA1CDA" w:rsidRPr="00E25C87" w:rsidRDefault="00BA1CDA" w:rsidP="00EB6EB5">
      <w:pPr>
        <w:rPr>
          <w:lang w:val="en-GB"/>
        </w:rPr>
      </w:pPr>
    </w:p>
    <w:p w14:paraId="42294B26" w14:textId="0A522A5F" w:rsidR="00B34A51" w:rsidRPr="00E25C87" w:rsidRDefault="00B34A51" w:rsidP="00EB6EB5">
      <w:pPr>
        <w:rPr>
          <w:lang w:val="en-GB"/>
        </w:rPr>
      </w:pPr>
    </w:p>
    <w:p w14:paraId="160F84F4" w14:textId="77777777" w:rsidR="00B34A51" w:rsidRPr="00E25C87" w:rsidRDefault="00B34A51" w:rsidP="00EB6EB5">
      <w:pPr>
        <w:rPr>
          <w:lang w:val="en-GB"/>
        </w:rPr>
      </w:pPr>
    </w:p>
    <w:p w14:paraId="076DCCDE" w14:textId="68D22D9F" w:rsidR="00EB6EB5" w:rsidRPr="00E25C87" w:rsidRDefault="00EB6EB5" w:rsidP="00D07C01">
      <w:pPr>
        <w:rPr>
          <w:lang w:val="en-GB"/>
        </w:rPr>
      </w:pPr>
    </w:p>
    <w:p w14:paraId="622D0A58" w14:textId="77777777" w:rsidR="00EB6EB5" w:rsidRPr="00E25C87" w:rsidRDefault="00EB6EB5" w:rsidP="00D07C01">
      <w:pPr>
        <w:rPr>
          <w:lang w:val="en-GB"/>
        </w:rPr>
      </w:pPr>
    </w:p>
    <w:p w14:paraId="29E280EA" w14:textId="77777777" w:rsidR="00932A8F" w:rsidRPr="00E25C87" w:rsidRDefault="00932A8F" w:rsidP="00D07C01">
      <w:pPr>
        <w:rPr>
          <w:lang w:val="en-GB"/>
        </w:rPr>
      </w:pPr>
    </w:p>
    <w:p w14:paraId="2463022F" w14:textId="77777777" w:rsidR="00994A05" w:rsidRPr="00E25C87" w:rsidRDefault="00994A05" w:rsidP="00D66ED0">
      <w:pPr>
        <w:pStyle w:val="Reference"/>
        <w:numPr>
          <w:ilvl w:val="0"/>
          <w:numId w:val="0"/>
        </w:numPr>
        <w:tabs>
          <w:tab w:val="clear" w:pos="346"/>
        </w:tabs>
        <w:spacing w:line="276" w:lineRule="auto"/>
        <w:rPr>
          <w:lang w:val="en-GB"/>
        </w:rPr>
      </w:pPr>
    </w:p>
    <w:sectPr w:rsidR="00994A05" w:rsidRPr="00E25C87"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80B5" w14:textId="77777777" w:rsidR="00866809" w:rsidRDefault="00866809">
      <w:pPr>
        <w:spacing w:line="240" w:lineRule="auto"/>
      </w:pPr>
      <w:r>
        <w:separator/>
      </w:r>
    </w:p>
  </w:endnote>
  <w:endnote w:type="continuationSeparator" w:id="0">
    <w:p w14:paraId="07DB678F" w14:textId="77777777" w:rsidR="00866809" w:rsidRDefault="00866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B87C" w14:textId="77777777" w:rsidR="00866809" w:rsidRDefault="00866809">
      <w:pPr>
        <w:spacing w:line="240" w:lineRule="auto"/>
      </w:pPr>
      <w:r>
        <w:separator/>
      </w:r>
    </w:p>
  </w:footnote>
  <w:footnote w:type="continuationSeparator" w:id="0">
    <w:p w14:paraId="5B6055E5" w14:textId="77777777" w:rsidR="00866809" w:rsidRDefault="00866809">
      <w:pPr>
        <w:spacing w:line="240" w:lineRule="auto"/>
      </w:pPr>
      <w:r>
        <w:continuationSeparator/>
      </w:r>
    </w:p>
  </w:footnote>
  <w:footnote w:id="1">
    <w:p w14:paraId="0E5F3FAF" w14:textId="77777777" w:rsidR="00E33ADC" w:rsidRPr="004507E6" w:rsidRDefault="00E33ADC" w:rsidP="00E33ADC">
      <w:pPr>
        <w:pStyle w:val="Testonotaapidipagina"/>
        <w:rPr>
          <w:lang w:val="it-IT"/>
        </w:rPr>
      </w:pPr>
      <w:r>
        <w:rPr>
          <w:rStyle w:val="Rimandonotaapidipagina"/>
        </w:rPr>
        <w:footnoteRef/>
      </w:r>
      <w:r>
        <w:t xml:space="preserve"> </w:t>
      </w:r>
      <w:r w:rsidRPr="004507E6">
        <w:t>https://ec.europa.eu/eurostat/web/waste/data/indicators</w:t>
      </w:r>
    </w:p>
  </w:footnote>
  <w:footnote w:id="2">
    <w:p w14:paraId="467402BD" w14:textId="54042196" w:rsidR="00FD3C28" w:rsidRPr="00FD3C28" w:rsidRDefault="00FD3C28">
      <w:pPr>
        <w:pStyle w:val="Testonotaapidipagina"/>
        <w:rPr>
          <w:lang w:val="it-IT"/>
        </w:rPr>
      </w:pPr>
      <w:r>
        <w:rPr>
          <w:rStyle w:val="Rimandonotaapidipagina"/>
        </w:rPr>
        <w:footnoteRef/>
      </w:r>
      <w:r w:rsidRPr="00D60B36">
        <w:rPr>
          <w:lang w:val="it-IT"/>
        </w:rPr>
        <w:t xml:space="preserve"> https://eur-lex.europa.eu/legal-content/EN/TXT/?uri=CELEX:02012L0019-20180704</w:t>
      </w:r>
    </w:p>
  </w:footnote>
  <w:footnote w:id="3">
    <w:p w14:paraId="2686E6C3" w14:textId="77777777" w:rsidR="00EE6381" w:rsidRPr="00EA384E" w:rsidRDefault="00EE6381" w:rsidP="00EE6381">
      <w:pPr>
        <w:pStyle w:val="Testonotaapidipagina"/>
        <w:rPr>
          <w:lang w:val="it-IT"/>
        </w:rPr>
      </w:pPr>
      <w:r>
        <w:rPr>
          <w:rStyle w:val="Rimandonotaapidipagina"/>
        </w:rPr>
        <w:footnoteRef/>
      </w:r>
      <w:r w:rsidRPr="001A4672">
        <w:rPr>
          <w:lang w:val="it-IT"/>
        </w:rPr>
        <w:t xml:space="preserve"> https://www.borsinorifiuti.com/2020/prezzirifiuti.php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F863A5"/>
    <w:multiLevelType w:val="hybridMultilevel"/>
    <w:tmpl w:val="E7FE8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0AE77BA"/>
    <w:multiLevelType w:val="multilevel"/>
    <w:tmpl w:val="B5D8B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55F904C3"/>
    <w:multiLevelType w:val="hybridMultilevel"/>
    <w:tmpl w:val="DEAAB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698A229F"/>
    <w:multiLevelType w:val="hybridMultilevel"/>
    <w:tmpl w:val="C9A205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0567535">
    <w:abstractNumId w:val="24"/>
  </w:num>
  <w:num w:numId="2" w16cid:durableId="954562676">
    <w:abstractNumId w:val="19"/>
  </w:num>
  <w:num w:numId="3" w16cid:durableId="2093969621">
    <w:abstractNumId w:val="17"/>
  </w:num>
  <w:num w:numId="4" w16cid:durableId="443892174">
    <w:abstractNumId w:val="9"/>
  </w:num>
  <w:num w:numId="5" w16cid:durableId="1185169268">
    <w:abstractNumId w:val="25"/>
  </w:num>
  <w:num w:numId="6" w16cid:durableId="70785388">
    <w:abstractNumId w:val="10"/>
  </w:num>
  <w:num w:numId="7" w16cid:durableId="1697609266">
    <w:abstractNumId w:val="5"/>
  </w:num>
  <w:num w:numId="8" w16cid:durableId="716273605">
    <w:abstractNumId w:val="12"/>
  </w:num>
  <w:num w:numId="9" w16cid:durableId="658071062">
    <w:abstractNumId w:val="13"/>
  </w:num>
  <w:num w:numId="10" w16cid:durableId="538055485">
    <w:abstractNumId w:val="1"/>
  </w:num>
  <w:num w:numId="11" w16cid:durableId="1624268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992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801611">
    <w:abstractNumId w:val="14"/>
  </w:num>
  <w:num w:numId="14" w16cid:durableId="1183278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4544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0779722">
    <w:abstractNumId w:val="4"/>
  </w:num>
  <w:num w:numId="17" w16cid:durableId="747461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1573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3328164">
    <w:abstractNumId w:val="21"/>
  </w:num>
  <w:num w:numId="20" w16cid:durableId="1257322217">
    <w:abstractNumId w:val="21"/>
  </w:num>
  <w:num w:numId="21" w16cid:durableId="222840590">
    <w:abstractNumId w:val="21"/>
  </w:num>
  <w:num w:numId="22" w16cid:durableId="920673098">
    <w:abstractNumId w:val="10"/>
  </w:num>
  <w:num w:numId="23" w16cid:durableId="1685403432">
    <w:abstractNumId w:val="10"/>
  </w:num>
  <w:num w:numId="24" w16cid:durableId="1189368579">
    <w:abstractNumId w:val="0"/>
  </w:num>
  <w:num w:numId="25" w16cid:durableId="770395163">
    <w:abstractNumId w:val="6"/>
  </w:num>
  <w:num w:numId="26" w16cid:durableId="794787244">
    <w:abstractNumId w:val="3"/>
  </w:num>
  <w:num w:numId="27" w16cid:durableId="1124889008">
    <w:abstractNumId w:val="15"/>
  </w:num>
  <w:num w:numId="28" w16cid:durableId="513613630">
    <w:abstractNumId w:val="2"/>
  </w:num>
  <w:num w:numId="29" w16cid:durableId="767846823">
    <w:abstractNumId w:val="8"/>
  </w:num>
  <w:num w:numId="30" w16cid:durableId="1678147107">
    <w:abstractNumId w:val="10"/>
  </w:num>
  <w:num w:numId="31" w16cid:durableId="2058700303">
    <w:abstractNumId w:val="10"/>
  </w:num>
  <w:num w:numId="32" w16cid:durableId="1675374203">
    <w:abstractNumId w:val="10"/>
  </w:num>
  <w:num w:numId="33" w16cid:durableId="1869565567">
    <w:abstractNumId w:val="10"/>
  </w:num>
  <w:num w:numId="34" w16cid:durableId="1058868285">
    <w:abstractNumId w:val="10"/>
  </w:num>
  <w:num w:numId="35" w16cid:durableId="304942726">
    <w:abstractNumId w:val="10"/>
  </w:num>
  <w:num w:numId="36" w16cid:durableId="1730107736">
    <w:abstractNumId w:val="10"/>
  </w:num>
  <w:num w:numId="37" w16cid:durableId="1614828251">
    <w:abstractNumId w:val="10"/>
  </w:num>
  <w:num w:numId="38" w16cid:durableId="317153392">
    <w:abstractNumId w:val="10"/>
    <w:lvlOverride w:ilvl="0">
      <w:startOverride w:val="1"/>
    </w:lvlOverride>
  </w:num>
  <w:num w:numId="39" w16cid:durableId="388967768">
    <w:abstractNumId w:val="7"/>
  </w:num>
  <w:num w:numId="40" w16cid:durableId="1289513978">
    <w:abstractNumId w:val="10"/>
  </w:num>
  <w:num w:numId="41" w16cid:durableId="747191688">
    <w:abstractNumId w:val="10"/>
  </w:num>
  <w:num w:numId="42" w16cid:durableId="982541879">
    <w:abstractNumId w:val="10"/>
  </w:num>
  <w:num w:numId="43" w16cid:durableId="1102188301">
    <w:abstractNumId w:val="23"/>
  </w:num>
  <w:num w:numId="44" w16cid:durableId="2104063686">
    <w:abstractNumId w:val="18"/>
  </w:num>
  <w:num w:numId="45" w16cid:durableId="1811971971">
    <w:abstractNumId w:val="11"/>
  </w:num>
  <w:num w:numId="46" w16cid:durableId="10163483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492"/>
    <w:rsid w:val="000358C0"/>
    <w:rsid w:val="00041C51"/>
    <w:rsid w:val="000441DB"/>
    <w:rsid w:val="000518B1"/>
    <w:rsid w:val="00054B55"/>
    <w:rsid w:val="00055617"/>
    <w:rsid w:val="00062998"/>
    <w:rsid w:val="00064B85"/>
    <w:rsid w:val="0007387C"/>
    <w:rsid w:val="00073CDE"/>
    <w:rsid w:val="00074177"/>
    <w:rsid w:val="0007584D"/>
    <w:rsid w:val="000771BE"/>
    <w:rsid w:val="000776DD"/>
    <w:rsid w:val="00082690"/>
    <w:rsid w:val="00091C13"/>
    <w:rsid w:val="00091CF5"/>
    <w:rsid w:val="00096466"/>
    <w:rsid w:val="00096B47"/>
    <w:rsid w:val="000A0084"/>
    <w:rsid w:val="000A596C"/>
    <w:rsid w:val="000B2D8B"/>
    <w:rsid w:val="000C618B"/>
    <w:rsid w:val="000D5C93"/>
    <w:rsid w:val="000E2F27"/>
    <w:rsid w:val="000E758C"/>
    <w:rsid w:val="000F254D"/>
    <w:rsid w:val="000F5341"/>
    <w:rsid w:val="001002D8"/>
    <w:rsid w:val="00107A8A"/>
    <w:rsid w:val="001110C2"/>
    <w:rsid w:val="00112BDF"/>
    <w:rsid w:val="00113DAF"/>
    <w:rsid w:val="00114526"/>
    <w:rsid w:val="00115B90"/>
    <w:rsid w:val="00122983"/>
    <w:rsid w:val="00124870"/>
    <w:rsid w:val="00125DB4"/>
    <w:rsid w:val="00131E77"/>
    <w:rsid w:val="00132754"/>
    <w:rsid w:val="001334DD"/>
    <w:rsid w:val="00136D00"/>
    <w:rsid w:val="00142884"/>
    <w:rsid w:val="001429F4"/>
    <w:rsid w:val="00143A95"/>
    <w:rsid w:val="00150B8B"/>
    <w:rsid w:val="00151DC5"/>
    <w:rsid w:val="001532EF"/>
    <w:rsid w:val="001540CF"/>
    <w:rsid w:val="00154902"/>
    <w:rsid w:val="001646F6"/>
    <w:rsid w:val="00180BB3"/>
    <w:rsid w:val="00192D52"/>
    <w:rsid w:val="00194854"/>
    <w:rsid w:val="00197107"/>
    <w:rsid w:val="00197312"/>
    <w:rsid w:val="001A4672"/>
    <w:rsid w:val="001A52A5"/>
    <w:rsid w:val="001B1B69"/>
    <w:rsid w:val="001B43AB"/>
    <w:rsid w:val="001C41D2"/>
    <w:rsid w:val="001C6D78"/>
    <w:rsid w:val="001D184B"/>
    <w:rsid w:val="001D480B"/>
    <w:rsid w:val="001E38A2"/>
    <w:rsid w:val="001E44C7"/>
    <w:rsid w:val="00200467"/>
    <w:rsid w:val="00201FCF"/>
    <w:rsid w:val="00204DC7"/>
    <w:rsid w:val="00205C1E"/>
    <w:rsid w:val="0020681C"/>
    <w:rsid w:val="00207546"/>
    <w:rsid w:val="00214440"/>
    <w:rsid w:val="00215D25"/>
    <w:rsid w:val="00224479"/>
    <w:rsid w:val="00226436"/>
    <w:rsid w:val="00231470"/>
    <w:rsid w:val="002415C4"/>
    <w:rsid w:val="00243B38"/>
    <w:rsid w:val="00247384"/>
    <w:rsid w:val="00251C05"/>
    <w:rsid w:val="002524D4"/>
    <w:rsid w:val="00256E13"/>
    <w:rsid w:val="0026025E"/>
    <w:rsid w:val="00260E32"/>
    <w:rsid w:val="0026349E"/>
    <w:rsid w:val="00265B71"/>
    <w:rsid w:val="002660BC"/>
    <w:rsid w:val="00271AC9"/>
    <w:rsid w:val="00272FF7"/>
    <w:rsid w:val="00276C2E"/>
    <w:rsid w:val="002807E5"/>
    <w:rsid w:val="00281505"/>
    <w:rsid w:val="00281F6D"/>
    <w:rsid w:val="00282157"/>
    <w:rsid w:val="00287F3D"/>
    <w:rsid w:val="002946A4"/>
    <w:rsid w:val="0029546D"/>
    <w:rsid w:val="00295533"/>
    <w:rsid w:val="00296ECD"/>
    <w:rsid w:val="002A2910"/>
    <w:rsid w:val="002A36A5"/>
    <w:rsid w:val="002A45C3"/>
    <w:rsid w:val="002B1AD8"/>
    <w:rsid w:val="002C06E7"/>
    <w:rsid w:val="002C3CED"/>
    <w:rsid w:val="002C5CB4"/>
    <w:rsid w:val="002C6364"/>
    <w:rsid w:val="002D29FD"/>
    <w:rsid w:val="002D3231"/>
    <w:rsid w:val="002D3FB9"/>
    <w:rsid w:val="002D414C"/>
    <w:rsid w:val="002D672B"/>
    <w:rsid w:val="002E4DAC"/>
    <w:rsid w:val="002E6684"/>
    <w:rsid w:val="002F01ED"/>
    <w:rsid w:val="002F1E1A"/>
    <w:rsid w:val="002F7330"/>
    <w:rsid w:val="002F74ED"/>
    <w:rsid w:val="003069D3"/>
    <w:rsid w:val="003100D7"/>
    <w:rsid w:val="003111B2"/>
    <w:rsid w:val="003157E6"/>
    <w:rsid w:val="003215D6"/>
    <w:rsid w:val="00322DA4"/>
    <w:rsid w:val="00323789"/>
    <w:rsid w:val="00324DA4"/>
    <w:rsid w:val="0033032F"/>
    <w:rsid w:val="0033281A"/>
    <w:rsid w:val="00332921"/>
    <w:rsid w:val="003331B5"/>
    <w:rsid w:val="00335F68"/>
    <w:rsid w:val="003360BF"/>
    <w:rsid w:val="0033631D"/>
    <w:rsid w:val="003370A0"/>
    <w:rsid w:val="00341D1E"/>
    <w:rsid w:val="003436C5"/>
    <w:rsid w:val="00351A4F"/>
    <w:rsid w:val="00354949"/>
    <w:rsid w:val="003604F7"/>
    <w:rsid w:val="003609D7"/>
    <w:rsid w:val="00362D5B"/>
    <w:rsid w:val="00362DC1"/>
    <w:rsid w:val="00364272"/>
    <w:rsid w:val="00371859"/>
    <w:rsid w:val="003719E6"/>
    <w:rsid w:val="00372272"/>
    <w:rsid w:val="00373C13"/>
    <w:rsid w:val="00380911"/>
    <w:rsid w:val="003812D5"/>
    <w:rsid w:val="0038280F"/>
    <w:rsid w:val="003A4089"/>
    <w:rsid w:val="003A5919"/>
    <w:rsid w:val="003B2BC3"/>
    <w:rsid w:val="003B392B"/>
    <w:rsid w:val="003C3C61"/>
    <w:rsid w:val="003E0086"/>
    <w:rsid w:val="003E156F"/>
    <w:rsid w:val="003E6F2A"/>
    <w:rsid w:val="003F1D3A"/>
    <w:rsid w:val="003F21E5"/>
    <w:rsid w:val="00400544"/>
    <w:rsid w:val="00402E4D"/>
    <w:rsid w:val="00403340"/>
    <w:rsid w:val="00405A29"/>
    <w:rsid w:val="004112B0"/>
    <w:rsid w:val="00412D22"/>
    <w:rsid w:val="004136C5"/>
    <w:rsid w:val="00416BA3"/>
    <w:rsid w:val="00417671"/>
    <w:rsid w:val="004178FA"/>
    <w:rsid w:val="00417DA2"/>
    <w:rsid w:val="004225DE"/>
    <w:rsid w:val="004226E9"/>
    <w:rsid w:val="00423906"/>
    <w:rsid w:val="00425A66"/>
    <w:rsid w:val="00430738"/>
    <w:rsid w:val="00430D5E"/>
    <w:rsid w:val="004346D8"/>
    <w:rsid w:val="00445735"/>
    <w:rsid w:val="004479AA"/>
    <w:rsid w:val="004507E6"/>
    <w:rsid w:val="00450EF2"/>
    <w:rsid w:val="00452DE7"/>
    <w:rsid w:val="00453F74"/>
    <w:rsid w:val="004554B8"/>
    <w:rsid w:val="00462CBA"/>
    <w:rsid w:val="00464BF3"/>
    <w:rsid w:val="00466742"/>
    <w:rsid w:val="00474C6A"/>
    <w:rsid w:val="00476B0B"/>
    <w:rsid w:val="00476E8C"/>
    <w:rsid w:val="0048706B"/>
    <w:rsid w:val="00490A7E"/>
    <w:rsid w:val="004A6480"/>
    <w:rsid w:val="004A6ABE"/>
    <w:rsid w:val="004A6AF7"/>
    <w:rsid w:val="004A758A"/>
    <w:rsid w:val="004B0437"/>
    <w:rsid w:val="004C0B1B"/>
    <w:rsid w:val="004C7AE9"/>
    <w:rsid w:val="004C7EF8"/>
    <w:rsid w:val="004D03EE"/>
    <w:rsid w:val="004D76DE"/>
    <w:rsid w:val="004D7CBE"/>
    <w:rsid w:val="004E10DB"/>
    <w:rsid w:val="004E54C3"/>
    <w:rsid w:val="004F3F3C"/>
    <w:rsid w:val="004F6371"/>
    <w:rsid w:val="005052EC"/>
    <w:rsid w:val="0050550F"/>
    <w:rsid w:val="00511ADA"/>
    <w:rsid w:val="00516571"/>
    <w:rsid w:val="00522FC9"/>
    <w:rsid w:val="005275B0"/>
    <w:rsid w:val="005308EB"/>
    <w:rsid w:val="00530FA2"/>
    <w:rsid w:val="005327E5"/>
    <w:rsid w:val="005501B1"/>
    <w:rsid w:val="0055239B"/>
    <w:rsid w:val="00553BA1"/>
    <w:rsid w:val="005567E0"/>
    <w:rsid w:val="005571FB"/>
    <w:rsid w:val="0056238C"/>
    <w:rsid w:val="00565DC9"/>
    <w:rsid w:val="00566851"/>
    <w:rsid w:val="005766F1"/>
    <w:rsid w:val="00577E65"/>
    <w:rsid w:val="00584269"/>
    <w:rsid w:val="005855E7"/>
    <w:rsid w:val="00594E12"/>
    <w:rsid w:val="00596504"/>
    <w:rsid w:val="005A0D11"/>
    <w:rsid w:val="005A331D"/>
    <w:rsid w:val="005A4B94"/>
    <w:rsid w:val="005A5AC8"/>
    <w:rsid w:val="005B22D7"/>
    <w:rsid w:val="005B238B"/>
    <w:rsid w:val="005B7822"/>
    <w:rsid w:val="005C400D"/>
    <w:rsid w:val="005C4AA9"/>
    <w:rsid w:val="005C503A"/>
    <w:rsid w:val="005C5799"/>
    <w:rsid w:val="005C5C47"/>
    <w:rsid w:val="005D2441"/>
    <w:rsid w:val="005D2BB9"/>
    <w:rsid w:val="005E4032"/>
    <w:rsid w:val="005F12D1"/>
    <w:rsid w:val="005F6023"/>
    <w:rsid w:val="00602BB6"/>
    <w:rsid w:val="00607D09"/>
    <w:rsid w:val="00616655"/>
    <w:rsid w:val="00616FBE"/>
    <w:rsid w:val="00617AE9"/>
    <w:rsid w:val="00617E2D"/>
    <w:rsid w:val="00622050"/>
    <w:rsid w:val="00623113"/>
    <w:rsid w:val="006232D0"/>
    <w:rsid w:val="00626616"/>
    <w:rsid w:val="006334AA"/>
    <w:rsid w:val="00633639"/>
    <w:rsid w:val="0064475B"/>
    <w:rsid w:val="00647807"/>
    <w:rsid w:val="00680158"/>
    <w:rsid w:val="00680A8B"/>
    <w:rsid w:val="00682410"/>
    <w:rsid w:val="00690D9A"/>
    <w:rsid w:val="006913D2"/>
    <w:rsid w:val="006953B9"/>
    <w:rsid w:val="006957D8"/>
    <w:rsid w:val="006A5F51"/>
    <w:rsid w:val="006A7075"/>
    <w:rsid w:val="006B09F1"/>
    <w:rsid w:val="006B2F24"/>
    <w:rsid w:val="006C12C8"/>
    <w:rsid w:val="006C5078"/>
    <w:rsid w:val="006C7CB5"/>
    <w:rsid w:val="006D5BDA"/>
    <w:rsid w:val="006D7E12"/>
    <w:rsid w:val="006E32F1"/>
    <w:rsid w:val="006E3F4C"/>
    <w:rsid w:val="006E7D1D"/>
    <w:rsid w:val="006F55CA"/>
    <w:rsid w:val="006F62DC"/>
    <w:rsid w:val="00701A95"/>
    <w:rsid w:val="00706063"/>
    <w:rsid w:val="00706B35"/>
    <w:rsid w:val="00707D3A"/>
    <w:rsid w:val="00710ED0"/>
    <w:rsid w:val="00717EF2"/>
    <w:rsid w:val="00734E09"/>
    <w:rsid w:val="00736B36"/>
    <w:rsid w:val="00740C3C"/>
    <w:rsid w:val="007410FD"/>
    <w:rsid w:val="007456FD"/>
    <w:rsid w:val="00745D4D"/>
    <w:rsid w:val="00746831"/>
    <w:rsid w:val="00746EEB"/>
    <w:rsid w:val="007543F6"/>
    <w:rsid w:val="00757B23"/>
    <w:rsid w:val="007639DD"/>
    <w:rsid w:val="007658AF"/>
    <w:rsid w:val="00770002"/>
    <w:rsid w:val="007733CE"/>
    <w:rsid w:val="007740B5"/>
    <w:rsid w:val="007743D3"/>
    <w:rsid w:val="007808F3"/>
    <w:rsid w:val="00780963"/>
    <w:rsid w:val="00784F76"/>
    <w:rsid w:val="007854CD"/>
    <w:rsid w:val="00787225"/>
    <w:rsid w:val="00787DF5"/>
    <w:rsid w:val="00791B0C"/>
    <w:rsid w:val="007960EE"/>
    <w:rsid w:val="007A5A0B"/>
    <w:rsid w:val="007A5C6A"/>
    <w:rsid w:val="007A7E8D"/>
    <w:rsid w:val="007B0738"/>
    <w:rsid w:val="007B567F"/>
    <w:rsid w:val="007C4887"/>
    <w:rsid w:val="007D0E64"/>
    <w:rsid w:val="007D4C47"/>
    <w:rsid w:val="007E2A4C"/>
    <w:rsid w:val="007E5871"/>
    <w:rsid w:val="007F2C96"/>
    <w:rsid w:val="007F33D4"/>
    <w:rsid w:val="007F3B7E"/>
    <w:rsid w:val="007F5117"/>
    <w:rsid w:val="007F7EDC"/>
    <w:rsid w:val="00804166"/>
    <w:rsid w:val="00811C43"/>
    <w:rsid w:val="00813091"/>
    <w:rsid w:val="00813818"/>
    <w:rsid w:val="00813ADF"/>
    <w:rsid w:val="008171D4"/>
    <w:rsid w:val="00820F66"/>
    <w:rsid w:val="008235E8"/>
    <w:rsid w:val="008349D8"/>
    <w:rsid w:val="00836890"/>
    <w:rsid w:val="00842480"/>
    <w:rsid w:val="00844298"/>
    <w:rsid w:val="00846FDB"/>
    <w:rsid w:val="00854CEB"/>
    <w:rsid w:val="00855A7B"/>
    <w:rsid w:val="00863E9B"/>
    <w:rsid w:val="00864C5F"/>
    <w:rsid w:val="00865675"/>
    <w:rsid w:val="00866809"/>
    <w:rsid w:val="00867EB1"/>
    <w:rsid w:val="00870B2F"/>
    <w:rsid w:val="00872C4B"/>
    <w:rsid w:val="008743F1"/>
    <w:rsid w:val="00883434"/>
    <w:rsid w:val="00883ADA"/>
    <w:rsid w:val="00885E21"/>
    <w:rsid w:val="00886930"/>
    <w:rsid w:val="00890039"/>
    <w:rsid w:val="008950D5"/>
    <w:rsid w:val="008A3CBB"/>
    <w:rsid w:val="008A6BEC"/>
    <w:rsid w:val="008B058F"/>
    <w:rsid w:val="008B0E64"/>
    <w:rsid w:val="008B3115"/>
    <w:rsid w:val="008B4D69"/>
    <w:rsid w:val="008B5AAC"/>
    <w:rsid w:val="008B72FF"/>
    <w:rsid w:val="008C1A0D"/>
    <w:rsid w:val="008C4818"/>
    <w:rsid w:val="008C628D"/>
    <w:rsid w:val="008C6472"/>
    <w:rsid w:val="008C685C"/>
    <w:rsid w:val="008D3FDC"/>
    <w:rsid w:val="008D59D4"/>
    <w:rsid w:val="008D614A"/>
    <w:rsid w:val="008E0031"/>
    <w:rsid w:val="008F2AE1"/>
    <w:rsid w:val="008F378A"/>
    <w:rsid w:val="008F43D1"/>
    <w:rsid w:val="008F4E05"/>
    <w:rsid w:val="008F6B46"/>
    <w:rsid w:val="009038CC"/>
    <w:rsid w:val="009128B3"/>
    <w:rsid w:val="00913BEA"/>
    <w:rsid w:val="00922EDF"/>
    <w:rsid w:val="00925C93"/>
    <w:rsid w:val="00926432"/>
    <w:rsid w:val="0093138F"/>
    <w:rsid w:val="00932A58"/>
    <w:rsid w:val="00932A8F"/>
    <w:rsid w:val="00933404"/>
    <w:rsid w:val="00936542"/>
    <w:rsid w:val="00943340"/>
    <w:rsid w:val="00947FA5"/>
    <w:rsid w:val="0095003F"/>
    <w:rsid w:val="00962F68"/>
    <w:rsid w:val="00965615"/>
    <w:rsid w:val="00965BD2"/>
    <w:rsid w:val="0096745D"/>
    <w:rsid w:val="0097219A"/>
    <w:rsid w:val="00982020"/>
    <w:rsid w:val="009848F2"/>
    <w:rsid w:val="00986DC5"/>
    <w:rsid w:val="00994A05"/>
    <w:rsid w:val="00994D6B"/>
    <w:rsid w:val="009A4835"/>
    <w:rsid w:val="009A6DBF"/>
    <w:rsid w:val="009B02A3"/>
    <w:rsid w:val="009C4022"/>
    <w:rsid w:val="009C6B67"/>
    <w:rsid w:val="009D0521"/>
    <w:rsid w:val="009D0E30"/>
    <w:rsid w:val="009D3A6F"/>
    <w:rsid w:val="009D479A"/>
    <w:rsid w:val="009D47BE"/>
    <w:rsid w:val="009D6661"/>
    <w:rsid w:val="009D7165"/>
    <w:rsid w:val="009E0E79"/>
    <w:rsid w:val="009E23F3"/>
    <w:rsid w:val="009E690F"/>
    <w:rsid w:val="009F68F7"/>
    <w:rsid w:val="00A01F84"/>
    <w:rsid w:val="00A074B8"/>
    <w:rsid w:val="00A1065E"/>
    <w:rsid w:val="00A110F9"/>
    <w:rsid w:val="00A1240E"/>
    <w:rsid w:val="00A12967"/>
    <w:rsid w:val="00A138D7"/>
    <w:rsid w:val="00A168C4"/>
    <w:rsid w:val="00A17B32"/>
    <w:rsid w:val="00A20338"/>
    <w:rsid w:val="00A272E8"/>
    <w:rsid w:val="00A36643"/>
    <w:rsid w:val="00A370E2"/>
    <w:rsid w:val="00A40A78"/>
    <w:rsid w:val="00A45249"/>
    <w:rsid w:val="00A45CB2"/>
    <w:rsid w:val="00A468DC"/>
    <w:rsid w:val="00A46E86"/>
    <w:rsid w:val="00A47017"/>
    <w:rsid w:val="00A51BA0"/>
    <w:rsid w:val="00A53732"/>
    <w:rsid w:val="00A552C4"/>
    <w:rsid w:val="00A56CDE"/>
    <w:rsid w:val="00A61854"/>
    <w:rsid w:val="00A63764"/>
    <w:rsid w:val="00A639EF"/>
    <w:rsid w:val="00A63B13"/>
    <w:rsid w:val="00A65462"/>
    <w:rsid w:val="00A659EC"/>
    <w:rsid w:val="00A667EE"/>
    <w:rsid w:val="00A72F1D"/>
    <w:rsid w:val="00A7629D"/>
    <w:rsid w:val="00A77727"/>
    <w:rsid w:val="00A80BE1"/>
    <w:rsid w:val="00AA2516"/>
    <w:rsid w:val="00AA44B5"/>
    <w:rsid w:val="00AB35C3"/>
    <w:rsid w:val="00AB3AE7"/>
    <w:rsid w:val="00AC73DE"/>
    <w:rsid w:val="00AD1047"/>
    <w:rsid w:val="00AD2AE9"/>
    <w:rsid w:val="00AE1F85"/>
    <w:rsid w:val="00AF1114"/>
    <w:rsid w:val="00AF3380"/>
    <w:rsid w:val="00AF3C18"/>
    <w:rsid w:val="00AF45AB"/>
    <w:rsid w:val="00AF7D8E"/>
    <w:rsid w:val="00B033BC"/>
    <w:rsid w:val="00B0708D"/>
    <w:rsid w:val="00B07AFF"/>
    <w:rsid w:val="00B07E02"/>
    <w:rsid w:val="00B10CED"/>
    <w:rsid w:val="00B214D7"/>
    <w:rsid w:val="00B218AA"/>
    <w:rsid w:val="00B267AB"/>
    <w:rsid w:val="00B34A51"/>
    <w:rsid w:val="00B36A92"/>
    <w:rsid w:val="00B41933"/>
    <w:rsid w:val="00B41D35"/>
    <w:rsid w:val="00B43CFB"/>
    <w:rsid w:val="00B453CE"/>
    <w:rsid w:val="00B469F2"/>
    <w:rsid w:val="00B46E7C"/>
    <w:rsid w:val="00B53A9E"/>
    <w:rsid w:val="00B631AB"/>
    <w:rsid w:val="00B6419A"/>
    <w:rsid w:val="00B75B4B"/>
    <w:rsid w:val="00B8016F"/>
    <w:rsid w:val="00B817CF"/>
    <w:rsid w:val="00B972C3"/>
    <w:rsid w:val="00BA1CDA"/>
    <w:rsid w:val="00BA2174"/>
    <w:rsid w:val="00BA3D61"/>
    <w:rsid w:val="00BA591F"/>
    <w:rsid w:val="00BB0078"/>
    <w:rsid w:val="00BB5183"/>
    <w:rsid w:val="00BC3E12"/>
    <w:rsid w:val="00BC69FF"/>
    <w:rsid w:val="00BC7A74"/>
    <w:rsid w:val="00BD4DA7"/>
    <w:rsid w:val="00BD5DF7"/>
    <w:rsid w:val="00BE3E2D"/>
    <w:rsid w:val="00BE4FFE"/>
    <w:rsid w:val="00BE731C"/>
    <w:rsid w:val="00BF1316"/>
    <w:rsid w:val="00C05871"/>
    <w:rsid w:val="00C15C34"/>
    <w:rsid w:val="00C22525"/>
    <w:rsid w:val="00C25E10"/>
    <w:rsid w:val="00C31D24"/>
    <w:rsid w:val="00C32A69"/>
    <w:rsid w:val="00C41596"/>
    <w:rsid w:val="00C43441"/>
    <w:rsid w:val="00C47221"/>
    <w:rsid w:val="00C56538"/>
    <w:rsid w:val="00C5684B"/>
    <w:rsid w:val="00C72DFB"/>
    <w:rsid w:val="00C764D5"/>
    <w:rsid w:val="00C8117D"/>
    <w:rsid w:val="00C82890"/>
    <w:rsid w:val="00C84C2F"/>
    <w:rsid w:val="00C87367"/>
    <w:rsid w:val="00CA001C"/>
    <w:rsid w:val="00CA1199"/>
    <w:rsid w:val="00CA12D7"/>
    <w:rsid w:val="00CA21DA"/>
    <w:rsid w:val="00CA3394"/>
    <w:rsid w:val="00CA7FFA"/>
    <w:rsid w:val="00CB58DC"/>
    <w:rsid w:val="00CC03AA"/>
    <w:rsid w:val="00CC04A2"/>
    <w:rsid w:val="00CC07F8"/>
    <w:rsid w:val="00CC3E0D"/>
    <w:rsid w:val="00CC7C6E"/>
    <w:rsid w:val="00CD18DF"/>
    <w:rsid w:val="00CD3EC3"/>
    <w:rsid w:val="00CD4C0A"/>
    <w:rsid w:val="00CD5605"/>
    <w:rsid w:val="00CD6D0B"/>
    <w:rsid w:val="00CD74E8"/>
    <w:rsid w:val="00CE0383"/>
    <w:rsid w:val="00CE217F"/>
    <w:rsid w:val="00CF0E98"/>
    <w:rsid w:val="00CF2A3A"/>
    <w:rsid w:val="00CF74EC"/>
    <w:rsid w:val="00D019A6"/>
    <w:rsid w:val="00D02EA3"/>
    <w:rsid w:val="00D03282"/>
    <w:rsid w:val="00D069E4"/>
    <w:rsid w:val="00D07C01"/>
    <w:rsid w:val="00D142C3"/>
    <w:rsid w:val="00D15554"/>
    <w:rsid w:val="00D22B5A"/>
    <w:rsid w:val="00D24030"/>
    <w:rsid w:val="00D32287"/>
    <w:rsid w:val="00D32E56"/>
    <w:rsid w:val="00D33403"/>
    <w:rsid w:val="00D33858"/>
    <w:rsid w:val="00D40645"/>
    <w:rsid w:val="00D41040"/>
    <w:rsid w:val="00D42278"/>
    <w:rsid w:val="00D42803"/>
    <w:rsid w:val="00D50412"/>
    <w:rsid w:val="00D5468B"/>
    <w:rsid w:val="00D551B9"/>
    <w:rsid w:val="00D5596B"/>
    <w:rsid w:val="00D56539"/>
    <w:rsid w:val="00D566BC"/>
    <w:rsid w:val="00D60B36"/>
    <w:rsid w:val="00D617D8"/>
    <w:rsid w:val="00D65CAD"/>
    <w:rsid w:val="00D66C5D"/>
    <w:rsid w:val="00D66ED0"/>
    <w:rsid w:val="00D76917"/>
    <w:rsid w:val="00D83A9B"/>
    <w:rsid w:val="00D84BE5"/>
    <w:rsid w:val="00D90731"/>
    <w:rsid w:val="00D9637A"/>
    <w:rsid w:val="00DA09FA"/>
    <w:rsid w:val="00DB163E"/>
    <w:rsid w:val="00DB4AE0"/>
    <w:rsid w:val="00DB6C4D"/>
    <w:rsid w:val="00DB7838"/>
    <w:rsid w:val="00DB7B7D"/>
    <w:rsid w:val="00DD3D5B"/>
    <w:rsid w:val="00DD4ED3"/>
    <w:rsid w:val="00DE293F"/>
    <w:rsid w:val="00DE6CE1"/>
    <w:rsid w:val="00DF0510"/>
    <w:rsid w:val="00DF13A1"/>
    <w:rsid w:val="00DF1E35"/>
    <w:rsid w:val="00DF2FB4"/>
    <w:rsid w:val="00E0073A"/>
    <w:rsid w:val="00E01235"/>
    <w:rsid w:val="00E02792"/>
    <w:rsid w:val="00E02CF0"/>
    <w:rsid w:val="00E12E41"/>
    <w:rsid w:val="00E16776"/>
    <w:rsid w:val="00E17CD5"/>
    <w:rsid w:val="00E23375"/>
    <w:rsid w:val="00E24725"/>
    <w:rsid w:val="00E25C87"/>
    <w:rsid w:val="00E33ADC"/>
    <w:rsid w:val="00E3553B"/>
    <w:rsid w:val="00E364ED"/>
    <w:rsid w:val="00E43F28"/>
    <w:rsid w:val="00E474C3"/>
    <w:rsid w:val="00E5025A"/>
    <w:rsid w:val="00E51B4C"/>
    <w:rsid w:val="00E5642A"/>
    <w:rsid w:val="00E66E69"/>
    <w:rsid w:val="00E73C1A"/>
    <w:rsid w:val="00E75785"/>
    <w:rsid w:val="00E8137F"/>
    <w:rsid w:val="00E9559E"/>
    <w:rsid w:val="00EA169E"/>
    <w:rsid w:val="00EB31D3"/>
    <w:rsid w:val="00EB6346"/>
    <w:rsid w:val="00EB6EB5"/>
    <w:rsid w:val="00EB79AF"/>
    <w:rsid w:val="00EC0855"/>
    <w:rsid w:val="00ED3556"/>
    <w:rsid w:val="00ED3BDA"/>
    <w:rsid w:val="00ED6E63"/>
    <w:rsid w:val="00EE3B7E"/>
    <w:rsid w:val="00EE62F2"/>
    <w:rsid w:val="00EE6381"/>
    <w:rsid w:val="00EE6A5A"/>
    <w:rsid w:val="00EF32B6"/>
    <w:rsid w:val="00F0580A"/>
    <w:rsid w:val="00F115BF"/>
    <w:rsid w:val="00F12BC6"/>
    <w:rsid w:val="00F24473"/>
    <w:rsid w:val="00F244BF"/>
    <w:rsid w:val="00F25FBD"/>
    <w:rsid w:val="00F26CCF"/>
    <w:rsid w:val="00F27400"/>
    <w:rsid w:val="00F32081"/>
    <w:rsid w:val="00F43024"/>
    <w:rsid w:val="00F463C7"/>
    <w:rsid w:val="00F5081D"/>
    <w:rsid w:val="00F605AB"/>
    <w:rsid w:val="00F60A2A"/>
    <w:rsid w:val="00F61060"/>
    <w:rsid w:val="00F645D6"/>
    <w:rsid w:val="00F72142"/>
    <w:rsid w:val="00F72887"/>
    <w:rsid w:val="00F76A58"/>
    <w:rsid w:val="00F77123"/>
    <w:rsid w:val="00F809DE"/>
    <w:rsid w:val="00F86366"/>
    <w:rsid w:val="00F87A09"/>
    <w:rsid w:val="00F944BB"/>
    <w:rsid w:val="00FA03BC"/>
    <w:rsid w:val="00FA394E"/>
    <w:rsid w:val="00FA6A4A"/>
    <w:rsid w:val="00FB037F"/>
    <w:rsid w:val="00FB126F"/>
    <w:rsid w:val="00FB3213"/>
    <w:rsid w:val="00FB55C5"/>
    <w:rsid w:val="00FB6DC9"/>
    <w:rsid w:val="00FB7056"/>
    <w:rsid w:val="00FC0777"/>
    <w:rsid w:val="00FC3730"/>
    <w:rsid w:val="00FC3A4D"/>
    <w:rsid w:val="00FD3C28"/>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0E758C"/>
    <w:pPr>
      <w:ind w:left="720"/>
      <w:contextualSpacing/>
    </w:pPr>
  </w:style>
  <w:style w:type="table" w:styleId="Grigliatabella">
    <w:name w:val="Table Grid"/>
    <w:basedOn w:val="Tabellanormale"/>
    <w:uiPriority w:val="39"/>
    <w:rsid w:val="0053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F72887"/>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154902"/>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BA1CDA"/>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A074B8"/>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A659EC"/>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60B36"/>
    <w:rPr>
      <w:sz w:val="16"/>
      <w:szCs w:val="16"/>
    </w:rPr>
  </w:style>
  <w:style w:type="paragraph" w:styleId="Testocommento">
    <w:name w:val="annotation text"/>
    <w:basedOn w:val="Normale"/>
    <w:link w:val="TestocommentoCarattere"/>
    <w:uiPriority w:val="99"/>
    <w:semiHidden/>
    <w:unhideWhenUsed/>
    <w:rsid w:val="00D60B36"/>
    <w:pPr>
      <w:spacing w:line="240" w:lineRule="auto"/>
    </w:pPr>
    <w:rPr>
      <w:sz w:val="20"/>
    </w:rPr>
  </w:style>
  <w:style w:type="character" w:customStyle="1" w:styleId="TestocommentoCarattere">
    <w:name w:val="Testo commento Carattere"/>
    <w:basedOn w:val="Carpredefinitoparagrafo"/>
    <w:link w:val="Testocommento"/>
    <w:uiPriority w:val="99"/>
    <w:semiHidden/>
    <w:rsid w:val="00D60B36"/>
  </w:style>
  <w:style w:type="paragraph" w:styleId="Soggettocommento">
    <w:name w:val="annotation subject"/>
    <w:basedOn w:val="Testocommento"/>
    <w:next w:val="Testocommento"/>
    <w:link w:val="SoggettocommentoCarattere"/>
    <w:uiPriority w:val="99"/>
    <w:semiHidden/>
    <w:unhideWhenUsed/>
    <w:rsid w:val="00D60B36"/>
    <w:rPr>
      <w:b/>
      <w:bCs/>
    </w:rPr>
  </w:style>
  <w:style w:type="character" w:customStyle="1" w:styleId="SoggettocommentoCarattere">
    <w:name w:val="Soggetto commento Carattere"/>
    <w:basedOn w:val="TestocommentoCarattere"/>
    <w:link w:val="Soggettocommento"/>
    <w:uiPriority w:val="99"/>
    <w:semiHidden/>
    <w:rsid w:val="00D60B36"/>
    <w:rPr>
      <w:b/>
      <w:bCs/>
    </w:rPr>
  </w:style>
  <w:style w:type="paragraph" w:styleId="Revisione">
    <w:name w:val="Revision"/>
    <w:hidden/>
    <w:uiPriority w:val="99"/>
    <w:semiHidden/>
    <w:rsid w:val="003E0086"/>
    <w:rPr>
      <w:sz w:val="22"/>
    </w:rPr>
  </w:style>
  <w:style w:type="table" w:customStyle="1" w:styleId="Grigliatabella6">
    <w:name w:val="Griglia tabella6"/>
    <w:basedOn w:val="Tabellanormale"/>
    <w:next w:val="Grigliatabella"/>
    <w:uiPriority w:val="39"/>
    <w:rsid w:val="00BE4FFE"/>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0-306-48055-7_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nvironment/pdf/waste/weee/WEEE%20workshol%20february%202017/All%20WEEE%20Flows%20Workshop%20Repor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B6D5-943F-4A58-9885-BB3AB772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15</TotalTime>
  <Pages>15</Pages>
  <Words>4234</Words>
  <Characters>24138</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Ghisellini</dc:creator>
  <cp:keywords/>
  <dc:description/>
  <cp:lastModifiedBy>Patrizia Ghisellini</cp:lastModifiedBy>
  <cp:revision>20</cp:revision>
  <cp:lastPrinted>2015-09-03T03:20:00Z</cp:lastPrinted>
  <dcterms:created xsi:type="dcterms:W3CDTF">2022-06-25T10:27:00Z</dcterms:created>
  <dcterms:modified xsi:type="dcterms:W3CDTF">2022-06-25T12:51:00Z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