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7118" w14:textId="5AEF0E7C" w:rsidR="009848F2" w:rsidRDefault="009848F2" w:rsidP="003311CB">
      <w:pPr>
        <w:pStyle w:val="ChapterTitle"/>
        <w:tabs>
          <w:tab w:val="left" w:pos="5812"/>
          <w:tab w:val="left" w:pos="5954"/>
          <w:tab w:val="left" w:pos="6096"/>
          <w:tab w:val="left" w:pos="6237"/>
        </w:tabs>
        <w:spacing w:after="0" w:line="276" w:lineRule="auto"/>
        <w:ind w:left="0" w:right="-28"/>
        <w:jc w:val="left"/>
        <w:rPr>
          <w:sz w:val="28"/>
        </w:rPr>
      </w:pPr>
      <w:r>
        <w:rPr>
          <w:sz w:val="28"/>
        </w:rPr>
        <w:t>Chapter N</w:t>
      </w:r>
      <w:r w:rsidR="007808F3">
        <w:rPr>
          <w:sz w:val="28"/>
        </w:rPr>
        <w:t xml:space="preserve"> </w:t>
      </w:r>
      <w:r w:rsidR="007808F3" w:rsidRPr="007808F3">
        <w:rPr>
          <w:color w:val="FF0000"/>
          <w:sz w:val="28"/>
        </w:rPr>
        <w:t>(please do not write anything in this line</w:t>
      </w:r>
      <w:r w:rsidR="00425A66">
        <w:rPr>
          <w:color w:val="FF0000"/>
          <w:sz w:val="28"/>
        </w:rPr>
        <w:t>. Editors will annotate the chapter number</w:t>
      </w:r>
      <w:r w:rsidR="007808F3" w:rsidRPr="007808F3">
        <w:rPr>
          <w:color w:val="FF0000"/>
          <w:sz w:val="28"/>
        </w:rPr>
        <w:t>)</w:t>
      </w:r>
    </w:p>
    <w:p w14:paraId="564C9F00" w14:textId="77777777" w:rsidR="00351633" w:rsidRDefault="00351633" w:rsidP="00880FFC">
      <w:pPr>
        <w:pStyle w:val="Author"/>
        <w:spacing w:line="276" w:lineRule="auto"/>
        <w:rPr>
          <w:b/>
          <w:snapToGrid/>
          <w:sz w:val="28"/>
        </w:rPr>
      </w:pPr>
      <w:r w:rsidRPr="00351633">
        <w:rPr>
          <w:b/>
          <w:snapToGrid/>
          <w:sz w:val="28"/>
        </w:rPr>
        <w:t>Sustainability of rural supply chains in Nepal: selection, characterization and labelling of spices for the local market</w:t>
      </w:r>
    </w:p>
    <w:p w14:paraId="3FB827C2" w14:textId="4FBADEE2" w:rsidR="002F7330" w:rsidRPr="00313BB9" w:rsidRDefault="00351633" w:rsidP="00493208">
      <w:pPr>
        <w:pStyle w:val="Author"/>
        <w:spacing w:line="276" w:lineRule="auto"/>
        <w:rPr>
          <w:sz w:val="24"/>
          <w:lang w:val="it-IT"/>
        </w:rPr>
      </w:pPr>
      <w:r>
        <w:rPr>
          <w:sz w:val="24"/>
          <w:lang w:val="it-IT"/>
        </w:rPr>
        <w:t xml:space="preserve">Patrizia Pinelli°, </w:t>
      </w:r>
      <w:r w:rsidR="00880FFC" w:rsidRPr="00880FFC">
        <w:rPr>
          <w:sz w:val="24"/>
          <w:lang w:val="it-IT"/>
        </w:rPr>
        <w:t>Daniela Tacconi</w:t>
      </w:r>
      <w:r w:rsidR="00880FFC" w:rsidRPr="00880FFC">
        <w:rPr>
          <w:sz w:val="24"/>
          <w:vertAlign w:val="superscript"/>
          <w:lang w:val="it-IT"/>
        </w:rPr>
        <w:t>#</w:t>
      </w:r>
      <w:r w:rsidR="00880FFC">
        <w:rPr>
          <w:sz w:val="24"/>
          <w:lang w:val="it-IT"/>
        </w:rPr>
        <w:t xml:space="preserve">, </w:t>
      </w:r>
      <w:r w:rsidR="00493208">
        <w:rPr>
          <w:sz w:val="24"/>
          <w:lang w:val="it-IT"/>
        </w:rPr>
        <w:t xml:space="preserve">Vittoria </w:t>
      </w:r>
      <w:proofErr w:type="spellStart"/>
      <w:r w:rsidR="00493208">
        <w:rPr>
          <w:sz w:val="24"/>
          <w:lang w:val="it-IT"/>
        </w:rPr>
        <w:t>Vineis</w:t>
      </w:r>
      <w:r w:rsidR="00493208">
        <w:rPr>
          <w:sz w:val="24"/>
          <w:vertAlign w:val="superscript"/>
          <w:lang w:val="it-IT"/>
        </w:rPr>
        <w:t>ç</w:t>
      </w:r>
      <w:proofErr w:type="spellEnd"/>
      <w:r w:rsidR="00493208">
        <w:rPr>
          <w:sz w:val="24"/>
          <w:lang w:val="it-IT"/>
        </w:rPr>
        <w:t>, L</w:t>
      </w:r>
      <w:r w:rsidR="007B0B49" w:rsidRPr="00880FFC">
        <w:rPr>
          <w:sz w:val="24"/>
          <w:lang w:val="it-IT"/>
        </w:rPr>
        <w:t>eonardo</w:t>
      </w:r>
      <w:r w:rsidR="007B0B49" w:rsidRPr="007B0B49">
        <w:rPr>
          <w:sz w:val="24"/>
          <w:lang w:val="it-IT"/>
        </w:rPr>
        <w:t xml:space="preserve"> </w:t>
      </w:r>
      <w:proofErr w:type="spellStart"/>
      <w:r w:rsidR="007B0B49" w:rsidRPr="007B0B49">
        <w:rPr>
          <w:sz w:val="24"/>
          <w:lang w:val="it-IT"/>
        </w:rPr>
        <w:t>Borsacchi</w:t>
      </w:r>
      <w:proofErr w:type="spellEnd"/>
      <w:r w:rsidR="00247384" w:rsidRPr="007B0B49">
        <w:rPr>
          <w:sz w:val="24"/>
          <w:vertAlign w:val="superscript"/>
          <w:lang w:val="it-IT"/>
        </w:rPr>
        <w:t>§</w:t>
      </w:r>
      <w:r w:rsidR="00313BB9">
        <w:rPr>
          <w:sz w:val="24"/>
          <w:vertAlign w:val="superscript"/>
          <w:lang w:val="it-IT"/>
        </w:rPr>
        <w:t xml:space="preserve"> </w:t>
      </w:r>
    </w:p>
    <w:p w14:paraId="1C67D48F" w14:textId="77777777" w:rsidR="00351633" w:rsidRPr="00880FFC" w:rsidRDefault="00351633" w:rsidP="00351633">
      <w:pPr>
        <w:pStyle w:val="Affiliation"/>
        <w:spacing w:line="276" w:lineRule="auto"/>
      </w:pPr>
      <w:r w:rsidRPr="00880FFC">
        <w:rPr>
          <w:sz w:val="24"/>
          <w:vertAlign w:val="superscript"/>
        </w:rPr>
        <w:t>°</w:t>
      </w:r>
      <w:r w:rsidRPr="00880FFC">
        <w:t>Department of Statistics, Computer Science, Applications "Giuseppe Parenti" (</w:t>
      </w:r>
      <w:proofErr w:type="spellStart"/>
      <w:r w:rsidRPr="00880FFC">
        <w:t>DiSIA</w:t>
      </w:r>
      <w:proofErr w:type="spellEnd"/>
      <w:r w:rsidRPr="00880FFC">
        <w:t xml:space="preserve">), University of Florence, </w:t>
      </w:r>
      <w:proofErr w:type="spellStart"/>
      <w:r w:rsidRPr="00880FFC">
        <w:t>Viale</w:t>
      </w:r>
      <w:proofErr w:type="spellEnd"/>
      <w:r w:rsidRPr="00880FFC">
        <w:t xml:space="preserve"> Giovanni Battista Morgagni, 59 - 50134 Florence, Italy</w:t>
      </w:r>
    </w:p>
    <w:p w14:paraId="16DA0DBA" w14:textId="4F055805" w:rsidR="00D07C01" w:rsidRDefault="00880FFC" w:rsidP="003311CB">
      <w:pPr>
        <w:pStyle w:val="Affiliation"/>
        <w:spacing w:line="276" w:lineRule="auto"/>
      </w:pPr>
      <w:r>
        <w:rPr>
          <w:sz w:val="24"/>
          <w:vertAlign w:val="superscript"/>
        </w:rPr>
        <w:t>#</w:t>
      </w:r>
      <w:r w:rsidR="00493208">
        <w:rPr>
          <w:sz w:val="24"/>
          <w:vertAlign w:val="superscript"/>
        </w:rPr>
        <w:t>ç</w:t>
      </w:r>
      <w:r w:rsidR="00247384" w:rsidRPr="00247384">
        <w:rPr>
          <w:sz w:val="24"/>
          <w:vertAlign w:val="superscript"/>
        </w:rPr>
        <w:t>§</w:t>
      </w:r>
      <w:r w:rsidR="007B0B49" w:rsidRPr="007B0B49">
        <w:t xml:space="preserve"> </w:t>
      </w:r>
      <w:r w:rsidR="007B0B49">
        <w:t>A</w:t>
      </w:r>
      <w:r w:rsidR="007B0B49" w:rsidRPr="007B0B49">
        <w:t>RCO (Action Research for CO-Development) – PIN, University of Florence</w:t>
      </w:r>
      <w:r w:rsidR="007B0B49">
        <w:t>, Piazza G. Ciardi 25 – 59100 Prato, Italy</w:t>
      </w:r>
    </w:p>
    <w:p w14:paraId="2181B678" w14:textId="149BED3D" w:rsidR="009848F2" w:rsidRPr="00880FFC" w:rsidRDefault="00351633" w:rsidP="00351633">
      <w:pPr>
        <w:pStyle w:val="Affiliation"/>
        <w:spacing w:line="276" w:lineRule="auto"/>
      </w:pPr>
      <w:r w:rsidRPr="00880FFC">
        <w:t>°patrizia.pinelli@unifi.it ORCID 0000-0002-2520-8479</w:t>
      </w:r>
      <w:r>
        <w:t xml:space="preserve">; </w:t>
      </w:r>
      <w:hyperlink r:id="rId8" w:anchor="daniela.tacconi@arcolab.org" w:history="1">
        <w:r w:rsidR="00880FFC" w:rsidRPr="0046573E">
          <w:rPr>
            <w:rStyle w:val="Hyperlink"/>
            <w:sz w:val="24"/>
            <w:vertAlign w:val="superscript"/>
          </w:rPr>
          <w:t>#</w:t>
        </w:r>
        <w:r w:rsidR="00880FFC" w:rsidRPr="007A6C4F">
          <w:rPr>
            <w:rStyle w:val="Hyperlink"/>
            <w:szCs w:val="14"/>
          </w:rPr>
          <w:t>daniela.tacconi@arcolab.org</w:t>
        </w:r>
      </w:hyperlink>
      <w:r w:rsidR="00880FFC">
        <w:rPr>
          <w:sz w:val="21"/>
          <w:szCs w:val="16"/>
        </w:rPr>
        <w:t xml:space="preserve">; </w:t>
      </w:r>
      <w:hyperlink r:id="rId9" w:history="1">
        <w:r w:rsidR="00493208" w:rsidRPr="00493208">
          <w:rPr>
            <w:rStyle w:val="Hyperlink"/>
            <w:szCs w:val="14"/>
            <w:vertAlign w:val="superscript"/>
          </w:rPr>
          <w:t>ç</w:t>
        </w:r>
        <w:r w:rsidR="00493208" w:rsidRPr="00493208">
          <w:rPr>
            <w:rStyle w:val="Hyperlink"/>
            <w:szCs w:val="14"/>
          </w:rPr>
          <w:t>vittoria.vineis@arcolab.org</w:t>
        </w:r>
      </w:hyperlink>
      <w:r w:rsidR="00493208" w:rsidRPr="00493208">
        <w:rPr>
          <w:szCs w:val="14"/>
        </w:rPr>
        <w:t xml:space="preserve">; </w:t>
      </w:r>
      <w:r w:rsidR="00A12967" w:rsidRPr="00880FFC">
        <w:rPr>
          <w:sz w:val="24"/>
          <w:vertAlign w:val="superscript"/>
        </w:rPr>
        <w:t>§</w:t>
      </w:r>
      <w:r w:rsidR="007B0B49" w:rsidRPr="00880FFC">
        <w:t xml:space="preserve">leonardo.borsacchi@pin.unifi.it </w:t>
      </w:r>
      <w:r w:rsidR="00A468DC" w:rsidRPr="00880FFC">
        <w:t>ORCID</w:t>
      </w:r>
      <w:r w:rsidR="007B0B49" w:rsidRPr="00880FFC">
        <w:t xml:space="preserve"> 0000-0001-6334-6146</w:t>
      </w:r>
    </w:p>
    <w:p w14:paraId="0841DE3B" w14:textId="6E1A6FC4" w:rsidR="002F7330" w:rsidRPr="00636E2F" w:rsidRDefault="009848F2" w:rsidP="00AA71B1">
      <w:pPr>
        <w:pStyle w:val="Affiliation"/>
        <w:spacing w:line="276" w:lineRule="auto"/>
        <w:jc w:val="both"/>
        <w:rPr>
          <w:lang w:val="en-GB"/>
        </w:rPr>
      </w:pPr>
      <w:r w:rsidRPr="00636E2F">
        <w:rPr>
          <w:lang w:val="en-GB"/>
        </w:rPr>
        <w:t xml:space="preserve">Corresponding author: </w:t>
      </w:r>
      <w:r w:rsidR="00AA71B1">
        <w:rPr>
          <w:lang w:val="en-GB"/>
        </w:rPr>
        <w:t xml:space="preserve">Patrizia Pinelli </w:t>
      </w:r>
      <w:hyperlink r:id="rId10" w:history="1">
        <w:r w:rsidR="00AA71B1" w:rsidRPr="009F4BD9">
          <w:rPr>
            <w:rStyle w:val="Hyperlink"/>
            <w:lang w:val="en-GB"/>
          </w:rPr>
          <w:t>patrizia.pinelli@unifi.it</w:t>
        </w:r>
      </w:hyperlink>
      <w:r w:rsidR="00AA71B1">
        <w:rPr>
          <w:lang w:val="en-GB"/>
        </w:rPr>
        <w:t xml:space="preserve"> </w:t>
      </w:r>
      <w:r w:rsidR="009F68F7" w:rsidRPr="00636E2F">
        <w:rPr>
          <w:lang w:val="en-GB"/>
        </w:rPr>
        <w:t>.</w:t>
      </w:r>
    </w:p>
    <w:p w14:paraId="48C287BA" w14:textId="77777777" w:rsidR="00351633" w:rsidRDefault="007B567F" w:rsidP="00351633">
      <w:pPr>
        <w:pStyle w:val="Abstract"/>
        <w:tabs>
          <w:tab w:val="left" w:pos="6379"/>
        </w:tabs>
        <w:spacing w:line="276" w:lineRule="auto"/>
        <w:ind w:left="0" w:right="-30"/>
        <w:rPr>
          <w:b/>
          <w:sz w:val="22"/>
          <w:lang w:val="en-GB"/>
        </w:rPr>
      </w:pPr>
      <w:r>
        <w:rPr>
          <w:b/>
          <w:noProof/>
          <w:snapToGrid/>
          <w:sz w:val="22"/>
          <w:lang w:val="it-IT" w:eastAsia="zh-TW"/>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4FF48481"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" strokecolor="black [3200]" strokeweight="1.5pt">
                <v:stroke joinstyle="miter"/>
              </v:line>
            </w:pict>
          </mc:Fallback>
        </mc:AlternateContent>
      </w:r>
    </w:p>
    <w:p w14:paraId="6FB99DFA" w14:textId="409F3C5A" w:rsidR="00351633" w:rsidRPr="00351633" w:rsidRDefault="004225DE" w:rsidP="00351633">
      <w:pPr>
        <w:pStyle w:val="Abstract"/>
        <w:tabs>
          <w:tab w:val="left" w:pos="6379"/>
        </w:tabs>
        <w:spacing w:line="276" w:lineRule="auto"/>
        <w:ind w:left="0" w:right="-30"/>
        <w:rPr>
          <w:b/>
          <w:sz w:val="22"/>
          <w:lang w:val="en-GB"/>
        </w:rPr>
      </w:pPr>
      <w:r w:rsidRPr="004225DE">
        <w:rPr>
          <w:b/>
          <w:sz w:val="22"/>
        </w:rPr>
        <w:t>Abstract.</w:t>
      </w:r>
      <w:r w:rsidRPr="004225DE">
        <w:rPr>
          <w:sz w:val="22"/>
        </w:rPr>
        <w:t xml:space="preserve"> </w:t>
      </w:r>
      <w:r w:rsidR="00351633" w:rsidRPr="00351633">
        <w:rPr>
          <w:bCs/>
          <w:sz w:val="22"/>
          <w:szCs w:val="22"/>
        </w:rPr>
        <w:t>The agricultural sector plays a major role in Nepal’s economy, contributing about one-third of the country’s Gross Domestic Product. Although subsistence farming still dominates agricultural production, the proportion of farmland used for the production of high value crops like spices increased by 24%</w:t>
      </w:r>
      <w:r w:rsidR="00EF6320">
        <w:rPr>
          <w:bCs/>
          <w:sz w:val="22"/>
          <w:szCs w:val="22"/>
        </w:rPr>
        <w:t xml:space="preserve"> in this last decade</w:t>
      </w:r>
      <w:r w:rsidR="00351633" w:rsidRPr="00351633">
        <w:rPr>
          <w:bCs/>
          <w:sz w:val="22"/>
          <w:szCs w:val="22"/>
        </w:rPr>
        <w:t xml:space="preserve">. However, Nepal has not yet been able to establish direct trade relationships with buyers in potential destination markets. </w:t>
      </w:r>
    </w:p>
    <w:p w14:paraId="654B5546" w14:textId="443D4BE4" w:rsidR="003F331F" w:rsidRDefault="00351633" w:rsidP="00351633">
      <w:pPr>
        <w:pStyle w:val="Abstract"/>
        <w:tabs>
          <w:tab w:val="left" w:pos="6379"/>
        </w:tabs>
        <w:spacing w:line="276" w:lineRule="auto"/>
        <w:ind w:left="0" w:right="-30"/>
        <w:rPr>
          <w:snapToGrid/>
          <w:sz w:val="22"/>
        </w:rPr>
      </w:pPr>
      <w:r w:rsidRPr="00351633">
        <w:rPr>
          <w:bCs/>
          <w:sz w:val="22"/>
          <w:szCs w:val="22"/>
        </w:rPr>
        <w:t xml:space="preserve">This paper focuses on the project “Spices and </w:t>
      </w:r>
      <w:proofErr w:type="spellStart"/>
      <w:r w:rsidRPr="00351633">
        <w:rPr>
          <w:bCs/>
          <w:sz w:val="22"/>
          <w:szCs w:val="22"/>
        </w:rPr>
        <w:t>sEEDs</w:t>
      </w:r>
      <w:proofErr w:type="spellEnd"/>
      <w:r w:rsidRPr="00351633">
        <w:rPr>
          <w:bCs/>
          <w:sz w:val="22"/>
          <w:szCs w:val="22"/>
        </w:rPr>
        <w:t xml:space="preserve"> value chain improvement for rural development in Nepal, enhancing women and youth empowerment”, implemented by ASIA NGO and funded by AICS. The project aims at supporting small-scale farmers by improving agricultural production and the sale of seeds and spices of high commercial value. T</w:t>
      </w:r>
      <w:r>
        <w:rPr>
          <w:bCs/>
          <w:sz w:val="22"/>
          <w:szCs w:val="22"/>
        </w:rPr>
        <w:t>he</w:t>
      </w:r>
      <w:r w:rsidRPr="00351633">
        <w:rPr>
          <w:bCs/>
          <w:sz w:val="22"/>
          <w:szCs w:val="22"/>
        </w:rPr>
        <w:t xml:space="preserve"> work focuses on the sustainability of rural supply chain of Nepali spices and the actions carried out aims at describe the action-research carried out by ARCO PIN-Unifi in order to introduce upgrading in the processes of selection, preservation and packaging/labelling of the selected spices. Spectrophotometric analysis are also carried out for the evaluation of polyphenols, flavonoids and antioxidant activity, in order to enhance the functional value of spices and for the preparation of data sheets, also useful for the possible export of the product. </w:t>
      </w:r>
    </w:p>
    <w:p w14:paraId="073E9A82" w14:textId="77777777" w:rsidR="00AA71B1" w:rsidRDefault="00AA71B1" w:rsidP="00351633">
      <w:pPr>
        <w:pStyle w:val="Abstract"/>
        <w:tabs>
          <w:tab w:val="left" w:pos="6379"/>
        </w:tabs>
        <w:spacing w:line="276" w:lineRule="auto"/>
        <w:ind w:left="0" w:right="-30"/>
        <w:rPr>
          <w:b/>
          <w:snapToGrid/>
          <w:sz w:val="22"/>
        </w:rPr>
      </w:pPr>
    </w:p>
    <w:p w14:paraId="3328ECFC" w14:textId="714BB328" w:rsidR="00351633" w:rsidRPr="00AA71B1" w:rsidRDefault="004225DE" w:rsidP="00351633">
      <w:pPr>
        <w:pStyle w:val="Abstract"/>
        <w:tabs>
          <w:tab w:val="left" w:pos="6379"/>
        </w:tabs>
        <w:spacing w:line="276" w:lineRule="auto"/>
        <w:ind w:left="0" w:right="-30"/>
        <w:rPr>
          <w:sz w:val="24"/>
          <w:szCs w:val="24"/>
          <w:lang w:val="en-GB"/>
        </w:rPr>
      </w:pPr>
      <w:r w:rsidRPr="00AA71B1">
        <w:rPr>
          <w:b/>
          <w:snapToGrid/>
          <w:sz w:val="22"/>
        </w:rPr>
        <w:lastRenderedPageBreak/>
        <w:t>Keywords.</w:t>
      </w:r>
      <w:r w:rsidRPr="00AA71B1">
        <w:rPr>
          <w:snapToGrid/>
          <w:sz w:val="22"/>
        </w:rPr>
        <w:t xml:space="preserve"> </w:t>
      </w:r>
      <w:r w:rsidR="00273548">
        <w:rPr>
          <w:sz w:val="24"/>
          <w:szCs w:val="24"/>
          <w:lang w:val="en-GB"/>
        </w:rPr>
        <w:t>Ginger, Turmeric, Cardamom, sustainability, s</w:t>
      </w:r>
      <w:r w:rsidR="00351633" w:rsidRPr="00AA71B1">
        <w:rPr>
          <w:sz w:val="24"/>
          <w:szCs w:val="24"/>
          <w:lang w:val="en-GB"/>
        </w:rPr>
        <w:t>upply chains</w:t>
      </w:r>
      <w:r w:rsidR="001B2A74" w:rsidRPr="00AA71B1">
        <w:rPr>
          <w:sz w:val="24"/>
          <w:szCs w:val="24"/>
          <w:lang w:val="en-GB"/>
        </w:rPr>
        <w:t xml:space="preserve">, </w:t>
      </w:r>
      <w:r w:rsidR="00273548">
        <w:rPr>
          <w:sz w:val="24"/>
          <w:szCs w:val="24"/>
          <w:lang w:val="en-GB"/>
        </w:rPr>
        <w:t>high value crops,</w:t>
      </w:r>
      <w:r w:rsidR="00B41DBE" w:rsidRPr="00AA71B1">
        <w:rPr>
          <w:rFonts w:ascii="TimesNewRomanPSMT" w:hAnsi="TimesNewRomanPSMT" w:cs="TimesNewRomanPSMT"/>
          <w:sz w:val="16"/>
          <w:szCs w:val="16"/>
          <w:lang w:val="en-GB"/>
        </w:rPr>
        <w:t xml:space="preserve"> </w:t>
      </w:r>
      <w:r w:rsidR="00B41DBE" w:rsidRPr="00AA71B1">
        <w:rPr>
          <w:sz w:val="24"/>
          <w:szCs w:val="24"/>
          <w:lang w:val="en-GB"/>
        </w:rPr>
        <w:t xml:space="preserve">bioactive compounds </w:t>
      </w:r>
    </w:p>
    <w:p w14:paraId="0C95E03F" w14:textId="44184E39" w:rsidR="007B567F" w:rsidRDefault="007B567F" w:rsidP="00351633">
      <w:pPr>
        <w:pStyle w:val="Abstract"/>
        <w:tabs>
          <w:tab w:val="left" w:pos="6379"/>
        </w:tabs>
        <w:spacing w:line="276" w:lineRule="auto"/>
        <w:ind w:left="0" w:right="-30"/>
        <w:rPr>
          <w:snapToGrid/>
          <w:sz w:val="22"/>
        </w:rPr>
      </w:pPr>
      <w:r>
        <w:rPr>
          <w:b/>
          <w:noProof/>
          <w:snapToGrid/>
          <w:sz w:val="22"/>
          <w:lang w:val="it-IT" w:eastAsia="zh-TW"/>
        </w:rPr>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35CEAF9E"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" strokecolor="black [3200]" strokeweight="1.5pt">
                <v:stroke joinstyle="miter"/>
              </v:line>
            </w:pict>
          </mc:Fallback>
        </mc:AlternateContent>
      </w:r>
    </w:p>
    <w:p w14:paraId="6CC8925F" w14:textId="77777777" w:rsidR="007B567F" w:rsidRDefault="007B567F" w:rsidP="003311CB">
      <w:pPr>
        <w:pStyle w:val="Abstract"/>
        <w:tabs>
          <w:tab w:val="left" w:pos="6379"/>
        </w:tabs>
        <w:spacing w:line="276" w:lineRule="auto"/>
        <w:ind w:left="0" w:right="-30"/>
        <w:rPr>
          <w:snapToGrid/>
          <w:sz w:val="22"/>
        </w:rPr>
      </w:pPr>
    </w:p>
    <w:p w14:paraId="116D45AC" w14:textId="78A52696" w:rsidR="00FF32FA" w:rsidRDefault="00FF32FA" w:rsidP="003311CB">
      <w:pPr>
        <w:pStyle w:val="Abstract"/>
        <w:tabs>
          <w:tab w:val="left" w:pos="6379"/>
        </w:tabs>
        <w:spacing w:line="276" w:lineRule="auto"/>
        <w:ind w:left="0" w:right="-30"/>
        <w:rPr>
          <w:b/>
          <w:bCs/>
          <w:snapToGrid/>
          <w:sz w:val="24"/>
        </w:rPr>
      </w:pPr>
      <w:r>
        <w:rPr>
          <w:b/>
          <w:bCs/>
          <w:snapToGrid/>
          <w:sz w:val="24"/>
        </w:rPr>
        <w:t>1. Introduction</w:t>
      </w:r>
    </w:p>
    <w:p w14:paraId="4DA521A5" w14:textId="2E948487" w:rsidR="001D267D" w:rsidRPr="001D267D" w:rsidRDefault="001D267D" w:rsidP="001D267D">
      <w:pPr>
        <w:autoSpaceDE w:val="0"/>
        <w:autoSpaceDN w:val="0"/>
        <w:adjustRightInd w:val="0"/>
        <w:spacing w:line="276" w:lineRule="auto"/>
        <w:rPr>
          <w:sz w:val="24"/>
          <w:szCs w:val="24"/>
        </w:rPr>
      </w:pPr>
      <w:r w:rsidRPr="003A390F">
        <w:rPr>
          <w:sz w:val="24"/>
          <w:szCs w:val="24"/>
        </w:rPr>
        <w:t xml:space="preserve">Agriculture sector is central to the national economy of Nepal. According to the International </w:t>
      </w:r>
      <w:proofErr w:type="spellStart"/>
      <w:r w:rsidRPr="003A390F">
        <w:rPr>
          <w:sz w:val="24"/>
          <w:szCs w:val="24"/>
        </w:rPr>
        <w:t>Labour</w:t>
      </w:r>
      <w:proofErr w:type="spellEnd"/>
      <w:r w:rsidRPr="003A390F">
        <w:rPr>
          <w:sz w:val="24"/>
          <w:szCs w:val="24"/>
        </w:rPr>
        <w:t xml:space="preserve"> </w:t>
      </w:r>
      <w:proofErr w:type="spellStart"/>
      <w:r w:rsidRPr="003A390F">
        <w:rPr>
          <w:sz w:val="24"/>
          <w:szCs w:val="24"/>
        </w:rPr>
        <w:t>Organisation</w:t>
      </w:r>
      <w:proofErr w:type="spellEnd"/>
      <w:r w:rsidRPr="003A390F">
        <w:rPr>
          <w:sz w:val="24"/>
          <w:szCs w:val="24"/>
        </w:rPr>
        <w:t xml:space="preserve">, agriculture provides livelihoods for 68 percent of Nepal's population, contributing about one-third of the </w:t>
      </w:r>
      <w:r w:rsidRPr="003A390F">
        <w:rPr>
          <w:bCs/>
          <w:sz w:val="24"/>
          <w:szCs w:val="24"/>
        </w:rPr>
        <w:t>Gross Domestic Product</w:t>
      </w:r>
      <w:r>
        <w:rPr>
          <w:rStyle w:val="FootnoteReference"/>
          <w:bCs/>
          <w:sz w:val="24"/>
          <w:szCs w:val="24"/>
        </w:rPr>
        <w:footnoteReference w:id="1"/>
      </w:r>
      <w:r w:rsidRPr="003A390F">
        <w:rPr>
          <w:sz w:val="24"/>
          <w:szCs w:val="24"/>
        </w:rPr>
        <w:t xml:space="preserve">. The subsistence farming still dominates agriculture production and the </w:t>
      </w:r>
      <w:r w:rsidRPr="003A390F">
        <w:rPr>
          <w:rFonts w:eastAsiaTheme="minorHAnsi"/>
          <w:sz w:val="24"/>
          <w:szCs w:val="24"/>
          <w:lang w:val="en-GB"/>
        </w:rPr>
        <w:t xml:space="preserve">economic </w:t>
      </w:r>
      <w:proofErr w:type="spellStart"/>
      <w:r w:rsidRPr="003A390F">
        <w:rPr>
          <w:rFonts w:eastAsiaTheme="minorHAnsi"/>
          <w:sz w:val="24"/>
          <w:szCs w:val="24"/>
          <w:lang w:val="en-GB"/>
        </w:rPr>
        <w:t>well being</w:t>
      </w:r>
      <w:proofErr w:type="spellEnd"/>
      <w:r w:rsidRPr="003A390F">
        <w:rPr>
          <w:rFonts w:eastAsiaTheme="minorHAnsi"/>
          <w:sz w:val="24"/>
          <w:szCs w:val="24"/>
          <w:lang w:val="en-GB"/>
        </w:rPr>
        <w:t xml:space="preserve"> is very closely bound to its natural resources, particularly in </w:t>
      </w:r>
      <w:r w:rsidRPr="003A390F">
        <w:rPr>
          <w:sz w:val="24"/>
          <w:szCs w:val="24"/>
        </w:rPr>
        <w:t>the hilly regions where people depends on agriculture for their food source, income, and livelihood. Most of the farmers of Nepal are smallholder farmers with 52.7 percent households having less than 0.5 hect</w:t>
      </w:r>
      <w:r w:rsidR="0016280B">
        <w:rPr>
          <w:sz w:val="24"/>
          <w:szCs w:val="24"/>
        </w:rPr>
        <w:t xml:space="preserve">are of land holding </w:t>
      </w:r>
      <w:r w:rsidRPr="003A390F">
        <w:rPr>
          <w:sz w:val="24"/>
          <w:szCs w:val="24"/>
        </w:rPr>
        <w:t>and about 70 percent of landholdings is less than 1.0 ha size (FAO</w:t>
      </w:r>
      <w:r>
        <w:rPr>
          <w:sz w:val="24"/>
          <w:szCs w:val="24"/>
        </w:rPr>
        <w:t>,</w:t>
      </w:r>
      <w:r w:rsidRPr="003A390F">
        <w:rPr>
          <w:sz w:val="24"/>
          <w:szCs w:val="24"/>
        </w:rPr>
        <w:t xml:space="preserve"> 2022</w:t>
      </w:r>
      <w:r>
        <w:rPr>
          <w:sz w:val="24"/>
          <w:szCs w:val="24"/>
        </w:rPr>
        <w:t>)</w:t>
      </w:r>
      <w:r>
        <w:rPr>
          <w:rStyle w:val="FootnoteReference"/>
          <w:sz w:val="24"/>
          <w:szCs w:val="24"/>
        </w:rPr>
        <w:footnoteReference w:id="2"/>
      </w:r>
      <w:r w:rsidRPr="003A390F">
        <w:rPr>
          <w:sz w:val="24"/>
          <w:szCs w:val="24"/>
        </w:rPr>
        <w:t xml:space="preserve">. </w:t>
      </w:r>
      <w:r w:rsidRPr="00EE1E55">
        <w:rPr>
          <w:rFonts w:cs="Garamond"/>
          <w:color w:val="000000"/>
          <w:sz w:val="24"/>
          <w:szCs w:val="24"/>
        </w:rPr>
        <w:t>Nevertheless, people depending on agriculture and the sectorial contribution to the economy is shrinking over the years (MoF 2019). Despite the slump in agriculture sector’s share in GDP, the agriculture sector</w:t>
      </w:r>
      <w:r>
        <w:rPr>
          <w:rFonts w:cs="Garamond"/>
          <w:color w:val="000000"/>
          <w:sz w:val="24"/>
          <w:szCs w:val="24"/>
        </w:rPr>
        <w:t xml:space="preserve"> in Nepal is </w:t>
      </w:r>
      <w:r w:rsidRPr="00EE1E55">
        <w:rPr>
          <w:rFonts w:cs="Garamond"/>
          <w:color w:val="000000"/>
          <w:sz w:val="24"/>
          <w:szCs w:val="24"/>
        </w:rPr>
        <w:t>characterized by a r</w:t>
      </w:r>
      <w:r w:rsidR="00454F0F">
        <w:rPr>
          <w:rFonts w:cs="Garamond"/>
          <w:color w:val="000000"/>
          <w:sz w:val="24"/>
          <w:szCs w:val="24"/>
        </w:rPr>
        <w:t>apid growth in production of high value</w:t>
      </w:r>
      <w:r w:rsidRPr="00EE1E55">
        <w:rPr>
          <w:rFonts w:cs="Garamond"/>
          <w:color w:val="000000"/>
          <w:sz w:val="24"/>
          <w:szCs w:val="24"/>
        </w:rPr>
        <w:t xml:space="preserve"> </w:t>
      </w:r>
      <w:r>
        <w:rPr>
          <w:rFonts w:cs="Garamond"/>
          <w:color w:val="000000"/>
          <w:sz w:val="24"/>
          <w:szCs w:val="24"/>
        </w:rPr>
        <w:t xml:space="preserve">crops. Due to the increasing demand in domestic and foreign markets, the farming and production of high value </w:t>
      </w:r>
      <w:r w:rsidR="00454F0F">
        <w:rPr>
          <w:rFonts w:cs="Garamond"/>
          <w:color w:val="000000"/>
          <w:sz w:val="24"/>
          <w:szCs w:val="24"/>
        </w:rPr>
        <w:t>products</w:t>
      </w:r>
      <w:r>
        <w:rPr>
          <w:rFonts w:cs="Garamond"/>
          <w:color w:val="000000"/>
          <w:sz w:val="24"/>
          <w:szCs w:val="24"/>
        </w:rPr>
        <w:t xml:space="preserve"> like spices increased by 25% in the past ten years (Acharya et Al., 2021). </w:t>
      </w:r>
    </w:p>
    <w:p w14:paraId="530897D3" w14:textId="77777777" w:rsidR="001D267D" w:rsidRPr="0063630F" w:rsidRDefault="001D267D" w:rsidP="001D267D">
      <w:pPr>
        <w:spacing w:line="276" w:lineRule="auto"/>
        <w:rPr>
          <w:rFonts w:cs="Garamond"/>
          <w:color w:val="000000"/>
          <w:sz w:val="24"/>
          <w:szCs w:val="24"/>
        </w:rPr>
      </w:pPr>
      <w:r>
        <w:rPr>
          <w:rFonts w:cs="Garamond"/>
          <w:color w:val="000000"/>
          <w:sz w:val="24"/>
          <w:szCs w:val="24"/>
        </w:rPr>
        <w:t xml:space="preserve">If in one hand this shift could have positive implications in terms of </w:t>
      </w:r>
      <w:r w:rsidRPr="0063630F">
        <w:rPr>
          <w:rFonts w:cs="Garamond"/>
          <w:color w:val="000000"/>
          <w:sz w:val="24"/>
          <w:szCs w:val="24"/>
        </w:rPr>
        <w:t>livelihood of farmers and the farming system, at the same time the sector is still affected by poor access to market infrastructure</w:t>
      </w:r>
      <w:r>
        <w:rPr>
          <w:rFonts w:cs="Garamond"/>
          <w:color w:val="000000"/>
          <w:sz w:val="24"/>
          <w:szCs w:val="24"/>
        </w:rPr>
        <w:t xml:space="preserve">, weak institutions, </w:t>
      </w:r>
      <w:r w:rsidRPr="0063630F">
        <w:rPr>
          <w:rFonts w:cs="Garamond"/>
          <w:color w:val="000000"/>
          <w:sz w:val="24"/>
          <w:szCs w:val="24"/>
        </w:rPr>
        <w:t>poor competitive capacity of farmers</w:t>
      </w:r>
      <w:r>
        <w:rPr>
          <w:rFonts w:cs="Garamond"/>
          <w:color w:val="000000"/>
          <w:sz w:val="24"/>
          <w:szCs w:val="24"/>
        </w:rPr>
        <w:t xml:space="preserve"> and </w:t>
      </w:r>
      <w:r w:rsidRPr="0063630F">
        <w:rPr>
          <w:rFonts w:cs="Garamond"/>
          <w:color w:val="000000"/>
          <w:sz w:val="24"/>
          <w:szCs w:val="24"/>
        </w:rPr>
        <w:t>heavy price fluctuat</w:t>
      </w:r>
      <w:r>
        <w:rPr>
          <w:rFonts w:cs="Garamond"/>
          <w:color w:val="000000"/>
          <w:sz w:val="24"/>
          <w:szCs w:val="24"/>
        </w:rPr>
        <w:t xml:space="preserve">ions. In particular, </w:t>
      </w:r>
      <w:r w:rsidRPr="002B0495">
        <w:rPr>
          <w:bCs/>
          <w:sz w:val="24"/>
          <w:szCs w:val="24"/>
        </w:rPr>
        <w:t>Nepal has not yet been able to establish direct trade relationships with buyers in</w:t>
      </w:r>
      <w:r>
        <w:rPr>
          <w:bCs/>
          <w:sz w:val="24"/>
          <w:szCs w:val="24"/>
        </w:rPr>
        <w:t xml:space="preserve"> potential destination markets </w:t>
      </w:r>
      <w:r w:rsidRPr="009E44B1">
        <w:rPr>
          <w:bCs/>
          <w:sz w:val="24"/>
          <w:szCs w:val="24"/>
        </w:rPr>
        <w:t>due to an underdeveloped and highly fragmented supply chain.</w:t>
      </w:r>
    </w:p>
    <w:p w14:paraId="3E17FF1F" w14:textId="10B5E106" w:rsidR="001D267D" w:rsidRPr="00AA71B1" w:rsidRDefault="001D267D" w:rsidP="00AA71B1">
      <w:pPr>
        <w:spacing w:line="276" w:lineRule="auto"/>
        <w:rPr>
          <w:sz w:val="24"/>
        </w:rPr>
      </w:pPr>
      <w:r w:rsidRPr="0089455D">
        <w:rPr>
          <w:sz w:val="24"/>
          <w:szCs w:val="24"/>
        </w:rPr>
        <w:t xml:space="preserve">This </w:t>
      </w:r>
      <w:r>
        <w:rPr>
          <w:sz w:val="24"/>
          <w:szCs w:val="24"/>
        </w:rPr>
        <w:t>paper</w:t>
      </w:r>
      <w:r w:rsidRPr="0089455D">
        <w:rPr>
          <w:sz w:val="24"/>
          <w:szCs w:val="24"/>
        </w:rPr>
        <w:t xml:space="preserve"> took place within the project “</w:t>
      </w:r>
      <w:r w:rsidRPr="0089455D">
        <w:rPr>
          <w:i/>
          <w:sz w:val="24"/>
          <w:szCs w:val="24"/>
        </w:rPr>
        <w:t xml:space="preserve">“SPEED for Life: </w:t>
      </w:r>
      <w:proofErr w:type="spellStart"/>
      <w:r w:rsidRPr="0089455D">
        <w:rPr>
          <w:i/>
          <w:sz w:val="24"/>
          <w:szCs w:val="24"/>
        </w:rPr>
        <w:t>SPices</w:t>
      </w:r>
      <w:proofErr w:type="spellEnd"/>
      <w:r w:rsidRPr="0089455D">
        <w:rPr>
          <w:i/>
          <w:sz w:val="24"/>
          <w:szCs w:val="24"/>
        </w:rPr>
        <w:t xml:space="preserve"> and </w:t>
      </w:r>
      <w:proofErr w:type="spellStart"/>
      <w:r w:rsidRPr="0089455D">
        <w:rPr>
          <w:i/>
          <w:sz w:val="24"/>
          <w:szCs w:val="24"/>
        </w:rPr>
        <w:t>sEEDs</w:t>
      </w:r>
      <w:proofErr w:type="spellEnd"/>
      <w:r w:rsidRPr="0089455D">
        <w:rPr>
          <w:i/>
          <w:sz w:val="24"/>
          <w:szCs w:val="24"/>
        </w:rPr>
        <w:t xml:space="preserve"> value chain improvement for rural development in Nepal, enhancing women and youth empowerment” </w:t>
      </w:r>
      <w:r w:rsidRPr="0089455D">
        <w:rPr>
          <w:iCs/>
          <w:sz w:val="24"/>
          <w:szCs w:val="24"/>
        </w:rPr>
        <w:t>(hereafter SPEED Project),</w:t>
      </w:r>
      <w:r w:rsidRPr="0089455D">
        <w:rPr>
          <w:sz w:val="24"/>
          <w:szCs w:val="24"/>
        </w:rPr>
        <w:t xml:space="preserve"> implemented </w:t>
      </w:r>
      <w:r w:rsidRPr="0089455D">
        <w:rPr>
          <w:sz w:val="24"/>
          <w:szCs w:val="24"/>
        </w:rPr>
        <w:lastRenderedPageBreak/>
        <w:t>from 2020 to 2022 by ASIA NGO and funded by the Italian Agency for Development Cooperation. The main objective of the project is to support the livelihood of small-scale farmers in the central region of Nepal, by improving agricultural production</w:t>
      </w:r>
      <w:r>
        <w:rPr>
          <w:sz w:val="24"/>
          <w:szCs w:val="24"/>
        </w:rPr>
        <w:t xml:space="preserve"> of micro-enterprises</w:t>
      </w:r>
      <w:r w:rsidRPr="0089455D">
        <w:rPr>
          <w:sz w:val="24"/>
          <w:szCs w:val="24"/>
        </w:rPr>
        <w:t xml:space="preserve"> and strengthening the whole value chains of seeds and spices of high commercial value. </w:t>
      </w:r>
      <w:r>
        <w:rPr>
          <w:sz w:val="24"/>
          <w:szCs w:val="24"/>
        </w:rPr>
        <w:t xml:space="preserve"> </w:t>
      </w:r>
      <w:r w:rsidRPr="007A6C4F">
        <w:rPr>
          <w:sz w:val="24"/>
        </w:rPr>
        <w:t xml:space="preserve">This paper presents the results of an action-research conducted by ARCO, a university action-research </w:t>
      </w:r>
      <w:proofErr w:type="spellStart"/>
      <w:r w:rsidRPr="007A6C4F">
        <w:rPr>
          <w:sz w:val="24"/>
        </w:rPr>
        <w:t>centre</w:t>
      </w:r>
      <w:proofErr w:type="spellEnd"/>
      <w:r w:rsidRPr="007A6C4F">
        <w:rPr>
          <w:sz w:val="24"/>
        </w:rPr>
        <w:t xml:space="preserve"> founded in 2008 at PIN </w:t>
      </w:r>
      <w:proofErr w:type="spellStart"/>
      <w:r w:rsidRPr="007A6C4F">
        <w:rPr>
          <w:sz w:val="24"/>
        </w:rPr>
        <w:t>S.c.r.l</w:t>
      </w:r>
      <w:proofErr w:type="spellEnd"/>
      <w:r w:rsidRPr="007A6C4F">
        <w:rPr>
          <w:sz w:val="24"/>
        </w:rPr>
        <w:t>. (Polo Universitario “</w:t>
      </w:r>
      <w:proofErr w:type="spellStart"/>
      <w:r w:rsidRPr="007A6C4F">
        <w:rPr>
          <w:sz w:val="24"/>
        </w:rPr>
        <w:t>Città</w:t>
      </w:r>
      <w:proofErr w:type="spellEnd"/>
      <w:r w:rsidRPr="007A6C4F">
        <w:rPr>
          <w:sz w:val="24"/>
        </w:rPr>
        <w:t xml:space="preserve"> di Prato”) – University of Florence</w:t>
      </w:r>
      <w:r>
        <w:rPr>
          <w:sz w:val="24"/>
        </w:rPr>
        <w:t xml:space="preserve">. In this context, the activities carried out by ARCO focus on the </w:t>
      </w:r>
      <w:r w:rsidRPr="00D23462">
        <w:rPr>
          <w:sz w:val="24"/>
        </w:rPr>
        <w:t xml:space="preserve">analysis of the sustainability of </w:t>
      </w:r>
      <w:r w:rsidRPr="00D23462">
        <w:rPr>
          <w:sz w:val="24"/>
          <w:szCs w:val="24"/>
        </w:rPr>
        <w:t xml:space="preserve">the value chains of local spices destined to the local market, with the purpose of </w:t>
      </w:r>
      <w:r w:rsidRPr="00D23462">
        <w:rPr>
          <w:bCs/>
          <w:sz w:val="24"/>
          <w:szCs w:val="24"/>
          <w:lang w:val="en-GB"/>
        </w:rPr>
        <w:t xml:space="preserve">introducing upgrading in the processes of selection, preservation and packaging/labelling of the selected spices. </w:t>
      </w:r>
      <w:r w:rsidRPr="00D23462">
        <w:rPr>
          <w:sz w:val="24"/>
          <w:szCs w:val="24"/>
        </w:rPr>
        <w:t xml:space="preserve">Within a perspective of local development based on the whole valorization of local productions, this research has focused in particular on the following specific objectives: </w:t>
      </w:r>
      <w:r w:rsidRPr="00D23462">
        <w:rPr>
          <w:bCs/>
          <w:sz w:val="24"/>
          <w:szCs w:val="24"/>
          <w:lang w:val="en-GB"/>
        </w:rPr>
        <w:t>(1) to understand more about the existing procedures adopted by a sample of selected local farmers</w:t>
      </w:r>
      <w:r w:rsidR="00AA71B1">
        <w:rPr>
          <w:bCs/>
          <w:sz w:val="24"/>
          <w:szCs w:val="24"/>
          <w:lang w:val="en-GB"/>
        </w:rPr>
        <w:t xml:space="preserve"> and local seller, in order to elaborate a value chain analysis;</w:t>
      </w:r>
      <w:r w:rsidRPr="00D23462">
        <w:rPr>
          <w:bCs/>
          <w:sz w:val="24"/>
          <w:szCs w:val="24"/>
          <w:lang w:val="en-GB"/>
        </w:rPr>
        <w:t xml:space="preserve"> (2) to </w:t>
      </w:r>
      <w:r w:rsidR="00AA71B1">
        <w:rPr>
          <w:bCs/>
          <w:sz w:val="24"/>
          <w:szCs w:val="24"/>
          <w:lang w:val="en-GB"/>
        </w:rPr>
        <w:t>prepare technical specification</w:t>
      </w:r>
      <w:r w:rsidR="00B33380">
        <w:rPr>
          <w:bCs/>
          <w:sz w:val="24"/>
          <w:szCs w:val="24"/>
          <w:lang w:val="en-GB"/>
        </w:rPr>
        <w:t>s</w:t>
      </w:r>
      <w:r w:rsidR="00AA71B1">
        <w:rPr>
          <w:bCs/>
          <w:sz w:val="24"/>
          <w:szCs w:val="24"/>
          <w:lang w:val="en-GB"/>
        </w:rPr>
        <w:t xml:space="preserve"> sheets and labels for the domestic market</w:t>
      </w:r>
      <w:r w:rsidRPr="00D23462">
        <w:rPr>
          <w:bCs/>
          <w:sz w:val="24"/>
          <w:szCs w:val="24"/>
          <w:lang w:val="en-GB"/>
        </w:rPr>
        <w:t>. The final common aim is to investigate and enhance the supply chains from a quality perspective for specific selected spices,</w:t>
      </w:r>
      <w:r w:rsidRPr="00D23462">
        <w:rPr>
          <w:rFonts w:ascii="Arial" w:eastAsia="Calibri" w:hAnsi="Arial" w:cs="Arial"/>
        </w:rPr>
        <w:t xml:space="preserve"> </w:t>
      </w:r>
      <w:r w:rsidRPr="00D23462">
        <w:rPr>
          <w:rFonts w:eastAsia="Calibri"/>
          <w:sz w:val="24"/>
          <w:szCs w:val="24"/>
        </w:rPr>
        <w:t>creating new business potential opportunities.</w:t>
      </w:r>
      <w:r>
        <w:rPr>
          <w:rFonts w:eastAsia="Calibri"/>
          <w:sz w:val="24"/>
          <w:szCs w:val="24"/>
        </w:rPr>
        <w:t xml:space="preserve"> </w:t>
      </w:r>
    </w:p>
    <w:p w14:paraId="1D5D4A88" w14:textId="77777777" w:rsidR="007A6C4F" w:rsidRDefault="007A6C4F" w:rsidP="003311CB">
      <w:pPr>
        <w:pStyle w:val="Abstract"/>
        <w:tabs>
          <w:tab w:val="left" w:pos="6379"/>
        </w:tabs>
        <w:spacing w:line="276" w:lineRule="auto"/>
        <w:ind w:left="0" w:right="-30"/>
        <w:rPr>
          <w:b/>
          <w:bCs/>
          <w:snapToGrid/>
          <w:sz w:val="24"/>
        </w:rPr>
      </w:pPr>
    </w:p>
    <w:p w14:paraId="6955F798" w14:textId="22086294" w:rsidR="00FF32FA" w:rsidRPr="00FF32FA" w:rsidRDefault="00FF32FA" w:rsidP="003311CB">
      <w:pPr>
        <w:pStyle w:val="Abstract"/>
        <w:tabs>
          <w:tab w:val="left" w:pos="6379"/>
        </w:tabs>
        <w:spacing w:line="276" w:lineRule="auto"/>
        <w:ind w:left="0" w:right="-30"/>
        <w:rPr>
          <w:b/>
          <w:bCs/>
          <w:snapToGrid/>
          <w:sz w:val="24"/>
        </w:rPr>
      </w:pPr>
      <w:r w:rsidRPr="00FF32FA">
        <w:rPr>
          <w:b/>
          <w:bCs/>
          <w:snapToGrid/>
          <w:sz w:val="24"/>
        </w:rPr>
        <w:t>2. Materials and methods</w:t>
      </w:r>
    </w:p>
    <w:p w14:paraId="29CDA86D" w14:textId="7DFF0D08" w:rsidR="00263A55" w:rsidRPr="00B33380" w:rsidRDefault="00E0605E" w:rsidP="00B33380">
      <w:pPr>
        <w:pStyle w:val="Abstract"/>
        <w:tabs>
          <w:tab w:val="left" w:pos="6379"/>
        </w:tabs>
        <w:spacing w:line="276" w:lineRule="auto"/>
        <w:ind w:left="0" w:right="-30"/>
        <w:rPr>
          <w:rFonts w:eastAsiaTheme="minorHAnsi"/>
          <w:sz w:val="24"/>
          <w:szCs w:val="24"/>
          <w:lang w:val="en-GB"/>
        </w:rPr>
      </w:pPr>
      <w:r w:rsidRPr="007A6C4F">
        <w:rPr>
          <w:snapToGrid/>
          <w:sz w:val="24"/>
        </w:rPr>
        <w:t>In order to achieve the above-mentioned objectives, this action-research study has adopted a methodology based on the active involvement of the project stakeholders</w:t>
      </w:r>
      <w:r w:rsidR="00A341E3">
        <w:rPr>
          <w:snapToGrid/>
          <w:sz w:val="24"/>
        </w:rPr>
        <w:t xml:space="preserve">, in the districts of </w:t>
      </w:r>
      <w:proofErr w:type="spellStart"/>
      <w:r w:rsidR="00A341E3" w:rsidRPr="00A341E3">
        <w:rPr>
          <w:snapToGrid/>
          <w:sz w:val="24"/>
        </w:rPr>
        <w:t>Kavrepalanchowk</w:t>
      </w:r>
      <w:proofErr w:type="spellEnd"/>
      <w:r w:rsidR="00A341E3" w:rsidRPr="00A341E3">
        <w:rPr>
          <w:snapToGrid/>
          <w:sz w:val="24"/>
        </w:rPr>
        <w:t xml:space="preserve"> and </w:t>
      </w:r>
      <w:proofErr w:type="spellStart"/>
      <w:r w:rsidR="00A341E3" w:rsidRPr="00A341E3">
        <w:rPr>
          <w:snapToGrid/>
          <w:sz w:val="24"/>
        </w:rPr>
        <w:t>Sindhupalchowk</w:t>
      </w:r>
      <w:proofErr w:type="spellEnd"/>
      <w:r w:rsidR="00A341E3" w:rsidRPr="00A341E3">
        <w:rPr>
          <w:snapToGrid/>
          <w:sz w:val="24"/>
        </w:rPr>
        <w:t xml:space="preserve"> (Katmandu</w:t>
      </w:r>
      <w:r w:rsidR="00601C9D">
        <w:rPr>
          <w:snapToGrid/>
          <w:sz w:val="24"/>
        </w:rPr>
        <w:t xml:space="preserve">, </w:t>
      </w:r>
      <w:r w:rsidR="00A341E3">
        <w:rPr>
          <w:snapToGrid/>
          <w:sz w:val="24"/>
        </w:rPr>
        <w:t>Nepal</w:t>
      </w:r>
      <w:r w:rsidR="00A341E3" w:rsidRPr="00A341E3">
        <w:rPr>
          <w:snapToGrid/>
          <w:sz w:val="24"/>
        </w:rPr>
        <w:t>)</w:t>
      </w:r>
      <w:r w:rsidRPr="007A6C4F">
        <w:rPr>
          <w:snapToGrid/>
          <w:sz w:val="24"/>
        </w:rPr>
        <w:t xml:space="preserve">. In particular, the activities were carried out before and during a field mission: a) Desk-based analysis of internal reports (e.g. previous field mission reports </w:t>
      </w:r>
      <w:r w:rsidR="00AA71B1">
        <w:rPr>
          <w:snapToGrid/>
          <w:sz w:val="24"/>
        </w:rPr>
        <w:t>by</w:t>
      </w:r>
      <w:r w:rsidRPr="007A6C4F">
        <w:rPr>
          <w:snapToGrid/>
          <w:sz w:val="24"/>
        </w:rPr>
        <w:t xml:space="preserve"> project partners) and existing </w:t>
      </w:r>
      <w:r>
        <w:rPr>
          <w:snapToGrid/>
          <w:sz w:val="24"/>
        </w:rPr>
        <w:t>literature. b) C</w:t>
      </w:r>
      <w:r w:rsidRPr="007A6C4F">
        <w:rPr>
          <w:snapToGrid/>
          <w:sz w:val="24"/>
        </w:rPr>
        <w:t xml:space="preserve">onduction of semi-structured interviews and </w:t>
      </w:r>
      <w:r>
        <w:rPr>
          <w:snapToGrid/>
          <w:sz w:val="24"/>
        </w:rPr>
        <w:t xml:space="preserve">on-field </w:t>
      </w:r>
      <w:r w:rsidRPr="007A6C4F">
        <w:rPr>
          <w:snapToGrid/>
          <w:sz w:val="24"/>
        </w:rPr>
        <w:t>visit</w:t>
      </w:r>
      <w:r>
        <w:rPr>
          <w:snapToGrid/>
          <w:sz w:val="24"/>
        </w:rPr>
        <w:t>s</w:t>
      </w:r>
      <w:r w:rsidRPr="007A6C4F">
        <w:rPr>
          <w:snapToGrid/>
          <w:sz w:val="24"/>
        </w:rPr>
        <w:t>.</w:t>
      </w:r>
      <w:r>
        <w:rPr>
          <w:snapToGrid/>
          <w:sz w:val="24"/>
        </w:rPr>
        <w:t xml:space="preserve"> It should be noted that, following the pandemic emergency, part of the activities have been conducted from remote (i.e. on-line interviews, on-line evaluation of production sites), with a final field mission in in the target areas in Nepal in April 2022. The elaboration of a value chain analysis and the preparation of the technical </w:t>
      </w:r>
      <w:r w:rsidR="00AA71B1">
        <w:rPr>
          <w:snapToGrid/>
          <w:sz w:val="24"/>
        </w:rPr>
        <w:t xml:space="preserve">specification </w:t>
      </w:r>
      <w:r>
        <w:rPr>
          <w:snapToGrid/>
          <w:sz w:val="24"/>
        </w:rPr>
        <w:t xml:space="preserve">sheets was generally based on </w:t>
      </w:r>
      <w:r>
        <w:rPr>
          <w:snapToGrid/>
          <w:sz w:val="24"/>
        </w:rPr>
        <w:lastRenderedPageBreak/>
        <w:t xml:space="preserve">local field data, </w:t>
      </w:r>
      <w:r w:rsidR="00B33380">
        <w:rPr>
          <w:snapToGrid/>
          <w:sz w:val="24"/>
        </w:rPr>
        <w:t>through</w:t>
      </w:r>
      <w:r>
        <w:rPr>
          <w:snapToGrid/>
          <w:sz w:val="24"/>
        </w:rPr>
        <w:t xml:space="preserve"> the conduction of semi-structured interviews and focus groups with farmers and cooperatives. </w:t>
      </w:r>
      <w:r w:rsidR="00AA71B1">
        <w:rPr>
          <w:bCs/>
          <w:sz w:val="24"/>
          <w:szCs w:val="24"/>
        </w:rPr>
        <w:t xml:space="preserve">Within the framework of the project </w:t>
      </w:r>
      <w:r w:rsidR="00263A55">
        <w:rPr>
          <w:bCs/>
          <w:sz w:val="24"/>
          <w:szCs w:val="24"/>
        </w:rPr>
        <w:t xml:space="preserve">samples of fresh ginger, turmeric powder and cardamom have been </w:t>
      </w:r>
      <w:r w:rsidR="00AA71B1">
        <w:rPr>
          <w:bCs/>
          <w:sz w:val="24"/>
          <w:szCs w:val="24"/>
        </w:rPr>
        <w:t xml:space="preserve">also </w:t>
      </w:r>
      <w:proofErr w:type="spellStart"/>
      <w:r w:rsidR="00AA71B1">
        <w:rPr>
          <w:bCs/>
          <w:sz w:val="24"/>
          <w:szCs w:val="24"/>
        </w:rPr>
        <w:t>analys</w:t>
      </w:r>
      <w:r w:rsidR="00263A55">
        <w:rPr>
          <w:bCs/>
          <w:sz w:val="24"/>
          <w:szCs w:val="24"/>
        </w:rPr>
        <w:t>ed</w:t>
      </w:r>
      <w:proofErr w:type="spellEnd"/>
      <w:r w:rsidR="00263A55">
        <w:rPr>
          <w:bCs/>
          <w:sz w:val="24"/>
          <w:szCs w:val="24"/>
        </w:rPr>
        <w:t xml:space="preserve"> and characterized by </w:t>
      </w:r>
      <w:r w:rsidR="00263A55" w:rsidRPr="00371EDB">
        <w:rPr>
          <w:rFonts w:eastAsiaTheme="minorHAnsi"/>
          <w:sz w:val="24"/>
          <w:szCs w:val="24"/>
          <w:lang w:val="en-GB"/>
        </w:rPr>
        <w:t>spectrophotometric</w:t>
      </w:r>
      <w:r w:rsidR="00263A55">
        <w:rPr>
          <w:rFonts w:eastAsiaTheme="minorHAnsi"/>
          <w:sz w:val="24"/>
          <w:szCs w:val="24"/>
          <w:lang w:val="en-GB"/>
        </w:rPr>
        <w:t xml:space="preserve"> methods in order to identify </w:t>
      </w:r>
      <w:r w:rsidR="00263A55" w:rsidRPr="00AA71B1">
        <w:rPr>
          <w:rFonts w:eastAsiaTheme="minorHAnsi"/>
          <w:sz w:val="24"/>
          <w:szCs w:val="24"/>
          <w:lang w:val="en-GB"/>
        </w:rPr>
        <w:t>and quantify</w:t>
      </w:r>
      <w:r w:rsidR="00263A55" w:rsidRPr="00371EDB">
        <w:rPr>
          <w:rFonts w:eastAsiaTheme="minorHAnsi"/>
          <w:sz w:val="24"/>
          <w:szCs w:val="24"/>
          <w:lang w:val="en-GB"/>
        </w:rPr>
        <w:t xml:space="preserve"> </w:t>
      </w:r>
      <w:r w:rsidR="00263A55">
        <w:rPr>
          <w:rFonts w:eastAsiaTheme="minorHAnsi"/>
          <w:sz w:val="24"/>
          <w:szCs w:val="24"/>
          <w:lang w:val="en-GB"/>
        </w:rPr>
        <w:t xml:space="preserve">secondary bioactive compounds. </w:t>
      </w:r>
      <w:r w:rsidR="00263A55" w:rsidRPr="00371EDB">
        <w:rPr>
          <w:rFonts w:eastAsiaTheme="minorHAnsi"/>
          <w:sz w:val="24"/>
          <w:szCs w:val="24"/>
          <w:lang w:val="en-GB"/>
        </w:rPr>
        <w:t xml:space="preserve">Hence, </w:t>
      </w:r>
      <w:r w:rsidR="00263A55">
        <w:rPr>
          <w:rFonts w:eastAsiaTheme="minorHAnsi"/>
          <w:sz w:val="24"/>
          <w:szCs w:val="24"/>
          <w:lang w:val="en-GB"/>
        </w:rPr>
        <w:t xml:space="preserve">polyphenols, flavonoids, </w:t>
      </w:r>
      <w:r w:rsidR="00263A55" w:rsidRPr="00371EDB">
        <w:rPr>
          <w:rFonts w:eastAsiaTheme="minorHAnsi"/>
          <w:sz w:val="24"/>
          <w:szCs w:val="24"/>
          <w:lang w:val="en-GB"/>
        </w:rPr>
        <w:t>antioxidant an</w:t>
      </w:r>
      <w:r w:rsidR="00263A55">
        <w:rPr>
          <w:rFonts w:eastAsiaTheme="minorHAnsi"/>
          <w:sz w:val="24"/>
          <w:szCs w:val="24"/>
          <w:lang w:val="en-GB"/>
        </w:rPr>
        <w:t xml:space="preserve">d radical-scavenging activities </w:t>
      </w:r>
      <w:r w:rsidR="00263A55" w:rsidRPr="00371EDB">
        <w:rPr>
          <w:rFonts w:eastAsiaTheme="minorHAnsi"/>
          <w:sz w:val="24"/>
          <w:szCs w:val="24"/>
          <w:lang w:val="en-GB"/>
        </w:rPr>
        <w:t xml:space="preserve">have been evaluated for each </w:t>
      </w:r>
      <w:r w:rsidR="00263A55">
        <w:rPr>
          <w:rFonts w:eastAsiaTheme="minorHAnsi"/>
          <w:sz w:val="24"/>
          <w:szCs w:val="24"/>
          <w:lang w:val="en-GB"/>
        </w:rPr>
        <w:t>sample</w:t>
      </w:r>
      <w:r w:rsidR="00263A55" w:rsidRPr="00371EDB">
        <w:rPr>
          <w:rFonts w:eastAsiaTheme="minorHAnsi"/>
          <w:sz w:val="24"/>
          <w:szCs w:val="24"/>
          <w:lang w:val="en-GB"/>
        </w:rPr>
        <w:t xml:space="preserve"> using </w:t>
      </w:r>
      <w:r w:rsidR="00263A55" w:rsidRPr="00371EDB">
        <w:rPr>
          <w:rFonts w:eastAsiaTheme="minorHAnsi"/>
          <w:i/>
          <w:iCs/>
          <w:sz w:val="24"/>
          <w:szCs w:val="24"/>
          <w:lang w:val="en-GB"/>
        </w:rPr>
        <w:t>in vitro</w:t>
      </w:r>
      <w:r w:rsidR="00263A55">
        <w:rPr>
          <w:rFonts w:eastAsiaTheme="minorHAnsi"/>
          <w:sz w:val="24"/>
          <w:szCs w:val="24"/>
          <w:lang w:val="en-GB"/>
        </w:rPr>
        <w:t xml:space="preserve"> </w:t>
      </w:r>
      <w:r w:rsidR="00263A55" w:rsidRPr="00371EDB">
        <w:rPr>
          <w:rFonts w:eastAsiaTheme="minorHAnsi"/>
          <w:sz w:val="24"/>
          <w:szCs w:val="24"/>
          <w:lang w:val="en-GB"/>
        </w:rPr>
        <w:t xml:space="preserve">methods of </w:t>
      </w:r>
      <w:proofErr w:type="spellStart"/>
      <w:r w:rsidR="00263A55" w:rsidRPr="00371EDB">
        <w:rPr>
          <w:rFonts w:eastAsiaTheme="minorHAnsi"/>
          <w:sz w:val="24"/>
          <w:szCs w:val="24"/>
          <w:lang w:val="en-GB"/>
        </w:rPr>
        <w:t>Folin-Ciocalteu</w:t>
      </w:r>
      <w:proofErr w:type="spellEnd"/>
      <w:r w:rsidR="00263A55">
        <w:rPr>
          <w:rFonts w:eastAsiaTheme="minorHAnsi"/>
          <w:sz w:val="24"/>
          <w:szCs w:val="24"/>
          <w:lang w:val="en-GB"/>
        </w:rPr>
        <w:t xml:space="preserve"> and </w:t>
      </w:r>
      <w:r w:rsidR="00263A55" w:rsidRPr="00371EDB">
        <w:rPr>
          <w:rFonts w:eastAsiaTheme="minorHAnsi"/>
          <w:sz w:val="24"/>
          <w:szCs w:val="24"/>
          <w:lang w:val="en-GB"/>
        </w:rPr>
        <w:t>stab</w:t>
      </w:r>
      <w:r w:rsidR="00263A55">
        <w:rPr>
          <w:rFonts w:eastAsiaTheme="minorHAnsi"/>
          <w:sz w:val="24"/>
          <w:szCs w:val="24"/>
          <w:lang w:val="en-GB"/>
        </w:rPr>
        <w:t xml:space="preserve">le radical DPPH, then compared </w:t>
      </w:r>
      <w:r w:rsidR="00263A55" w:rsidRPr="00313BB9">
        <w:rPr>
          <w:rFonts w:eastAsiaTheme="minorHAnsi"/>
          <w:sz w:val="24"/>
          <w:szCs w:val="24"/>
          <w:lang w:val="en-GB"/>
        </w:rPr>
        <w:t xml:space="preserve">with </w:t>
      </w:r>
      <w:r w:rsidR="00625793" w:rsidRPr="00313BB9">
        <w:rPr>
          <w:rFonts w:eastAsiaTheme="minorHAnsi"/>
          <w:sz w:val="24"/>
          <w:szCs w:val="24"/>
          <w:lang w:val="en-GB"/>
        </w:rPr>
        <w:t xml:space="preserve">literature data </w:t>
      </w:r>
      <w:r w:rsidR="00263A55" w:rsidRPr="00371EDB">
        <w:rPr>
          <w:rFonts w:eastAsiaTheme="minorHAnsi"/>
          <w:sz w:val="24"/>
          <w:szCs w:val="24"/>
          <w:lang w:val="en-GB"/>
        </w:rPr>
        <w:t>to ident</w:t>
      </w:r>
      <w:r w:rsidR="00263A55">
        <w:rPr>
          <w:rFonts w:eastAsiaTheme="minorHAnsi"/>
          <w:sz w:val="24"/>
          <w:szCs w:val="24"/>
          <w:lang w:val="en-GB"/>
        </w:rPr>
        <w:t xml:space="preserve">ify the compounds or subclasses </w:t>
      </w:r>
      <w:r w:rsidR="00263A55" w:rsidRPr="00371EDB">
        <w:rPr>
          <w:rFonts w:eastAsiaTheme="minorHAnsi"/>
          <w:sz w:val="24"/>
          <w:szCs w:val="24"/>
          <w:lang w:val="en-GB"/>
        </w:rPr>
        <w:t>respon</w:t>
      </w:r>
      <w:r w:rsidR="00263A55">
        <w:rPr>
          <w:rFonts w:eastAsiaTheme="minorHAnsi"/>
          <w:sz w:val="24"/>
          <w:szCs w:val="24"/>
          <w:lang w:val="en-GB"/>
        </w:rPr>
        <w:t xml:space="preserve">sible for biological activities. </w:t>
      </w:r>
      <w:r w:rsidR="00AA71B1">
        <w:rPr>
          <w:rFonts w:eastAsiaTheme="minorHAnsi"/>
          <w:sz w:val="24"/>
          <w:szCs w:val="24"/>
          <w:lang w:val="en-GB"/>
        </w:rPr>
        <w:t xml:space="preserve">Results on </w:t>
      </w:r>
      <w:r w:rsidR="00AE50A9">
        <w:rPr>
          <w:rFonts w:eastAsiaTheme="minorHAnsi"/>
          <w:sz w:val="24"/>
          <w:szCs w:val="24"/>
          <w:lang w:val="en-GB"/>
        </w:rPr>
        <w:t>the functional value of spices</w:t>
      </w:r>
      <w:r w:rsidR="00AA71B1">
        <w:rPr>
          <w:rFonts w:eastAsiaTheme="minorHAnsi"/>
          <w:sz w:val="24"/>
          <w:szCs w:val="24"/>
          <w:lang w:val="en-GB"/>
        </w:rPr>
        <w:t xml:space="preserve"> have been used in the </w:t>
      </w:r>
      <w:r w:rsidR="00B33380">
        <w:rPr>
          <w:rFonts w:eastAsiaTheme="minorHAnsi"/>
          <w:sz w:val="24"/>
          <w:szCs w:val="24"/>
          <w:lang w:val="en-GB"/>
        </w:rPr>
        <w:t>elaboration</w:t>
      </w:r>
      <w:r w:rsidR="00AA71B1">
        <w:rPr>
          <w:rFonts w:eastAsiaTheme="minorHAnsi"/>
          <w:sz w:val="24"/>
          <w:szCs w:val="24"/>
          <w:lang w:val="en-GB"/>
        </w:rPr>
        <w:t xml:space="preserve"> of the t</w:t>
      </w:r>
      <w:r w:rsidR="00B33380">
        <w:rPr>
          <w:rFonts w:eastAsiaTheme="minorHAnsi"/>
          <w:sz w:val="24"/>
          <w:szCs w:val="24"/>
          <w:lang w:val="en-GB"/>
        </w:rPr>
        <w:t xml:space="preserve">echnical specifications sheets, envisioning </w:t>
      </w:r>
      <w:r w:rsidR="007C048A">
        <w:rPr>
          <w:rFonts w:eastAsiaTheme="minorHAnsi"/>
          <w:sz w:val="24"/>
          <w:szCs w:val="24"/>
          <w:lang w:val="en-GB"/>
        </w:rPr>
        <w:t>further</w:t>
      </w:r>
      <w:r w:rsidR="00AE50A9" w:rsidRPr="00AE50A9">
        <w:rPr>
          <w:rFonts w:eastAsiaTheme="minorHAnsi"/>
          <w:sz w:val="24"/>
          <w:szCs w:val="24"/>
          <w:lang w:val="en-GB"/>
        </w:rPr>
        <w:t xml:space="preserve"> market opportunities b</w:t>
      </w:r>
      <w:r w:rsidR="007C048A">
        <w:rPr>
          <w:rFonts w:eastAsiaTheme="minorHAnsi"/>
          <w:sz w:val="24"/>
          <w:szCs w:val="24"/>
          <w:lang w:val="en-GB"/>
        </w:rPr>
        <w:t>oth</w:t>
      </w:r>
      <w:r w:rsidR="006F38DA">
        <w:rPr>
          <w:rFonts w:eastAsiaTheme="minorHAnsi"/>
          <w:sz w:val="24"/>
          <w:szCs w:val="24"/>
          <w:lang w:val="en-GB"/>
        </w:rPr>
        <w:t xml:space="preserve"> locally and internationally</w:t>
      </w:r>
      <w:r w:rsidR="007C048A">
        <w:rPr>
          <w:rFonts w:eastAsiaTheme="minorHAnsi"/>
          <w:sz w:val="24"/>
          <w:szCs w:val="24"/>
          <w:lang w:val="en-GB"/>
        </w:rPr>
        <w:t xml:space="preserve">. </w:t>
      </w:r>
    </w:p>
    <w:p w14:paraId="729C8794" w14:textId="77777777" w:rsidR="00AA71B1" w:rsidRDefault="00AA71B1" w:rsidP="00263A55">
      <w:pPr>
        <w:spacing w:line="240" w:lineRule="auto"/>
        <w:rPr>
          <w:rFonts w:eastAsiaTheme="minorHAnsi"/>
          <w:sz w:val="24"/>
          <w:szCs w:val="24"/>
          <w:lang w:val="en-GB"/>
        </w:rPr>
      </w:pPr>
    </w:p>
    <w:p w14:paraId="046E4C0D" w14:textId="04583FFD" w:rsidR="00FF32FA" w:rsidRPr="00FF32FA" w:rsidRDefault="00FF32FA" w:rsidP="003311CB">
      <w:pPr>
        <w:pStyle w:val="Abstract"/>
        <w:tabs>
          <w:tab w:val="left" w:pos="6379"/>
        </w:tabs>
        <w:spacing w:line="276" w:lineRule="auto"/>
        <w:ind w:left="0" w:right="-30"/>
        <w:rPr>
          <w:b/>
          <w:bCs/>
          <w:snapToGrid/>
          <w:sz w:val="24"/>
        </w:rPr>
      </w:pPr>
      <w:r w:rsidRPr="00FF32FA">
        <w:rPr>
          <w:b/>
          <w:bCs/>
          <w:snapToGrid/>
          <w:sz w:val="24"/>
        </w:rPr>
        <w:t>3.</w:t>
      </w:r>
      <w:r w:rsidR="00EF0FD1">
        <w:rPr>
          <w:b/>
          <w:bCs/>
          <w:snapToGrid/>
          <w:sz w:val="24"/>
        </w:rPr>
        <w:t xml:space="preserve"> </w:t>
      </w:r>
      <w:r w:rsidRPr="00FF32FA">
        <w:rPr>
          <w:b/>
          <w:bCs/>
          <w:snapToGrid/>
          <w:sz w:val="24"/>
        </w:rPr>
        <w:t>Results and Discussion</w:t>
      </w:r>
    </w:p>
    <w:p w14:paraId="03857518" w14:textId="0EE34190" w:rsidR="00E5199B" w:rsidRPr="005F21EB" w:rsidRDefault="00AD37AB" w:rsidP="00E5199B">
      <w:pPr>
        <w:spacing w:line="276" w:lineRule="auto"/>
        <w:rPr>
          <w:rFonts w:eastAsia="Calibri"/>
          <w:sz w:val="24"/>
          <w:szCs w:val="24"/>
        </w:rPr>
      </w:pPr>
      <w:r w:rsidRPr="005F21EB">
        <w:rPr>
          <w:sz w:val="24"/>
          <w:szCs w:val="24"/>
        </w:rPr>
        <w:t xml:space="preserve">The main key players of the value chain have been identified, providing a framework on the role of farmers, middlemen and retailers and outlining the mechanism of the chains. </w:t>
      </w:r>
      <w:r w:rsidR="00625793" w:rsidRPr="00313BB9">
        <w:rPr>
          <w:sz w:val="24"/>
          <w:szCs w:val="24"/>
        </w:rPr>
        <w:t>Figure 1</w:t>
      </w:r>
      <w:r w:rsidR="00E5199B" w:rsidRPr="00313BB9">
        <w:rPr>
          <w:sz w:val="24"/>
          <w:szCs w:val="24"/>
        </w:rPr>
        <w:t xml:space="preserve"> </w:t>
      </w:r>
      <w:r w:rsidR="00E5199B" w:rsidRPr="005F21EB">
        <w:rPr>
          <w:sz w:val="24"/>
          <w:szCs w:val="24"/>
        </w:rPr>
        <w:t>shows the different channels of the value chains:</w:t>
      </w:r>
    </w:p>
    <w:p w14:paraId="0F7A2DA6" w14:textId="77777777" w:rsidR="005F21EB" w:rsidRDefault="005F21EB" w:rsidP="005F21EB">
      <w:pPr>
        <w:pStyle w:val="Abstract"/>
        <w:tabs>
          <w:tab w:val="left" w:pos="6379"/>
        </w:tabs>
        <w:spacing w:line="276" w:lineRule="auto"/>
        <w:ind w:left="0" w:right="-30"/>
        <w:rPr>
          <w:sz w:val="18"/>
        </w:rPr>
      </w:pPr>
    </w:p>
    <w:p w14:paraId="655FCBEC" w14:textId="0F0CA932" w:rsidR="00E5199B" w:rsidRPr="00B33380" w:rsidRDefault="005F21EB" w:rsidP="00B33380">
      <w:pPr>
        <w:spacing w:line="276" w:lineRule="auto"/>
        <w:rPr>
          <w:rFonts w:ascii="Arial" w:hAnsi="Arial" w:cs="Arial"/>
          <w:bCs/>
          <w:sz w:val="18"/>
          <w:szCs w:val="18"/>
          <w:lang w:val="en-GB"/>
        </w:rPr>
      </w:pPr>
      <w:r w:rsidRPr="006756FD">
        <w:rPr>
          <w:sz w:val="18"/>
        </w:rPr>
        <w:t xml:space="preserve">Fig. 1. </w:t>
      </w:r>
      <w:r w:rsidRPr="005F21EB">
        <w:rPr>
          <w:bCs/>
          <w:sz w:val="18"/>
          <w:szCs w:val="18"/>
          <w:lang w:val="en-GB"/>
        </w:rPr>
        <w:t xml:space="preserve">The different channels of the value chain for the selected products in </w:t>
      </w:r>
      <w:proofErr w:type="spellStart"/>
      <w:r w:rsidRPr="005F21EB">
        <w:rPr>
          <w:bCs/>
          <w:sz w:val="18"/>
          <w:szCs w:val="18"/>
          <w:lang w:val="en-GB"/>
        </w:rPr>
        <w:t>Kavrepalanchowk</w:t>
      </w:r>
      <w:proofErr w:type="spellEnd"/>
      <w:r w:rsidRPr="005F21EB">
        <w:rPr>
          <w:bCs/>
          <w:sz w:val="18"/>
          <w:szCs w:val="18"/>
          <w:lang w:val="en-GB"/>
        </w:rPr>
        <w:t xml:space="preserve"> and </w:t>
      </w:r>
      <w:proofErr w:type="spellStart"/>
      <w:r w:rsidRPr="005F21EB">
        <w:rPr>
          <w:bCs/>
          <w:sz w:val="18"/>
          <w:szCs w:val="18"/>
          <w:lang w:val="en-GB"/>
        </w:rPr>
        <w:t>Sindhupalchowk</w:t>
      </w:r>
      <w:proofErr w:type="spellEnd"/>
    </w:p>
    <w:p w14:paraId="706A9874" w14:textId="1EA5FA25" w:rsidR="00E5199B" w:rsidRDefault="00E5199B" w:rsidP="00E5199B">
      <w:pPr>
        <w:spacing w:line="276" w:lineRule="auto"/>
        <w:jc w:val="center"/>
        <w:rPr>
          <w:rFonts w:ascii="Arial" w:hAnsi="Arial" w:cs="Arial"/>
          <w:sz w:val="20"/>
        </w:rPr>
      </w:pPr>
      <w:r w:rsidRPr="00E5746B">
        <w:rPr>
          <w:noProof/>
          <w:lang w:val="it-IT" w:eastAsia="zh-TW"/>
        </w:rPr>
        <w:drawing>
          <wp:inline distT="0" distB="0" distL="0" distR="0" wp14:anchorId="607A243F" wp14:editId="082AD378">
            <wp:extent cx="3819525" cy="2118878"/>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38463" cy="2129384"/>
                    </a:xfrm>
                    <a:prstGeom prst="rect">
                      <a:avLst/>
                    </a:prstGeom>
                  </pic:spPr>
                </pic:pic>
              </a:graphicData>
            </a:graphic>
          </wp:inline>
        </w:drawing>
      </w:r>
    </w:p>
    <w:p w14:paraId="657E2E41" w14:textId="77777777" w:rsidR="005F21EB" w:rsidRDefault="005F21EB" w:rsidP="005F21EB">
      <w:pPr>
        <w:pStyle w:val="Abstract"/>
        <w:tabs>
          <w:tab w:val="left" w:pos="6379"/>
        </w:tabs>
        <w:spacing w:line="276" w:lineRule="auto"/>
        <w:ind w:left="0" w:right="-30"/>
        <w:rPr>
          <w:snapToGrid/>
          <w:sz w:val="24"/>
        </w:rPr>
      </w:pPr>
      <w:r>
        <w:rPr>
          <w:sz w:val="18"/>
        </w:rPr>
        <w:t>Source: Authors</w:t>
      </w:r>
    </w:p>
    <w:p w14:paraId="2100DA4B" w14:textId="77430F47" w:rsidR="00221FC2" w:rsidRPr="00221FC2" w:rsidRDefault="006C6338" w:rsidP="00B33380">
      <w:pPr>
        <w:spacing w:line="276" w:lineRule="auto"/>
        <w:rPr>
          <w:sz w:val="24"/>
          <w:szCs w:val="24"/>
        </w:rPr>
      </w:pPr>
      <w:r w:rsidRPr="002E34B6">
        <w:rPr>
          <w:sz w:val="24"/>
          <w:szCs w:val="24"/>
        </w:rPr>
        <w:t>S</w:t>
      </w:r>
      <w:r w:rsidR="00E5199B" w:rsidRPr="002E34B6">
        <w:rPr>
          <w:sz w:val="24"/>
          <w:szCs w:val="24"/>
        </w:rPr>
        <w:t xml:space="preserve">ome farmers in </w:t>
      </w:r>
      <w:proofErr w:type="spellStart"/>
      <w:r w:rsidR="00E5199B" w:rsidRPr="002E34B6">
        <w:rPr>
          <w:sz w:val="24"/>
          <w:szCs w:val="24"/>
        </w:rPr>
        <w:t>Kabhrepalanchowk</w:t>
      </w:r>
      <w:proofErr w:type="spellEnd"/>
      <w:r w:rsidR="00E5199B" w:rsidRPr="002E34B6">
        <w:rPr>
          <w:sz w:val="24"/>
          <w:szCs w:val="24"/>
        </w:rPr>
        <w:t xml:space="preserve"> and </w:t>
      </w:r>
      <w:proofErr w:type="spellStart"/>
      <w:r w:rsidR="00E5199B" w:rsidRPr="002E34B6">
        <w:rPr>
          <w:sz w:val="24"/>
          <w:szCs w:val="24"/>
        </w:rPr>
        <w:t>Sindhupalchok</w:t>
      </w:r>
      <w:proofErr w:type="spellEnd"/>
      <w:r w:rsidR="00E5199B" w:rsidRPr="002E34B6">
        <w:rPr>
          <w:sz w:val="24"/>
          <w:szCs w:val="24"/>
        </w:rPr>
        <w:t xml:space="preserve"> sell their products in the local market without using intermediaries (middlemen), either directly to consumers or by delivering products to local retailers. Most of </w:t>
      </w:r>
      <w:r w:rsidR="00E5199B" w:rsidRPr="002E34B6">
        <w:rPr>
          <w:sz w:val="24"/>
          <w:szCs w:val="24"/>
        </w:rPr>
        <w:lastRenderedPageBreak/>
        <w:t xml:space="preserve">the farmers disposed their products at the nearest road-head point to the traders. Such products are then delivered to the wholesale markets or sold to retailers and consumers directly by the middlemen. A limited number of farmers place their productions in Kathmandu markets directly </w:t>
      </w:r>
      <w:r w:rsidRPr="002E34B6">
        <w:rPr>
          <w:sz w:val="24"/>
          <w:szCs w:val="24"/>
        </w:rPr>
        <w:t>via wholesalers:</w:t>
      </w:r>
      <w:r w:rsidR="00E5199B" w:rsidRPr="002E34B6">
        <w:rPr>
          <w:sz w:val="24"/>
          <w:szCs w:val="24"/>
        </w:rPr>
        <w:t xml:space="preserve"> major part of the road-head collection is canalized to Kathmandu through the middlemen</w:t>
      </w:r>
      <w:r w:rsidRPr="002E34B6">
        <w:rPr>
          <w:sz w:val="24"/>
          <w:szCs w:val="24"/>
        </w:rPr>
        <w:t xml:space="preserve">. </w:t>
      </w:r>
      <w:r w:rsidRPr="002E34B6">
        <w:rPr>
          <w:rFonts w:eastAsia="Calibri"/>
          <w:sz w:val="24"/>
          <w:szCs w:val="24"/>
        </w:rPr>
        <w:t xml:space="preserve">Because of the perishable nature of the vegetables and lack of safe storage, the farmers, due to their weak negotiation power, have to accept the prices offered by the middlemen. </w:t>
      </w:r>
      <w:r w:rsidR="00AD37AB" w:rsidRPr="002E34B6">
        <w:rPr>
          <w:sz w:val="24"/>
          <w:szCs w:val="24"/>
        </w:rPr>
        <w:t xml:space="preserve">The analysis shows that the demand exceeds the supply in the local and regional markets and sometimes in the national market. </w:t>
      </w:r>
      <w:r w:rsidR="00AD37AB" w:rsidRPr="002E34B6">
        <w:rPr>
          <w:sz w:val="24"/>
          <w:szCs w:val="24"/>
          <w:lang w:val="en-GB"/>
        </w:rPr>
        <w:t>Farmers’ offer is often much lower compared to middlemen and retailers’ offers.</w:t>
      </w:r>
      <w:r w:rsidR="00AD37AB" w:rsidRPr="002E34B6">
        <w:rPr>
          <w:sz w:val="24"/>
          <w:szCs w:val="24"/>
        </w:rPr>
        <w:t xml:space="preserve"> Low quality infrastructure</w:t>
      </w:r>
      <w:r w:rsidR="001D7A89" w:rsidRPr="002E34B6">
        <w:rPr>
          <w:sz w:val="24"/>
          <w:szCs w:val="24"/>
        </w:rPr>
        <w:t>,</w:t>
      </w:r>
      <w:r w:rsidR="00C92014" w:rsidRPr="002E34B6">
        <w:rPr>
          <w:sz w:val="24"/>
          <w:szCs w:val="24"/>
        </w:rPr>
        <w:t xml:space="preserve"> weak market orientat</w:t>
      </w:r>
      <w:r w:rsidR="00B33380">
        <w:rPr>
          <w:sz w:val="24"/>
          <w:szCs w:val="24"/>
        </w:rPr>
        <w:t xml:space="preserve">ion of small </w:t>
      </w:r>
      <w:r w:rsidR="00C92014" w:rsidRPr="002E34B6">
        <w:rPr>
          <w:sz w:val="24"/>
          <w:szCs w:val="24"/>
        </w:rPr>
        <w:t>holder farmers,</w:t>
      </w:r>
      <w:r w:rsidR="001D7A89" w:rsidRPr="002E34B6">
        <w:rPr>
          <w:sz w:val="24"/>
          <w:szCs w:val="24"/>
        </w:rPr>
        <w:t xml:space="preserve"> poor market access, low productivity and hig</w:t>
      </w:r>
      <w:r w:rsidR="00C92014" w:rsidRPr="002E34B6">
        <w:rPr>
          <w:sz w:val="24"/>
          <w:szCs w:val="24"/>
        </w:rPr>
        <w:t xml:space="preserve">h </w:t>
      </w:r>
      <w:r w:rsidR="001D7A89" w:rsidRPr="002E34B6">
        <w:rPr>
          <w:sz w:val="24"/>
          <w:szCs w:val="24"/>
        </w:rPr>
        <w:t xml:space="preserve">post-harvest losses </w:t>
      </w:r>
      <w:r w:rsidR="00AD37AB" w:rsidRPr="002E34B6">
        <w:rPr>
          <w:sz w:val="24"/>
          <w:szCs w:val="24"/>
          <w:lang w:val="en-GB"/>
        </w:rPr>
        <w:t>impose relevant issues for the supply chain, generating an inconsistent supply of products from farmers.</w:t>
      </w:r>
      <w:r w:rsidR="00C92014" w:rsidRPr="002E34B6">
        <w:rPr>
          <w:sz w:val="24"/>
          <w:szCs w:val="24"/>
        </w:rPr>
        <w:t xml:space="preserve"> This situation results in an increase in imports, often leading to market paradox within the market, as is the case for ginger: exported fresh at low price to the Indian market and re-imported </w:t>
      </w:r>
      <w:r w:rsidR="00C92014" w:rsidRPr="002E34B6">
        <w:rPr>
          <w:sz w:val="24"/>
          <w:szCs w:val="24"/>
          <w:lang w:val="en-GB" w:eastAsia="en-GB"/>
        </w:rPr>
        <w:t xml:space="preserve">in the form of ginger powder at higher prices to the individual customers. </w:t>
      </w:r>
      <w:r w:rsidR="00C92014" w:rsidRPr="002E34B6">
        <w:rPr>
          <w:sz w:val="24"/>
          <w:szCs w:val="24"/>
          <w:lang w:val="en-GB"/>
        </w:rPr>
        <w:t xml:space="preserve">This mechanism generates a consistent </w:t>
      </w:r>
      <w:r w:rsidR="00C92014" w:rsidRPr="002E34B6">
        <w:rPr>
          <w:sz w:val="24"/>
          <w:szCs w:val="24"/>
        </w:rPr>
        <w:t>“loss of value” along the entire supply chain.</w:t>
      </w:r>
      <w:r w:rsidR="002E34B6">
        <w:rPr>
          <w:sz w:val="24"/>
          <w:szCs w:val="24"/>
        </w:rPr>
        <w:t xml:space="preserve"> </w:t>
      </w:r>
      <w:r w:rsidR="002E34B6" w:rsidRPr="002E34B6">
        <w:rPr>
          <w:color w:val="000000"/>
          <w:sz w:val="24"/>
          <w:szCs w:val="24"/>
        </w:rPr>
        <w:t xml:space="preserve">Process and storage facilities appear to be weaker links, together with high-quality and hygienic requirements to access national and international market and </w:t>
      </w:r>
      <w:r w:rsidR="002E34B6" w:rsidRPr="002E34B6">
        <w:rPr>
          <w:sz w:val="24"/>
          <w:szCs w:val="24"/>
        </w:rPr>
        <w:t xml:space="preserve">high price-competitiveness of imported products. </w:t>
      </w:r>
      <w:r w:rsidR="00221FC2" w:rsidRPr="00221FC2">
        <w:rPr>
          <w:sz w:val="24"/>
          <w:szCs w:val="24"/>
        </w:rPr>
        <w:t xml:space="preserve">Technical specification sheets have been elaborated for </w:t>
      </w:r>
      <w:r w:rsidR="00221FC2" w:rsidRPr="00421B9B">
        <w:rPr>
          <w:sz w:val="24"/>
          <w:szCs w:val="24"/>
        </w:rPr>
        <w:t>the three selected products, chosen</w:t>
      </w:r>
      <w:r w:rsidR="00221FC2" w:rsidRPr="00421B9B">
        <w:rPr>
          <w:rFonts w:eastAsia="Calibri"/>
          <w:sz w:val="24"/>
          <w:szCs w:val="24"/>
        </w:rPr>
        <w:t xml:space="preserve"> both for their commercial interest (current and potential) and by their commodity profile.</w:t>
      </w:r>
      <w:r w:rsidR="00221FC2" w:rsidRPr="00221FC2">
        <w:rPr>
          <w:rFonts w:eastAsia="Calibri"/>
          <w:sz w:val="24"/>
          <w:szCs w:val="24"/>
        </w:rPr>
        <w:t xml:space="preserve"> </w:t>
      </w:r>
      <w:r w:rsidR="00221FC2" w:rsidRPr="00221FC2">
        <w:rPr>
          <w:sz w:val="24"/>
          <w:szCs w:val="24"/>
        </w:rPr>
        <w:t xml:space="preserve">By preparing these documents, the aim is to provide the </w:t>
      </w:r>
      <w:r w:rsidR="00421B9B">
        <w:rPr>
          <w:sz w:val="24"/>
          <w:szCs w:val="24"/>
        </w:rPr>
        <w:t xml:space="preserve">social enterprise/cooperative a </w:t>
      </w:r>
      <w:r w:rsidR="00221FC2" w:rsidRPr="00221FC2">
        <w:rPr>
          <w:sz w:val="24"/>
          <w:szCs w:val="24"/>
        </w:rPr>
        <w:t>useful tool, both for commercial an</w:t>
      </w:r>
      <w:r w:rsidR="00B33380">
        <w:rPr>
          <w:sz w:val="24"/>
          <w:szCs w:val="24"/>
        </w:rPr>
        <w:t>d for marketing purposes. Each t</w:t>
      </w:r>
      <w:r w:rsidR="00221FC2" w:rsidRPr="00221FC2">
        <w:rPr>
          <w:sz w:val="24"/>
          <w:szCs w:val="24"/>
        </w:rPr>
        <w:t xml:space="preserve">echnical </w:t>
      </w:r>
      <w:r w:rsidR="00B33380">
        <w:rPr>
          <w:sz w:val="24"/>
          <w:szCs w:val="24"/>
        </w:rPr>
        <w:t xml:space="preserve">specifications </w:t>
      </w:r>
      <w:r w:rsidR="00221FC2" w:rsidRPr="00221FC2">
        <w:rPr>
          <w:sz w:val="24"/>
          <w:szCs w:val="24"/>
        </w:rPr>
        <w:t xml:space="preserve">sheet outlines relevant information, according the following scheme: </w:t>
      </w:r>
    </w:p>
    <w:p w14:paraId="31EF7B2E" w14:textId="60B57505" w:rsidR="00221FC2" w:rsidRPr="00421B9B" w:rsidRDefault="00221FC2" w:rsidP="00493208">
      <w:pPr>
        <w:pStyle w:val="ListParagraph"/>
        <w:numPr>
          <w:ilvl w:val="0"/>
          <w:numId w:val="16"/>
        </w:numPr>
        <w:spacing w:after="160" w:line="276" w:lineRule="auto"/>
        <w:rPr>
          <w:sz w:val="24"/>
          <w:szCs w:val="24"/>
        </w:rPr>
      </w:pPr>
      <w:r w:rsidRPr="00B33380">
        <w:rPr>
          <w:iCs/>
          <w:sz w:val="24"/>
          <w:szCs w:val="24"/>
        </w:rPr>
        <w:t>General Information</w:t>
      </w:r>
      <w:r w:rsidR="00493208">
        <w:rPr>
          <w:sz w:val="24"/>
          <w:szCs w:val="24"/>
        </w:rPr>
        <w:t>, with composition</w:t>
      </w:r>
      <w:r w:rsidRPr="00221FC2">
        <w:rPr>
          <w:sz w:val="24"/>
          <w:szCs w:val="24"/>
        </w:rPr>
        <w:t xml:space="preserve">, place of origin. </w:t>
      </w:r>
    </w:p>
    <w:p w14:paraId="26F3F06C" w14:textId="35438AC8" w:rsidR="00221FC2" w:rsidRPr="00421B9B" w:rsidRDefault="00493208" w:rsidP="00493208">
      <w:pPr>
        <w:pStyle w:val="ListParagraph"/>
        <w:numPr>
          <w:ilvl w:val="0"/>
          <w:numId w:val="16"/>
        </w:numPr>
        <w:spacing w:after="160" w:line="276" w:lineRule="auto"/>
        <w:rPr>
          <w:sz w:val="24"/>
          <w:szCs w:val="24"/>
        </w:rPr>
      </w:pPr>
      <w:r>
        <w:rPr>
          <w:iCs/>
          <w:sz w:val="24"/>
          <w:szCs w:val="24"/>
        </w:rPr>
        <w:t>Processing,</w:t>
      </w:r>
      <w:r w:rsidR="00B33380">
        <w:rPr>
          <w:iCs/>
          <w:sz w:val="24"/>
          <w:szCs w:val="24"/>
        </w:rPr>
        <w:t xml:space="preserve"> with the </w:t>
      </w:r>
      <w:r>
        <w:rPr>
          <w:iCs/>
          <w:sz w:val="24"/>
          <w:szCs w:val="24"/>
        </w:rPr>
        <w:t>detail</w:t>
      </w:r>
      <w:r w:rsidR="00B33380">
        <w:rPr>
          <w:iCs/>
          <w:sz w:val="24"/>
          <w:szCs w:val="24"/>
        </w:rPr>
        <w:t xml:space="preserve"> of </w:t>
      </w:r>
      <w:r w:rsidR="00221FC2" w:rsidRPr="00221FC2">
        <w:rPr>
          <w:sz w:val="24"/>
          <w:szCs w:val="24"/>
        </w:rPr>
        <w:t>production process.</w:t>
      </w:r>
      <w:r w:rsidR="00221FC2" w:rsidRPr="00221FC2">
        <w:rPr>
          <w:sz w:val="24"/>
          <w:szCs w:val="24"/>
          <w:u w:val="single"/>
        </w:rPr>
        <w:t xml:space="preserve">  </w:t>
      </w:r>
    </w:p>
    <w:p w14:paraId="00369043" w14:textId="072B76D0" w:rsidR="00221FC2" w:rsidRPr="00421B9B" w:rsidRDefault="00493208" w:rsidP="00C42F71">
      <w:pPr>
        <w:pStyle w:val="ListParagraph"/>
        <w:numPr>
          <w:ilvl w:val="0"/>
          <w:numId w:val="16"/>
        </w:numPr>
        <w:spacing w:after="160" w:line="276" w:lineRule="auto"/>
        <w:rPr>
          <w:sz w:val="24"/>
          <w:szCs w:val="24"/>
        </w:rPr>
      </w:pPr>
      <w:r>
        <w:rPr>
          <w:iCs/>
          <w:sz w:val="24"/>
          <w:szCs w:val="24"/>
        </w:rPr>
        <w:t xml:space="preserve">Properties, </w:t>
      </w:r>
      <w:r w:rsidR="00EF6320">
        <w:rPr>
          <w:iCs/>
          <w:sz w:val="24"/>
          <w:szCs w:val="24"/>
        </w:rPr>
        <w:t>outlines</w:t>
      </w:r>
      <w:r w:rsidR="00221FC2" w:rsidRPr="00221FC2">
        <w:rPr>
          <w:sz w:val="24"/>
          <w:szCs w:val="24"/>
        </w:rPr>
        <w:t xml:space="preserve"> information about the functional properties of the product. According to studies and scientific literature, functional activities have been described basing on the different bioactive compounds that characterize single spices. </w:t>
      </w:r>
    </w:p>
    <w:p w14:paraId="34C3A6B0" w14:textId="4208C962" w:rsidR="00221FC2" w:rsidRPr="00421B9B" w:rsidRDefault="00221FC2" w:rsidP="00493208">
      <w:pPr>
        <w:pStyle w:val="ListParagraph"/>
        <w:numPr>
          <w:ilvl w:val="0"/>
          <w:numId w:val="16"/>
        </w:numPr>
        <w:spacing w:after="160" w:line="276" w:lineRule="auto"/>
        <w:rPr>
          <w:sz w:val="24"/>
          <w:szCs w:val="24"/>
        </w:rPr>
      </w:pPr>
      <w:r w:rsidRPr="00B33380">
        <w:rPr>
          <w:sz w:val="24"/>
          <w:szCs w:val="24"/>
        </w:rPr>
        <w:lastRenderedPageBreak/>
        <w:t>Packa</w:t>
      </w:r>
      <w:r w:rsidR="00493208">
        <w:rPr>
          <w:sz w:val="24"/>
          <w:szCs w:val="24"/>
        </w:rPr>
        <w:t>ging and storage description</w:t>
      </w:r>
      <w:r w:rsidRPr="00221FC2">
        <w:rPr>
          <w:sz w:val="24"/>
          <w:szCs w:val="24"/>
          <w:lang w:eastAsia="en-GB"/>
        </w:rPr>
        <w:t xml:space="preserve">. </w:t>
      </w:r>
    </w:p>
    <w:p w14:paraId="688976CF" w14:textId="77777777" w:rsidR="00C42F71" w:rsidRPr="00C42F71" w:rsidRDefault="00493208" w:rsidP="00C42F71">
      <w:pPr>
        <w:pStyle w:val="ListParagraph"/>
        <w:numPr>
          <w:ilvl w:val="0"/>
          <w:numId w:val="16"/>
        </w:numPr>
        <w:spacing w:after="160" w:line="276" w:lineRule="auto"/>
        <w:rPr>
          <w:sz w:val="24"/>
          <w:szCs w:val="24"/>
        </w:rPr>
      </w:pPr>
      <w:r>
        <w:rPr>
          <w:sz w:val="24"/>
          <w:szCs w:val="24"/>
        </w:rPr>
        <w:t>Organoleptic properties</w:t>
      </w:r>
      <w:r w:rsidR="00221FC2" w:rsidRPr="00221FC2">
        <w:rPr>
          <w:iCs/>
          <w:sz w:val="24"/>
          <w:szCs w:val="24"/>
        </w:rPr>
        <w:t xml:space="preserve">. </w:t>
      </w:r>
    </w:p>
    <w:p w14:paraId="08DB0155" w14:textId="0D933511" w:rsidR="00C42F71" w:rsidRPr="00C42F71" w:rsidRDefault="00221FC2" w:rsidP="00C42F71">
      <w:pPr>
        <w:pStyle w:val="ListParagraph"/>
        <w:numPr>
          <w:ilvl w:val="0"/>
          <w:numId w:val="16"/>
        </w:numPr>
        <w:spacing w:after="160" w:line="276" w:lineRule="auto"/>
        <w:rPr>
          <w:sz w:val="24"/>
          <w:szCs w:val="24"/>
        </w:rPr>
      </w:pPr>
      <w:r w:rsidRPr="00C42F71">
        <w:rPr>
          <w:iCs/>
          <w:sz w:val="24"/>
          <w:szCs w:val="24"/>
          <w:lang w:eastAsia="en-GB"/>
        </w:rPr>
        <w:t>Microbiological parameters</w:t>
      </w:r>
      <w:r w:rsidR="00493208" w:rsidRPr="00C42F71">
        <w:rPr>
          <w:iCs/>
          <w:sz w:val="24"/>
          <w:szCs w:val="24"/>
          <w:lang w:eastAsia="en-GB"/>
        </w:rPr>
        <w:t xml:space="preserve"> (i.e.</w:t>
      </w:r>
      <w:r w:rsidRPr="00C42F71">
        <w:rPr>
          <w:sz w:val="24"/>
          <w:szCs w:val="24"/>
          <w:lang w:eastAsia="en-GB"/>
        </w:rPr>
        <w:t xml:space="preserve"> bacteria and </w:t>
      </w:r>
      <w:proofErr w:type="spellStart"/>
      <w:r w:rsidRPr="00C42F71">
        <w:rPr>
          <w:sz w:val="24"/>
          <w:szCs w:val="24"/>
          <w:lang w:eastAsia="en-GB"/>
        </w:rPr>
        <w:t>moulds</w:t>
      </w:r>
      <w:proofErr w:type="spellEnd"/>
      <w:r w:rsidR="00B33380" w:rsidRPr="00C42F71">
        <w:rPr>
          <w:sz w:val="24"/>
          <w:szCs w:val="24"/>
          <w:lang w:eastAsia="en-GB"/>
        </w:rPr>
        <w:t xml:space="preserve"> limits according EU standards</w:t>
      </w:r>
      <w:r w:rsidR="00493208" w:rsidRPr="00C42F71">
        <w:rPr>
          <w:sz w:val="24"/>
          <w:szCs w:val="24"/>
          <w:lang w:eastAsia="en-GB"/>
        </w:rPr>
        <w:t>)</w:t>
      </w:r>
      <w:r w:rsidR="00B33380" w:rsidRPr="00C42F71">
        <w:rPr>
          <w:sz w:val="24"/>
          <w:szCs w:val="24"/>
          <w:lang w:eastAsia="en-GB"/>
        </w:rPr>
        <w:t>.</w:t>
      </w:r>
      <w:r w:rsidRPr="00C42F71">
        <w:rPr>
          <w:sz w:val="24"/>
          <w:szCs w:val="24"/>
          <w:lang w:eastAsia="en-GB"/>
        </w:rPr>
        <w:t xml:space="preserve"> </w:t>
      </w:r>
    </w:p>
    <w:p w14:paraId="701E743E" w14:textId="35FFC477" w:rsidR="00493208" w:rsidRPr="00493208" w:rsidRDefault="00493208" w:rsidP="00493208">
      <w:pPr>
        <w:pStyle w:val="Default"/>
        <w:rPr>
          <w:rFonts w:ascii="Times New Roman" w:hAnsi="Times New Roman" w:cs="Times New Roman"/>
          <w:bCs/>
          <w:sz w:val="18"/>
          <w:szCs w:val="18"/>
        </w:rPr>
      </w:pPr>
      <w:r>
        <w:rPr>
          <w:rFonts w:ascii="Times New Roman" w:hAnsi="Times New Roman" w:cs="Times New Roman"/>
          <w:sz w:val="18"/>
        </w:rPr>
        <w:t>Tab 1</w:t>
      </w:r>
      <w:r w:rsidRPr="00D23462">
        <w:rPr>
          <w:rFonts w:ascii="Times New Roman" w:hAnsi="Times New Roman" w:cs="Times New Roman"/>
          <w:sz w:val="18"/>
        </w:rPr>
        <w:t xml:space="preserve">. </w:t>
      </w:r>
      <w:r>
        <w:rPr>
          <w:rFonts w:ascii="Times New Roman" w:hAnsi="Times New Roman" w:cs="Times New Roman"/>
          <w:bCs/>
          <w:sz w:val="18"/>
          <w:szCs w:val="18"/>
        </w:rPr>
        <w:t xml:space="preserve">Summary of </w:t>
      </w:r>
      <w:r w:rsidRPr="00493208">
        <w:rPr>
          <w:rFonts w:ascii="Times New Roman" w:hAnsi="Times New Roman" w:cs="Times New Roman"/>
          <w:bCs/>
          <w:sz w:val="18"/>
          <w:szCs w:val="18"/>
        </w:rPr>
        <w:t>technical specifications sheet</w:t>
      </w:r>
      <w:r>
        <w:rPr>
          <w:rFonts w:ascii="Times New Roman" w:hAnsi="Times New Roman" w:cs="Times New Roman"/>
          <w:bCs/>
          <w:sz w:val="18"/>
          <w:szCs w:val="18"/>
        </w:rPr>
        <w:t xml:space="preserve">s of the target spices </w:t>
      </w:r>
    </w:p>
    <w:tbl>
      <w:tblPr>
        <w:tblStyle w:val="PlainTable2"/>
        <w:tblW w:w="7797" w:type="dxa"/>
        <w:tblInd w:w="-157" w:type="dxa"/>
        <w:tblLook w:val="04A0" w:firstRow="1" w:lastRow="0" w:firstColumn="1" w:lastColumn="0" w:noHBand="0" w:noVBand="1"/>
      </w:tblPr>
      <w:tblGrid>
        <w:gridCol w:w="1593"/>
        <w:gridCol w:w="1936"/>
        <w:gridCol w:w="1860"/>
        <w:gridCol w:w="2408"/>
      </w:tblGrid>
      <w:tr w:rsidR="00493208" w:rsidRPr="00493208" w14:paraId="57672EC9" w14:textId="77777777" w:rsidTr="00C42F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tcPr>
          <w:p w14:paraId="493B7E9F" w14:textId="77777777" w:rsidR="00493208" w:rsidRPr="00493208" w:rsidRDefault="00493208" w:rsidP="00DA2CA7">
            <w:pPr>
              <w:rPr>
                <w:sz w:val="18"/>
                <w:szCs w:val="14"/>
              </w:rPr>
            </w:pPr>
          </w:p>
        </w:tc>
        <w:tc>
          <w:tcPr>
            <w:tcW w:w="1936" w:type="dxa"/>
          </w:tcPr>
          <w:p w14:paraId="0A756837" w14:textId="77777777" w:rsidR="00493208" w:rsidRPr="00493208" w:rsidRDefault="00493208" w:rsidP="00DA2CA7">
            <w:pPr>
              <w:jc w:val="center"/>
              <w:cnfStyle w:val="100000000000" w:firstRow="1" w:lastRow="0" w:firstColumn="0" w:lastColumn="0" w:oddVBand="0" w:evenVBand="0" w:oddHBand="0" w:evenHBand="0" w:firstRowFirstColumn="0" w:firstRowLastColumn="0" w:lastRowFirstColumn="0" w:lastRowLastColumn="0"/>
              <w:rPr>
                <w:sz w:val="18"/>
                <w:szCs w:val="14"/>
              </w:rPr>
            </w:pPr>
            <w:r w:rsidRPr="00493208">
              <w:rPr>
                <w:sz w:val="18"/>
                <w:szCs w:val="14"/>
              </w:rPr>
              <w:t>Fresh ginger</w:t>
            </w:r>
          </w:p>
        </w:tc>
        <w:tc>
          <w:tcPr>
            <w:tcW w:w="1860" w:type="dxa"/>
          </w:tcPr>
          <w:p w14:paraId="552BC046" w14:textId="77777777" w:rsidR="00493208" w:rsidRPr="00493208" w:rsidRDefault="00493208" w:rsidP="00DA2CA7">
            <w:pPr>
              <w:jc w:val="center"/>
              <w:cnfStyle w:val="100000000000" w:firstRow="1" w:lastRow="0" w:firstColumn="0" w:lastColumn="0" w:oddVBand="0" w:evenVBand="0" w:oddHBand="0" w:evenHBand="0" w:firstRowFirstColumn="0" w:firstRowLastColumn="0" w:lastRowFirstColumn="0" w:lastRowLastColumn="0"/>
              <w:rPr>
                <w:sz w:val="18"/>
                <w:szCs w:val="14"/>
              </w:rPr>
            </w:pPr>
            <w:r w:rsidRPr="00493208">
              <w:rPr>
                <w:sz w:val="18"/>
                <w:szCs w:val="14"/>
              </w:rPr>
              <w:t>Turmeric powder</w:t>
            </w:r>
          </w:p>
        </w:tc>
        <w:tc>
          <w:tcPr>
            <w:tcW w:w="2408" w:type="dxa"/>
          </w:tcPr>
          <w:p w14:paraId="0A7C2369" w14:textId="77777777" w:rsidR="00493208" w:rsidRPr="00493208" w:rsidRDefault="00493208" w:rsidP="00DA2CA7">
            <w:pPr>
              <w:jc w:val="center"/>
              <w:cnfStyle w:val="100000000000" w:firstRow="1" w:lastRow="0" w:firstColumn="0" w:lastColumn="0" w:oddVBand="0" w:evenVBand="0" w:oddHBand="0" w:evenHBand="0" w:firstRowFirstColumn="0" w:firstRowLastColumn="0" w:lastRowFirstColumn="0" w:lastRowLastColumn="0"/>
              <w:rPr>
                <w:sz w:val="18"/>
                <w:szCs w:val="14"/>
              </w:rPr>
            </w:pPr>
            <w:r w:rsidRPr="00493208">
              <w:rPr>
                <w:sz w:val="18"/>
                <w:szCs w:val="14"/>
              </w:rPr>
              <w:t>Cardamom</w:t>
            </w:r>
          </w:p>
        </w:tc>
      </w:tr>
      <w:tr w:rsidR="00493208" w:rsidRPr="00493208" w14:paraId="7AD6D6E0" w14:textId="77777777" w:rsidTr="00C42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tcPr>
          <w:p w14:paraId="2C7AC557" w14:textId="77777777" w:rsidR="00493208" w:rsidRPr="00493208" w:rsidRDefault="00493208" w:rsidP="00DA2CA7">
            <w:pPr>
              <w:rPr>
                <w:sz w:val="18"/>
                <w:szCs w:val="14"/>
              </w:rPr>
            </w:pPr>
          </w:p>
        </w:tc>
        <w:tc>
          <w:tcPr>
            <w:tcW w:w="1936" w:type="dxa"/>
          </w:tcPr>
          <w:p w14:paraId="7CF158CB" w14:textId="35961660" w:rsidR="00493208" w:rsidRPr="00493208" w:rsidRDefault="00493208" w:rsidP="00C42F71">
            <w:pPr>
              <w:jc w:val="center"/>
              <w:cnfStyle w:val="000000100000" w:firstRow="0" w:lastRow="0" w:firstColumn="0" w:lastColumn="0" w:oddVBand="0" w:evenVBand="0" w:oddHBand="1" w:evenHBand="0" w:firstRowFirstColumn="0" w:firstRowLastColumn="0" w:lastRowFirstColumn="0" w:lastRowLastColumn="0"/>
              <w:rPr>
                <w:sz w:val="18"/>
                <w:szCs w:val="14"/>
              </w:rPr>
            </w:pPr>
            <w:r w:rsidRPr="00493208">
              <w:rPr>
                <w:i/>
                <w:sz w:val="18"/>
                <w:szCs w:val="14"/>
              </w:rPr>
              <w:t>Zingiber officinale</w:t>
            </w:r>
            <w:r w:rsidRPr="00493208">
              <w:rPr>
                <w:sz w:val="18"/>
                <w:szCs w:val="14"/>
              </w:rPr>
              <w:t xml:space="preserve"> </w:t>
            </w:r>
          </w:p>
        </w:tc>
        <w:tc>
          <w:tcPr>
            <w:tcW w:w="1860" w:type="dxa"/>
          </w:tcPr>
          <w:p w14:paraId="51E85ACE" w14:textId="77777777" w:rsidR="00493208" w:rsidRPr="00493208" w:rsidRDefault="00493208" w:rsidP="00DA2CA7">
            <w:pPr>
              <w:jc w:val="center"/>
              <w:cnfStyle w:val="000000100000" w:firstRow="0" w:lastRow="0" w:firstColumn="0" w:lastColumn="0" w:oddVBand="0" w:evenVBand="0" w:oddHBand="1" w:evenHBand="0" w:firstRowFirstColumn="0" w:firstRowLastColumn="0" w:lastRowFirstColumn="0" w:lastRowLastColumn="0"/>
              <w:rPr>
                <w:sz w:val="18"/>
                <w:szCs w:val="14"/>
              </w:rPr>
            </w:pPr>
            <w:r w:rsidRPr="00493208">
              <w:rPr>
                <w:rStyle w:val="Emphasis"/>
                <w:sz w:val="18"/>
                <w:szCs w:val="14"/>
              </w:rPr>
              <w:t>Curcuma longa</w:t>
            </w:r>
          </w:p>
        </w:tc>
        <w:tc>
          <w:tcPr>
            <w:tcW w:w="2408" w:type="dxa"/>
          </w:tcPr>
          <w:p w14:paraId="59F082CD" w14:textId="59E53B63" w:rsidR="00493208" w:rsidRPr="00493208" w:rsidRDefault="00493208" w:rsidP="00C42F71">
            <w:pPr>
              <w:jc w:val="center"/>
              <w:cnfStyle w:val="000000100000" w:firstRow="0" w:lastRow="0" w:firstColumn="0" w:lastColumn="0" w:oddVBand="0" w:evenVBand="0" w:oddHBand="1" w:evenHBand="0" w:firstRowFirstColumn="0" w:firstRowLastColumn="0" w:lastRowFirstColumn="0" w:lastRowLastColumn="0"/>
              <w:rPr>
                <w:sz w:val="18"/>
                <w:szCs w:val="14"/>
              </w:rPr>
            </w:pPr>
            <w:r w:rsidRPr="00493208">
              <w:rPr>
                <w:i/>
                <w:iCs/>
                <w:sz w:val="18"/>
                <w:szCs w:val="14"/>
              </w:rPr>
              <w:t xml:space="preserve">Amomum </w:t>
            </w:r>
            <w:proofErr w:type="spellStart"/>
            <w:r w:rsidRPr="00493208">
              <w:rPr>
                <w:i/>
                <w:iCs/>
                <w:sz w:val="18"/>
                <w:szCs w:val="14"/>
              </w:rPr>
              <w:t>subulatum</w:t>
            </w:r>
            <w:proofErr w:type="spellEnd"/>
            <w:r w:rsidRPr="00493208">
              <w:rPr>
                <w:i/>
                <w:iCs/>
                <w:sz w:val="18"/>
                <w:szCs w:val="14"/>
              </w:rPr>
              <w:t xml:space="preserve"> </w:t>
            </w:r>
            <w:proofErr w:type="spellStart"/>
            <w:r w:rsidRPr="00493208">
              <w:rPr>
                <w:i/>
                <w:iCs/>
                <w:sz w:val="18"/>
                <w:szCs w:val="14"/>
              </w:rPr>
              <w:t>Roxb</w:t>
            </w:r>
            <w:proofErr w:type="spellEnd"/>
            <w:r w:rsidRPr="00493208">
              <w:rPr>
                <w:sz w:val="18"/>
                <w:szCs w:val="14"/>
              </w:rPr>
              <w:t xml:space="preserve">. </w:t>
            </w:r>
          </w:p>
        </w:tc>
      </w:tr>
      <w:tr w:rsidR="00493208" w:rsidRPr="00493208" w14:paraId="66410514" w14:textId="77777777" w:rsidTr="00C42F71">
        <w:tc>
          <w:tcPr>
            <w:cnfStyle w:val="001000000000" w:firstRow="0" w:lastRow="0" w:firstColumn="1" w:lastColumn="0" w:oddVBand="0" w:evenVBand="0" w:oddHBand="0" w:evenHBand="0" w:firstRowFirstColumn="0" w:firstRowLastColumn="0" w:lastRowFirstColumn="0" w:lastRowLastColumn="0"/>
            <w:tcW w:w="1593" w:type="dxa"/>
          </w:tcPr>
          <w:p w14:paraId="1EFE3880" w14:textId="77777777" w:rsidR="00493208" w:rsidRPr="00493208" w:rsidRDefault="00493208" w:rsidP="00DA2CA7">
            <w:pPr>
              <w:rPr>
                <w:sz w:val="18"/>
                <w:szCs w:val="14"/>
              </w:rPr>
            </w:pPr>
            <w:r w:rsidRPr="00493208">
              <w:rPr>
                <w:iCs/>
                <w:sz w:val="18"/>
                <w:szCs w:val="14"/>
              </w:rPr>
              <w:t xml:space="preserve">Origin </w:t>
            </w:r>
          </w:p>
        </w:tc>
        <w:tc>
          <w:tcPr>
            <w:tcW w:w="6204" w:type="dxa"/>
            <w:gridSpan w:val="3"/>
          </w:tcPr>
          <w:p w14:paraId="1CC254EF" w14:textId="025B2F6F" w:rsidR="00493208" w:rsidRPr="00493208" w:rsidRDefault="00493208" w:rsidP="00C42F71">
            <w:pPr>
              <w:cnfStyle w:val="000000000000" w:firstRow="0" w:lastRow="0" w:firstColumn="0" w:lastColumn="0" w:oddVBand="0" w:evenVBand="0" w:oddHBand="0" w:evenHBand="0" w:firstRowFirstColumn="0" w:firstRowLastColumn="0" w:lastRowFirstColumn="0" w:lastRowLastColumn="0"/>
              <w:rPr>
                <w:sz w:val="18"/>
                <w:szCs w:val="14"/>
              </w:rPr>
            </w:pPr>
            <w:r w:rsidRPr="00493208">
              <w:rPr>
                <w:sz w:val="18"/>
                <w:szCs w:val="14"/>
              </w:rPr>
              <w:t xml:space="preserve">Produced in </w:t>
            </w:r>
            <w:proofErr w:type="spellStart"/>
            <w:r w:rsidRPr="00493208">
              <w:rPr>
                <w:sz w:val="18"/>
                <w:szCs w:val="14"/>
              </w:rPr>
              <w:t>Melanchi</w:t>
            </w:r>
            <w:proofErr w:type="spellEnd"/>
            <w:r w:rsidRPr="00493208">
              <w:rPr>
                <w:sz w:val="18"/>
                <w:szCs w:val="14"/>
              </w:rPr>
              <w:t xml:space="preserve"> </w:t>
            </w:r>
            <w:r w:rsidRPr="00493208">
              <w:rPr>
                <w:color w:val="000000" w:themeColor="text1"/>
                <w:sz w:val="18"/>
                <w:szCs w:val="14"/>
              </w:rPr>
              <w:t xml:space="preserve">in </w:t>
            </w:r>
            <w:r w:rsidRPr="00493208">
              <w:rPr>
                <w:sz w:val="18"/>
                <w:szCs w:val="14"/>
              </w:rPr>
              <w:t>compliance with cultural heritage and territorial systems</w:t>
            </w:r>
          </w:p>
        </w:tc>
      </w:tr>
      <w:tr w:rsidR="00493208" w:rsidRPr="00493208" w14:paraId="661A03FA" w14:textId="77777777" w:rsidTr="00C42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tcPr>
          <w:p w14:paraId="676CC035" w14:textId="77777777" w:rsidR="00493208" w:rsidRPr="00493208" w:rsidRDefault="00493208" w:rsidP="00DA2CA7">
            <w:pPr>
              <w:rPr>
                <w:sz w:val="18"/>
                <w:szCs w:val="14"/>
              </w:rPr>
            </w:pPr>
            <w:r w:rsidRPr="00493208">
              <w:rPr>
                <w:sz w:val="18"/>
                <w:szCs w:val="14"/>
              </w:rPr>
              <w:t>Processing</w:t>
            </w:r>
          </w:p>
        </w:tc>
        <w:tc>
          <w:tcPr>
            <w:tcW w:w="1936" w:type="dxa"/>
          </w:tcPr>
          <w:p w14:paraId="480510D2" w14:textId="69F287CD" w:rsidR="00493208" w:rsidRPr="00493208" w:rsidRDefault="00493208" w:rsidP="00493208">
            <w:pPr>
              <w:cnfStyle w:val="000000100000" w:firstRow="0" w:lastRow="0" w:firstColumn="0" w:lastColumn="0" w:oddVBand="0" w:evenVBand="0" w:oddHBand="1" w:evenHBand="0" w:firstRowFirstColumn="0" w:firstRowLastColumn="0" w:lastRowFirstColumn="0" w:lastRowLastColumn="0"/>
              <w:rPr>
                <w:sz w:val="18"/>
                <w:szCs w:val="14"/>
              </w:rPr>
            </w:pPr>
            <w:r w:rsidRPr="00493208">
              <w:rPr>
                <w:sz w:val="18"/>
                <w:szCs w:val="14"/>
              </w:rPr>
              <w:t>Harvesting.</w:t>
            </w:r>
            <w:r>
              <w:rPr>
                <w:sz w:val="18"/>
                <w:szCs w:val="14"/>
              </w:rPr>
              <w:t xml:space="preserve"> </w:t>
            </w:r>
            <w:r w:rsidRPr="00493208">
              <w:rPr>
                <w:sz w:val="18"/>
                <w:szCs w:val="14"/>
              </w:rPr>
              <w:t xml:space="preserve">Transport to </w:t>
            </w:r>
            <w:proofErr w:type="spellStart"/>
            <w:r w:rsidRPr="00493208">
              <w:rPr>
                <w:sz w:val="18"/>
                <w:szCs w:val="14"/>
              </w:rPr>
              <w:t>Melanchi</w:t>
            </w:r>
            <w:proofErr w:type="spellEnd"/>
            <w:r w:rsidRPr="00493208">
              <w:rPr>
                <w:sz w:val="18"/>
                <w:szCs w:val="14"/>
              </w:rPr>
              <w:t xml:space="preserve">. </w:t>
            </w:r>
          </w:p>
          <w:p w14:paraId="48960272" w14:textId="5F3C7E49" w:rsidR="00493208" w:rsidRPr="00493208" w:rsidRDefault="00493208" w:rsidP="00493208">
            <w:pPr>
              <w:cnfStyle w:val="000000100000" w:firstRow="0" w:lastRow="0" w:firstColumn="0" w:lastColumn="0" w:oddVBand="0" w:evenVBand="0" w:oddHBand="1" w:evenHBand="0" w:firstRowFirstColumn="0" w:firstRowLastColumn="0" w:lastRowFirstColumn="0" w:lastRowLastColumn="0"/>
              <w:rPr>
                <w:sz w:val="18"/>
                <w:szCs w:val="14"/>
              </w:rPr>
            </w:pPr>
            <w:r w:rsidRPr="00493208">
              <w:rPr>
                <w:sz w:val="18"/>
                <w:szCs w:val="14"/>
              </w:rPr>
              <w:t>Cleaning. Sorting and grading. Visual inspection. Packaging.</w:t>
            </w:r>
          </w:p>
        </w:tc>
        <w:tc>
          <w:tcPr>
            <w:tcW w:w="1860" w:type="dxa"/>
          </w:tcPr>
          <w:p w14:paraId="3DE8BAF0" w14:textId="77777777" w:rsidR="00493208" w:rsidRPr="00493208" w:rsidRDefault="00493208" w:rsidP="00DA2CA7">
            <w:pPr>
              <w:cnfStyle w:val="000000100000" w:firstRow="0" w:lastRow="0" w:firstColumn="0" w:lastColumn="0" w:oddVBand="0" w:evenVBand="0" w:oddHBand="1" w:evenHBand="0" w:firstRowFirstColumn="0" w:firstRowLastColumn="0" w:lastRowFirstColumn="0" w:lastRowLastColumn="0"/>
              <w:rPr>
                <w:sz w:val="18"/>
                <w:szCs w:val="14"/>
              </w:rPr>
            </w:pPr>
            <w:r w:rsidRPr="00493208">
              <w:rPr>
                <w:sz w:val="18"/>
                <w:szCs w:val="14"/>
              </w:rPr>
              <w:t xml:space="preserve">Harvesting. </w:t>
            </w:r>
          </w:p>
          <w:p w14:paraId="76348896" w14:textId="44E98BBA" w:rsidR="00493208" w:rsidRPr="00493208" w:rsidRDefault="00493208" w:rsidP="00C42F71">
            <w:pPr>
              <w:cnfStyle w:val="000000100000" w:firstRow="0" w:lastRow="0" w:firstColumn="0" w:lastColumn="0" w:oddVBand="0" w:evenVBand="0" w:oddHBand="1" w:evenHBand="0" w:firstRowFirstColumn="0" w:firstRowLastColumn="0" w:lastRowFirstColumn="0" w:lastRowLastColumn="0"/>
              <w:rPr>
                <w:sz w:val="18"/>
                <w:szCs w:val="14"/>
              </w:rPr>
            </w:pPr>
            <w:r w:rsidRPr="00493208">
              <w:rPr>
                <w:sz w:val="18"/>
                <w:szCs w:val="14"/>
              </w:rPr>
              <w:t xml:space="preserve">Transport to </w:t>
            </w:r>
            <w:proofErr w:type="spellStart"/>
            <w:r w:rsidRPr="00493208">
              <w:rPr>
                <w:sz w:val="18"/>
                <w:szCs w:val="14"/>
              </w:rPr>
              <w:t>Melanchi</w:t>
            </w:r>
            <w:proofErr w:type="spellEnd"/>
            <w:r w:rsidRPr="00493208">
              <w:rPr>
                <w:sz w:val="18"/>
                <w:szCs w:val="14"/>
              </w:rPr>
              <w:t xml:space="preserve">. Washing. </w:t>
            </w:r>
            <w:r>
              <w:rPr>
                <w:sz w:val="18"/>
                <w:szCs w:val="14"/>
              </w:rPr>
              <w:t xml:space="preserve">Sorting. </w:t>
            </w:r>
            <w:r w:rsidRPr="00493208">
              <w:rPr>
                <w:sz w:val="18"/>
                <w:szCs w:val="14"/>
              </w:rPr>
              <w:t xml:space="preserve">Pealing and cutting into slices. Drying. Grinding. </w:t>
            </w:r>
            <w:r>
              <w:rPr>
                <w:sz w:val="18"/>
                <w:szCs w:val="14"/>
              </w:rPr>
              <w:t xml:space="preserve"> </w:t>
            </w:r>
            <w:r w:rsidRPr="00493208">
              <w:rPr>
                <w:sz w:val="18"/>
                <w:szCs w:val="14"/>
              </w:rPr>
              <w:t>Visual inspection.</w:t>
            </w:r>
            <w:r w:rsidR="00C42F71">
              <w:rPr>
                <w:sz w:val="18"/>
                <w:szCs w:val="14"/>
              </w:rPr>
              <w:t xml:space="preserve"> </w:t>
            </w:r>
            <w:r w:rsidRPr="00493208">
              <w:rPr>
                <w:sz w:val="18"/>
                <w:szCs w:val="14"/>
              </w:rPr>
              <w:t>Packaging.</w:t>
            </w:r>
          </w:p>
        </w:tc>
        <w:tc>
          <w:tcPr>
            <w:tcW w:w="2408" w:type="dxa"/>
          </w:tcPr>
          <w:p w14:paraId="6D591690" w14:textId="6F2BF782" w:rsidR="00493208" w:rsidRPr="00493208" w:rsidRDefault="00493208" w:rsidP="00493208">
            <w:pPr>
              <w:cnfStyle w:val="000000100000" w:firstRow="0" w:lastRow="0" w:firstColumn="0" w:lastColumn="0" w:oddVBand="0" w:evenVBand="0" w:oddHBand="1" w:evenHBand="0" w:firstRowFirstColumn="0" w:firstRowLastColumn="0" w:lastRowFirstColumn="0" w:lastRowLastColumn="0"/>
              <w:rPr>
                <w:sz w:val="18"/>
                <w:szCs w:val="14"/>
              </w:rPr>
            </w:pPr>
            <w:r w:rsidRPr="00493208">
              <w:rPr>
                <w:sz w:val="18"/>
                <w:szCs w:val="14"/>
              </w:rPr>
              <w:t>Harvesting of capsules and storage for 2-3 days.  Capsules separation. Cleaning.  Drying. Grading.  Visual inspection.  Packaging.</w:t>
            </w:r>
          </w:p>
          <w:p w14:paraId="0DC3942B" w14:textId="77777777" w:rsidR="00493208" w:rsidRPr="00493208" w:rsidRDefault="00493208" w:rsidP="00DA2CA7">
            <w:pPr>
              <w:cnfStyle w:val="000000100000" w:firstRow="0" w:lastRow="0" w:firstColumn="0" w:lastColumn="0" w:oddVBand="0" w:evenVBand="0" w:oddHBand="1" w:evenHBand="0" w:firstRowFirstColumn="0" w:firstRowLastColumn="0" w:lastRowFirstColumn="0" w:lastRowLastColumn="0"/>
              <w:rPr>
                <w:sz w:val="18"/>
                <w:szCs w:val="14"/>
              </w:rPr>
            </w:pPr>
          </w:p>
          <w:p w14:paraId="2317E0DB" w14:textId="77777777" w:rsidR="00493208" w:rsidRPr="00493208" w:rsidRDefault="00493208" w:rsidP="00DA2CA7">
            <w:pPr>
              <w:cnfStyle w:val="000000100000" w:firstRow="0" w:lastRow="0" w:firstColumn="0" w:lastColumn="0" w:oddVBand="0" w:evenVBand="0" w:oddHBand="1" w:evenHBand="0" w:firstRowFirstColumn="0" w:firstRowLastColumn="0" w:lastRowFirstColumn="0" w:lastRowLastColumn="0"/>
              <w:rPr>
                <w:sz w:val="18"/>
                <w:szCs w:val="14"/>
              </w:rPr>
            </w:pPr>
          </w:p>
        </w:tc>
      </w:tr>
      <w:tr w:rsidR="00493208" w:rsidRPr="00493208" w14:paraId="299F8AB3" w14:textId="77777777" w:rsidTr="00C42F71">
        <w:tc>
          <w:tcPr>
            <w:cnfStyle w:val="001000000000" w:firstRow="0" w:lastRow="0" w:firstColumn="1" w:lastColumn="0" w:oddVBand="0" w:evenVBand="0" w:oddHBand="0" w:evenHBand="0" w:firstRowFirstColumn="0" w:firstRowLastColumn="0" w:lastRowFirstColumn="0" w:lastRowLastColumn="0"/>
            <w:tcW w:w="1593" w:type="dxa"/>
          </w:tcPr>
          <w:p w14:paraId="0F178688" w14:textId="77777777" w:rsidR="00493208" w:rsidRPr="00493208" w:rsidRDefault="00493208" w:rsidP="00DA2CA7">
            <w:pPr>
              <w:rPr>
                <w:sz w:val="18"/>
                <w:szCs w:val="14"/>
              </w:rPr>
            </w:pPr>
            <w:r w:rsidRPr="00493208">
              <w:rPr>
                <w:sz w:val="18"/>
                <w:szCs w:val="14"/>
              </w:rPr>
              <w:t>Properties</w:t>
            </w:r>
          </w:p>
        </w:tc>
        <w:tc>
          <w:tcPr>
            <w:tcW w:w="1936" w:type="dxa"/>
          </w:tcPr>
          <w:p w14:paraId="1490DAC9" w14:textId="5684EAF6" w:rsidR="00493208" w:rsidRPr="00493208" w:rsidRDefault="00C42F71" w:rsidP="00DA2CA7">
            <w:pPr>
              <w:cnfStyle w:val="000000000000" w:firstRow="0" w:lastRow="0" w:firstColumn="0" w:lastColumn="0" w:oddVBand="0" w:evenVBand="0" w:oddHBand="0" w:evenHBand="0" w:firstRowFirstColumn="0" w:firstRowLastColumn="0" w:lastRowFirstColumn="0" w:lastRowLastColumn="0"/>
              <w:rPr>
                <w:sz w:val="18"/>
                <w:szCs w:val="14"/>
              </w:rPr>
            </w:pPr>
            <w:r>
              <w:rPr>
                <w:sz w:val="18"/>
                <w:szCs w:val="14"/>
              </w:rPr>
              <w:t>V</w:t>
            </w:r>
            <w:r w:rsidR="00493208" w:rsidRPr="00493208">
              <w:rPr>
                <w:sz w:val="18"/>
                <w:szCs w:val="14"/>
              </w:rPr>
              <w:t>ery high levels of phenolic compounds and total flavonoid with</w:t>
            </w:r>
            <w:r>
              <w:rPr>
                <w:sz w:val="18"/>
                <w:szCs w:val="14"/>
              </w:rPr>
              <w:t xml:space="preserve"> important antiradical capacity in ginger from </w:t>
            </w:r>
            <w:proofErr w:type="spellStart"/>
            <w:r>
              <w:rPr>
                <w:sz w:val="18"/>
                <w:szCs w:val="14"/>
              </w:rPr>
              <w:t>Melanchi</w:t>
            </w:r>
            <w:proofErr w:type="spellEnd"/>
            <w:r>
              <w:rPr>
                <w:sz w:val="18"/>
                <w:szCs w:val="14"/>
              </w:rPr>
              <w:t xml:space="preserve">. </w:t>
            </w:r>
          </w:p>
        </w:tc>
        <w:tc>
          <w:tcPr>
            <w:tcW w:w="1860" w:type="dxa"/>
          </w:tcPr>
          <w:p w14:paraId="14262085" w14:textId="135A4D8C" w:rsidR="00493208" w:rsidRPr="00493208" w:rsidRDefault="00C42F71" w:rsidP="00C42F71">
            <w:pPr>
              <w:cnfStyle w:val="000000000000" w:firstRow="0" w:lastRow="0" w:firstColumn="0" w:lastColumn="0" w:oddVBand="0" w:evenVBand="0" w:oddHBand="0" w:evenHBand="0" w:firstRowFirstColumn="0" w:firstRowLastColumn="0" w:lastRowFirstColumn="0" w:lastRowLastColumn="0"/>
              <w:rPr>
                <w:sz w:val="18"/>
                <w:szCs w:val="14"/>
              </w:rPr>
            </w:pPr>
            <w:r>
              <w:rPr>
                <w:sz w:val="18"/>
                <w:szCs w:val="14"/>
              </w:rPr>
              <w:t>V</w:t>
            </w:r>
            <w:r w:rsidR="00493208" w:rsidRPr="00493208">
              <w:rPr>
                <w:sz w:val="18"/>
                <w:szCs w:val="14"/>
              </w:rPr>
              <w:t>ery interesting content of polyphenol and flavonoids with a good antiradical power evaluated by DPPH test</w:t>
            </w:r>
          </w:p>
        </w:tc>
        <w:tc>
          <w:tcPr>
            <w:tcW w:w="2408" w:type="dxa"/>
          </w:tcPr>
          <w:p w14:paraId="15BA5D72" w14:textId="487A9228" w:rsidR="00493208" w:rsidRPr="00493208" w:rsidRDefault="00C42F71" w:rsidP="00DA2CA7">
            <w:pPr>
              <w:cnfStyle w:val="000000000000" w:firstRow="0" w:lastRow="0" w:firstColumn="0" w:lastColumn="0" w:oddVBand="0" w:evenVBand="0" w:oddHBand="0" w:evenHBand="0" w:firstRowFirstColumn="0" w:firstRowLastColumn="0" w:lastRowFirstColumn="0" w:lastRowLastColumn="0"/>
              <w:rPr>
                <w:sz w:val="18"/>
                <w:szCs w:val="14"/>
              </w:rPr>
            </w:pPr>
            <w:r>
              <w:rPr>
                <w:sz w:val="18"/>
                <w:szCs w:val="14"/>
              </w:rPr>
              <w:t>V</w:t>
            </w:r>
            <w:r w:rsidR="00493208" w:rsidRPr="00493208">
              <w:rPr>
                <w:sz w:val="18"/>
                <w:szCs w:val="14"/>
              </w:rPr>
              <w:t>ery interesting content of antioxidants and flavonoids. Modest anti-radical power, which is contrast with literature data</w:t>
            </w:r>
          </w:p>
        </w:tc>
      </w:tr>
      <w:tr w:rsidR="00493208" w:rsidRPr="00493208" w14:paraId="559E20C9" w14:textId="77777777" w:rsidTr="00C42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tcPr>
          <w:p w14:paraId="6898B5EA" w14:textId="77777777" w:rsidR="00493208" w:rsidRPr="00493208" w:rsidRDefault="00493208" w:rsidP="00DA2CA7">
            <w:pPr>
              <w:rPr>
                <w:sz w:val="18"/>
                <w:szCs w:val="14"/>
              </w:rPr>
            </w:pPr>
            <w:r w:rsidRPr="00493208">
              <w:rPr>
                <w:sz w:val="18"/>
                <w:szCs w:val="14"/>
              </w:rPr>
              <w:t>Packaging</w:t>
            </w:r>
          </w:p>
        </w:tc>
        <w:tc>
          <w:tcPr>
            <w:tcW w:w="1936" w:type="dxa"/>
          </w:tcPr>
          <w:p w14:paraId="4587B763" w14:textId="77777777" w:rsidR="00493208" w:rsidRPr="00493208" w:rsidRDefault="00493208" w:rsidP="00DA2CA7">
            <w:pPr>
              <w:cnfStyle w:val="000000100000" w:firstRow="0" w:lastRow="0" w:firstColumn="0" w:lastColumn="0" w:oddVBand="0" w:evenVBand="0" w:oddHBand="1" w:evenHBand="0" w:firstRowFirstColumn="0" w:firstRowLastColumn="0" w:lastRowFirstColumn="0" w:lastRowLastColumn="0"/>
              <w:rPr>
                <w:sz w:val="18"/>
                <w:szCs w:val="14"/>
              </w:rPr>
            </w:pPr>
            <w:r w:rsidRPr="00493208">
              <w:rPr>
                <w:sz w:val="18"/>
                <w:szCs w:val="14"/>
              </w:rPr>
              <w:t xml:space="preserve">25 kg sales-unit. </w:t>
            </w:r>
          </w:p>
          <w:p w14:paraId="02932197" w14:textId="24CD1D2E" w:rsidR="00493208" w:rsidRPr="00493208" w:rsidRDefault="00944744" w:rsidP="00944744">
            <w:pPr>
              <w:cnfStyle w:val="000000100000" w:firstRow="0" w:lastRow="0" w:firstColumn="0" w:lastColumn="0" w:oddVBand="0" w:evenVBand="0" w:oddHBand="1" w:evenHBand="0" w:firstRowFirstColumn="0" w:firstRowLastColumn="0" w:lastRowFirstColumn="0" w:lastRowLastColumn="0"/>
              <w:rPr>
                <w:sz w:val="18"/>
                <w:szCs w:val="14"/>
              </w:rPr>
            </w:pPr>
            <w:r>
              <w:rPr>
                <w:sz w:val="18"/>
                <w:szCs w:val="14"/>
              </w:rPr>
              <w:t>Plastic bag.</w:t>
            </w:r>
          </w:p>
        </w:tc>
        <w:tc>
          <w:tcPr>
            <w:tcW w:w="1860" w:type="dxa"/>
          </w:tcPr>
          <w:p w14:paraId="617C626A" w14:textId="77777777" w:rsidR="00493208" w:rsidRPr="00493208" w:rsidRDefault="00493208" w:rsidP="00DA2CA7">
            <w:pPr>
              <w:cnfStyle w:val="000000100000" w:firstRow="0" w:lastRow="0" w:firstColumn="0" w:lastColumn="0" w:oddVBand="0" w:evenVBand="0" w:oddHBand="1" w:evenHBand="0" w:firstRowFirstColumn="0" w:firstRowLastColumn="0" w:lastRowFirstColumn="0" w:lastRowLastColumn="0"/>
              <w:rPr>
                <w:sz w:val="18"/>
                <w:szCs w:val="14"/>
              </w:rPr>
            </w:pPr>
            <w:r w:rsidRPr="00493208">
              <w:rPr>
                <w:sz w:val="18"/>
                <w:szCs w:val="14"/>
              </w:rPr>
              <w:t xml:space="preserve">100 g sales unit. </w:t>
            </w:r>
          </w:p>
          <w:p w14:paraId="7BD85E10" w14:textId="77777777" w:rsidR="00493208" w:rsidRPr="00493208" w:rsidRDefault="00493208" w:rsidP="00DA2CA7">
            <w:pPr>
              <w:cnfStyle w:val="000000100000" w:firstRow="0" w:lastRow="0" w:firstColumn="0" w:lastColumn="0" w:oddVBand="0" w:evenVBand="0" w:oddHBand="1" w:evenHBand="0" w:firstRowFirstColumn="0" w:firstRowLastColumn="0" w:lastRowFirstColumn="0" w:lastRowLastColumn="0"/>
              <w:rPr>
                <w:sz w:val="18"/>
                <w:szCs w:val="14"/>
              </w:rPr>
            </w:pPr>
            <w:r w:rsidRPr="00493208">
              <w:rPr>
                <w:sz w:val="18"/>
                <w:szCs w:val="14"/>
              </w:rPr>
              <w:t xml:space="preserve">Clear plastic bag. </w:t>
            </w:r>
          </w:p>
        </w:tc>
        <w:tc>
          <w:tcPr>
            <w:tcW w:w="2408" w:type="dxa"/>
          </w:tcPr>
          <w:p w14:paraId="369D8FB0" w14:textId="77777777" w:rsidR="00493208" w:rsidRPr="00493208" w:rsidRDefault="00493208" w:rsidP="00DA2CA7">
            <w:pPr>
              <w:cnfStyle w:val="000000100000" w:firstRow="0" w:lastRow="0" w:firstColumn="0" w:lastColumn="0" w:oddVBand="0" w:evenVBand="0" w:oddHBand="1" w:evenHBand="0" w:firstRowFirstColumn="0" w:firstRowLastColumn="0" w:lastRowFirstColumn="0" w:lastRowLastColumn="0"/>
              <w:rPr>
                <w:sz w:val="18"/>
                <w:szCs w:val="14"/>
              </w:rPr>
            </w:pPr>
            <w:r w:rsidRPr="00493208">
              <w:rPr>
                <w:sz w:val="18"/>
                <w:szCs w:val="14"/>
              </w:rPr>
              <w:t>5 kg, 10 kg, 20 kg sales unit. Plastic bag (Polyester fiber)</w:t>
            </w:r>
          </w:p>
        </w:tc>
      </w:tr>
      <w:tr w:rsidR="00493208" w:rsidRPr="00493208" w14:paraId="0005BC35" w14:textId="77777777" w:rsidTr="00C42F71">
        <w:tc>
          <w:tcPr>
            <w:cnfStyle w:val="001000000000" w:firstRow="0" w:lastRow="0" w:firstColumn="1" w:lastColumn="0" w:oddVBand="0" w:evenVBand="0" w:oddHBand="0" w:evenHBand="0" w:firstRowFirstColumn="0" w:firstRowLastColumn="0" w:lastRowFirstColumn="0" w:lastRowLastColumn="0"/>
            <w:tcW w:w="1593" w:type="dxa"/>
          </w:tcPr>
          <w:p w14:paraId="2E5CB4A9" w14:textId="77777777" w:rsidR="00493208" w:rsidRPr="00493208" w:rsidRDefault="00493208" w:rsidP="00DA2CA7">
            <w:pPr>
              <w:rPr>
                <w:sz w:val="18"/>
                <w:szCs w:val="14"/>
              </w:rPr>
            </w:pPr>
            <w:r w:rsidRPr="00493208">
              <w:rPr>
                <w:sz w:val="18"/>
                <w:szCs w:val="14"/>
              </w:rPr>
              <w:t>Organoleptic properties</w:t>
            </w:r>
          </w:p>
        </w:tc>
        <w:tc>
          <w:tcPr>
            <w:tcW w:w="1936" w:type="dxa"/>
          </w:tcPr>
          <w:p w14:paraId="358B719D" w14:textId="77777777" w:rsidR="00493208" w:rsidRPr="00493208" w:rsidRDefault="00493208" w:rsidP="00DA2CA7">
            <w:pPr>
              <w:cnfStyle w:val="000000000000" w:firstRow="0" w:lastRow="0" w:firstColumn="0" w:lastColumn="0" w:oddVBand="0" w:evenVBand="0" w:oddHBand="0" w:evenHBand="0" w:firstRowFirstColumn="0" w:firstRowLastColumn="0" w:lastRowFirstColumn="0" w:lastRowLastColumn="0"/>
              <w:rPr>
                <w:sz w:val="18"/>
                <w:szCs w:val="14"/>
              </w:rPr>
            </w:pPr>
            <w:r w:rsidRPr="00493208">
              <w:rPr>
                <w:sz w:val="18"/>
                <w:szCs w:val="14"/>
              </w:rPr>
              <w:t xml:space="preserve"> In form of hand and fingers, sour and spicy taste, yellow-white </w:t>
            </w:r>
            <w:proofErr w:type="spellStart"/>
            <w:r w:rsidRPr="00493208">
              <w:rPr>
                <w:sz w:val="18"/>
                <w:szCs w:val="14"/>
              </w:rPr>
              <w:t>colour</w:t>
            </w:r>
            <w:proofErr w:type="spellEnd"/>
          </w:p>
        </w:tc>
        <w:tc>
          <w:tcPr>
            <w:tcW w:w="1860" w:type="dxa"/>
          </w:tcPr>
          <w:p w14:paraId="4192730B" w14:textId="77777777" w:rsidR="00493208" w:rsidRPr="00493208" w:rsidRDefault="00493208" w:rsidP="00DA2CA7">
            <w:pPr>
              <w:cnfStyle w:val="000000000000" w:firstRow="0" w:lastRow="0" w:firstColumn="0" w:lastColumn="0" w:oddVBand="0" w:evenVBand="0" w:oddHBand="0" w:evenHBand="0" w:firstRowFirstColumn="0" w:firstRowLastColumn="0" w:lastRowFirstColumn="0" w:lastRowLastColumn="0"/>
              <w:rPr>
                <w:sz w:val="18"/>
                <w:szCs w:val="14"/>
              </w:rPr>
            </w:pPr>
            <w:r w:rsidRPr="00493208">
              <w:rPr>
                <w:sz w:val="18"/>
                <w:szCs w:val="14"/>
              </w:rPr>
              <w:t xml:space="preserve">Soft and fine powder, with bright yellow-orange in </w:t>
            </w:r>
            <w:proofErr w:type="spellStart"/>
            <w:r w:rsidRPr="00493208">
              <w:rPr>
                <w:sz w:val="18"/>
                <w:szCs w:val="14"/>
              </w:rPr>
              <w:t>colour</w:t>
            </w:r>
            <w:proofErr w:type="spellEnd"/>
            <w:r w:rsidRPr="00493208">
              <w:rPr>
                <w:sz w:val="18"/>
                <w:szCs w:val="14"/>
              </w:rPr>
              <w:t xml:space="preserve">. Pungent, bitter </w:t>
            </w:r>
            <w:proofErr w:type="spellStart"/>
            <w:r w:rsidRPr="00493208">
              <w:rPr>
                <w:sz w:val="18"/>
                <w:szCs w:val="14"/>
              </w:rPr>
              <w:t>flavour</w:t>
            </w:r>
            <w:proofErr w:type="spellEnd"/>
          </w:p>
        </w:tc>
        <w:tc>
          <w:tcPr>
            <w:tcW w:w="2408" w:type="dxa"/>
          </w:tcPr>
          <w:p w14:paraId="2A545320" w14:textId="77777777" w:rsidR="00493208" w:rsidRPr="00493208" w:rsidRDefault="00493208" w:rsidP="00DA2CA7">
            <w:pPr>
              <w:cnfStyle w:val="000000000000" w:firstRow="0" w:lastRow="0" w:firstColumn="0" w:lastColumn="0" w:oddVBand="0" w:evenVBand="0" w:oddHBand="0" w:evenHBand="0" w:firstRowFirstColumn="0" w:firstRowLastColumn="0" w:lastRowFirstColumn="0" w:lastRowLastColumn="0"/>
              <w:rPr>
                <w:sz w:val="18"/>
                <w:szCs w:val="14"/>
              </w:rPr>
            </w:pPr>
            <w:r w:rsidRPr="00493208">
              <w:rPr>
                <w:sz w:val="18"/>
                <w:szCs w:val="14"/>
              </w:rPr>
              <w:t xml:space="preserve">Spindle-shaped pods that are light to dark brown in </w:t>
            </w:r>
            <w:proofErr w:type="spellStart"/>
            <w:r w:rsidRPr="00493208">
              <w:rPr>
                <w:sz w:val="18"/>
                <w:szCs w:val="14"/>
              </w:rPr>
              <w:t>colour</w:t>
            </w:r>
            <w:proofErr w:type="spellEnd"/>
            <w:r w:rsidRPr="00493208">
              <w:rPr>
                <w:sz w:val="18"/>
                <w:szCs w:val="14"/>
              </w:rPr>
              <w:t>. Warm, slightly pungent, sweet, smoky, citrus aroma</w:t>
            </w:r>
          </w:p>
        </w:tc>
      </w:tr>
      <w:tr w:rsidR="00493208" w:rsidRPr="00493208" w14:paraId="234B7D62" w14:textId="77777777" w:rsidTr="00C42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tcPr>
          <w:p w14:paraId="01331411" w14:textId="54CED6DF" w:rsidR="00493208" w:rsidRPr="00493208" w:rsidRDefault="00493208" w:rsidP="00DA2CA7">
            <w:pPr>
              <w:rPr>
                <w:iCs/>
                <w:sz w:val="18"/>
                <w:szCs w:val="14"/>
                <w:lang w:eastAsia="en-GB"/>
              </w:rPr>
            </w:pPr>
            <w:r w:rsidRPr="00493208">
              <w:rPr>
                <w:iCs/>
                <w:sz w:val="18"/>
                <w:szCs w:val="14"/>
                <w:lang w:eastAsia="en-GB"/>
              </w:rPr>
              <w:t>Microbiological parameters</w:t>
            </w:r>
            <w:r w:rsidR="00C42F71">
              <w:rPr>
                <w:rStyle w:val="FootnoteReference"/>
                <w:iCs/>
                <w:sz w:val="18"/>
                <w:szCs w:val="14"/>
                <w:lang w:eastAsia="en-GB"/>
              </w:rPr>
              <w:footnoteReference w:id="3"/>
            </w:r>
          </w:p>
        </w:tc>
        <w:tc>
          <w:tcPr>
            <w:tcW w:w="1936" w:type="dxa"/>
          </w:tcPr>
          <w:p w14:paraId="1F95927D" w14:textId="77777777" w:rsidR="00493208" w:rsidRPr="00493208" w:rsidRDefault="00493208" w:rsidP="00DA2CA7">
            <w:pPr>
              <w:cnfStyle w:val="000000100000" w:firstRow="0" w:lastRow="0" w:firstColumn="0" w:lastColumn="0" w:oddVBand="0" w:evenVBand="0" w:oddHBand="1" w:evenHBand="0" w:firstRowFirstColumn="0" w:firstRowLastColumn="0" w:lastRowFirstColumn="0" w:lastRowLastColumn="0"/>
              <w:rPr>
                <w:sz w:val="18"/>
                <w:szCs w:val="14"/>
              </w:rPr>
            </w:pPr>
            <w:r w:rsidRPr="00493208">
              <w:rPr>
                <w:sz w:val="18"/>
                <w:szCs w:val="14"/>
              </w:rPr>
              <w:t>TBC: ≤ 1x10</w:t>
            </w:r>
            <w:r w:rsidRPr="00493208">
              <w:rPr>
                <w:sz w:val="18"/>
                <w:szCs w:val="14"/>
                <w:vertAlign w:val="superscript"/>
              </w:rPr>
              <w:t>6</w:t>
            </w:r>
            <w:r w:rsidRPr="00493208">
              <w:rPr>
                <w:sz w:val="18"/>
                <w:szCs w:val="14"/>
              </w:rPr>
              <w:t xml:space="preserve"> </w:t>
            </w:r>
            <w:proofErr w:type="spellStart"/>
            <w:r w:rsidRPr="00493208">
              <w:rPr>
                <w:sz w:val="18"/>
                <w:szCs w:val="14"/>
              </w:rPr>
              <w:t>cfu</w:t>
            </w:r>
            <w:proofErr w:type="spellEnd"/>
            <w:r w:rsidRPr="00493208">
              <w:rPr>
                <w:sz w:val="18"/>
                <w:szCs w:val="14"/>
              </w:rPr>
              <w:t xml:space="preserve">/g   </w:t>
            </w:r>
          </w:p>
          <w:p w14:paraId="482195BC" w14:textId="77777777" w:rsidR="00493208" w:rsidRPr="00493208" w:rsidRDefault="00493208" w:rsidP="00DA2CA7">
            <w:pPr>
              <w:cnfStyle w:val="000000100000" w:firstRow="0" w:lastRow="0" w:firstColumn="0" w:lastColumn="0" w:oddVBand="0" w:evenVBand="0" w:oddHBand="1" w:evenHBand="0" w:firstRowFirstColumn="0" w:firstRowLastColumn="0" w:lastRowFirstColumn="0" w:lastRowLastColumn="0"/>
              <w:rPr>
                <w:sz w:val="18"/>
                <w:szCs w:val="14"/>
              </w:rPr>
            </w:pPr>
            <w:proofErr w:type="spellStart"/>
            <w:r w:rsidRPr="00493208">
              <w:rPr>
                <w:sz w:val="18"/>
                <w:szCs w:val="14"/>
              </w:rPr>
              <w:t>Moulds</w:t>
            </w:r>
            <w:proofErr w:type="spellEnd"/>
            <w:r w:rsidRPr="00493208">
              <w:rPr>
                <w:sz w:val="18"/>
                <w:szCs w:val="14"/>
              </w:rPr>
              <w:t>: ≤ 1x10</w:t>
            </w:r>
            <w:r w:rsidRPr="00493208">
              <w:rPr>
                <w:sz w:val="18"/>
                <w:szCs w:val="14"/>
                <w:vertAlign w:val="superscript"/>
              </w:rPr>
              <w:t>4</w:t>
            </w:r>
            <w:r w:rsidRPr="00493208">
              <w:rPr>
                <w:sz w:val="18"/>
                <w:szCs w:val="14"/>
              </w:rPr>
              <w:t xml:space="preserve"> </w:t>
            </w:r>
            <w:proofErr w:type="spellStart"/>
            <w:r w:rsidRPr="00493208">
              <w:rPr>
                <w:sz w:val="18"/>
                <w:szCs w:val="14"/>
              </w:rPr>
              <w:t>cfu</w:t>
            </w:r>
            <w:proofErr w:type="spellEnd"/>
            <w:r w:rsidRPr="00493208">
              <w:rPr>
                <w:sz w:val="18"/>
                <w:szCs w:val="14"/>
              </w:rPr>
              <w:t xml:space="preserve">/g   </w:t>
            </w:r>
          </w:p>
        </w:tc>
        <w:tc>
          <w:tcPr>
            <w:tcW w:w="1860" w:type="dxa"/>
          </w:tcPr>
          <w:p w14:paraId="4B7A27D9" w14:textId="77777777" w:rsidR="00493208" w:rsidRPr="00493208" w:rsidRDefault="00493208" w:rsidP="00DA2CA7">
            <w:pPr>
              <w:cnfStyle w:val="000000100000" w:firstRow="0" w:lastRow="0" w:firstColumn="0" w:lastColumn="0" w:oddVBand="0" w:evenVBand="0" w:oddHBand="1" w:evenHBand="0" w:firstRowFirstColumn="0" w:firstRowLastColumn="0" w:lastRowFirstColumn="0" w:lastRowLastColumn="0"/>
              <w:rPr>
                <w:sz w:val="18"/>
                <w:szCs w:val="14"/>
              </w:rPr>
            </w:pPr>
            <w:r w:rsidRPr="00493208">
              <w:rPr>
                <w:sz w:val="18"/>
                <w:szCs w:val="14"/>
              </w:rPr>
              <w:t>TBC: ≤ 1x10</w:t>
            </w:r>
            <w:r w:rsidRPr="00493208">
              <w:rPr>
                <w:sz w:val="18"/>
                <w:szCs w:val="14"/>
                <w:vertAlign w:val="superscript"/>
              </w:rPr>
              <w:t xml:space="preserve">5 </w:t>
            </w:r>
            <w:proofErr w:type="spellStart"/>
            <w:r w:rsidRPr="00493208">
              <w:rPr>
                <w:sz w:val="18"/>
                <w:szCs w:val="14"/>
              </w:rPr>
              <w:t>cfu</w:t>
            </w:r>
            <w:proofErr w:type="spellEnd"/>
            <w:r w:rsidRPr="00493208">
              <w:rPr>
                <w:sz w:val="18"/>
                <w:szCs w:val="14"/>
              </w:rPr>
              <w:t xml:space="preserve">/g   </w:t>
            </w:r>
          </w:p>
          <w:p w14:paraId="28578A33" w14:textId="77777777" w:rsidR="00493208" w:rsidRPr="00493208" w:rsidRDefault="00493208" w:rsidP="00DA2CA7">
            <w:pPr>
              <w:cnfStyle w:val="000000100000" w:firstRow="0" w:lastRow="0" w:firstColumn="0" w:lastColumn="0" w:oddVBand="0" w:evenVBand="0" w:oddHBand="1" w:evenHBand="0" w:firstRowFirstColumn="0" w:firstRowLastColumn="0" w:lastRowFirstColumn="0" w:lastRowLastColumn="0"/>
              <w:rPr>
                <w:sz w:val="18"/>
                <w:szCs w:val="14"/>
              </w:rPr>
            </w:pPr>
            <w:proofErr w:type="spellStart"/>
            <w:r w:rsidRPr="00493208">
              <w:rPr>
                <w:sz w:val="18"/>
                <w:szCs w:val="14"/>
              </w:rPr>
              <w:t>Moulds</w:t>
            </w:r>
            <w:proofErr w:type="spellEnd"/>
            <w:r w:rsidRPr="00493208">
              <w:rPr>
                <w:sz w:val="18"/>
                <w:szCs w:val="14"/>
              </w:rPr>
              <w:t>: ≤ 1x10</w:t>
            </w:r>
            <w:r w:rsidRPr="00493208">
              <w:rPr>
                <w:sz w:val="18"/>
                <w:szCs w:val="14"/>
                <w:vertAlign w:val="superscript"/>
              </w:rPr>
              <w:t>4</w:t>
            </w:r>
            <w:r w:rsidRPr="00493208">
              <w:rPr>
                <w:sz w:val="18"/>
                <w:szCs w:val="14"/>
              </w:rPr>
              <w:t xml:space="preserve"> </w:t>
            </w:r>
            <w:proofErr w:type="spellStart"/>
            <w:r w:rsidRPr="00493208">
              <w:rPr>
                <w:sz w:val="18"/>
                <w:szCs w:val="14"/>
              </w:rPr>
              <w:t>cfu</w:t>
            </w:r>
            <w:proofErr w:type="spellEnd"/>
            <w:r w:rsidRPr="00493208">
              <w:rPr>
                <w:sz w:val="18"/>
                <w:szCs w:val="14"/>
              </w:rPr>
              <w:t xml:space="preserve">/g   </w:t>
            </w:r>
          </w:p>
        </w:tc>
        <w:tc>
          <w:tcPr>
            <w:tcW w:w="2408" w:type="dxa"/>
          </w:tcPr>
          <w:p w14:paraId="415D7C40" w14:textId="77777777" w:rsidR="00493208" w:rsidRPr="00493208" w:rsidRDefault="00493208" w:rsidP="00DA2CA7">
            <w:pPr>
              <w:cnfStyle w:val="000000100000" w:firstRow="0" w:lastRow="0" w:firstColumn="0" w:lastColumn="0" w:oddVBand="0" w:evenVBand="0" w:oddHBand="1" w:evenHBand="0" w:firstRowFirstColumn="0" w:firstRowLastColumn="0" w:lastRowFirstColumn="0" w:lastRowLastColumn="0"/>
              <w:rPr>
                <w:sz w:val="18"/>
                <w:szCs w:val="14"/>
              </w:rPr>
            </w:pPr>
            <w:r w:rsidRPr="00493208">
              <w:rPr>
                <w:sz w:val="18"/>
                <w:szCs w:val="14"/>
              </w:rPr>
              <w:t>TBC: ≤ 1x10</w:t>
            </w:r>
            <w:r w:rsidRPr="00493208">
              <w:rPr>
                <w:sz w:val="18"/>
                <w:szCs w:val="14"/>
                <w:vertAlign w:val="superscript"/>
              </w:rPr>
              <w:t>6</w:t>
            </w:r>
            <w:r w:rsidRPr="00493208">
              <w:rPr>
                <w:sz w:val="18"/>
                <w:szCs w:val="14"/>
              </w:rPr>
              <w:t xml:space="preserve"> </w:t>
            </w:r>
            <w:proofErr w:type="spellStart"/>
            <w:r w:rsidRPr="00493208">
              <w:rPr>
                <w:sz w:val="18"/>
                <w:szCs w:val="14"/>
              </w:rPr>
              <w:t>cfu</w:t>
            </w:r>
            <w:proofErr w:type="spellEnd"/>
            <w:r w:rsidRPr="00493208">
              <w:rPr>
                <w:sz w:val="18"/>
                <w:szCs w:val="14"/>
              </w:rPr>
              <w:t xml:space="preserve">/g   </w:t>
            </w:r>
          </w:p>
          <w:p w14:paraId="3A748628" w14:textId="77777777" w:rsidR="00493208" w:rsidRPr="00493208" w:rsidRDefault="00493208" w:rsidP="00DA2CA7">
            <w:pPr>
              <w:cnfStyle w:val="000000100000" w:firstRow="0" w:lastRow="0" w:firstColumn="0" w:lastColumn="0" w:oddVBand="0" w:evenVBand="0" w:oddHBand="1" w:evenHBand="0" w:firstRowFirstColumn="0" w:firstRowLastColumn="0" w:lastRowFirstColumn="0" w:lastRowLastColumn="0"/>
              <w:rPr>
                <w:sz w:val="18"/>
                <w:szCs w:val="14"/>
              </w:rPr>
            </w:pPr>
            <w:proofErr w:type="spellStart"/>
            <w:r w:rsidRPr="00493208">
              <w:rPr>
                <w:sz w:val="18"/>
                <w:szCs w:val="14"/>
              </w:rPr>
              <w:t>Moulds</w:t>
            </w:r>
            <w:proofErr w:type="spellEnd"/>
            <w:r w:rsidRPr="00493208">
              <w:rPr>
                <w:sz w:val="18"/>
                <w:szCs w:val="14"/>
              </w:rPr>
              <w:t>: ≤ 1x10</w:t>
            </w:r>
            <w:r w:rsidRPr="00493208">
              <w:rPr>
                <w:sz w:val="18"/>
                <w:szCs w:val="14"/>
                <w:vertAlign w:val="superscript"/>
              </w:rPr>
              <w:t>4</w:t>
            </w:r>
            <w:r w:rsidRPr="00493208">
              <w:rPr>
                <w:sz w:val="18"/>
                <w:szCs w:val="14"/>
              </w:rPr>
              <w:t xml:space="preserve"> </w:t>
            </w:r>
            <w:proofErr w:type="spellStart"/>
            <w:r w:rsidRPr="00493208">
              <w:rPr>
                <w:sz w:val="18"/>
                <w:szCs w:val="14"/>
              </w:rPr>
              <w:t>cfu</w:t>
            </w:r>
            <w:proofErr w:type="spellEnd"/>
            <w:r w:rsidRPr="00493208">
              <w:rPr>
                <w:sz w:val="18"/>
                <w:szCs w:val="14"/>
              </w:rPr>
              <w:t xml:space="preserve">/g   </w:t>
            </w:r>
          </w:p>
        </w:tc>
      </w:tr>
    </w:tbl>
    <w:p w14:paraId="5B5E69DB" w14:textId="3C61127F" w:rsidR="00493208" w:rsidRPr="00493208" w:rsidRDefault="00493208" w:rsidP="00B33380">
      <w:pPr>
        <w:spacing w:line="276" w:lineRule="auto"/>
        <w:rPr>
          <w:bCs/>
          <w:color w:val="000000"/>
          <w:sz w:val="18"/>
          <w:szCs w:val="18"/>
          <w:lang w:val="en-GB"/>
        </w:rPr>
      </w:pPr>
      <w:r w:rsidRPr="00493208">
        <w:rPr>
          <w:bCs/>
          <w:color w:val="000000"/>
          <w:sz w:val="18"/>
          <w:szCs w:val="18"/>
          <w:lang w:val="en-GB"/>
        </w:rPr>
        <w:t>Source: Authors</w:t>
      </w:r>
    </w:p>
    <w:p w14:paraId="5FE40DF0" w14:textId="77777777" w:rsidR="00C42F71" w:rsidRDefault="00C42F71" w:rsidP="00B33380">
      <w:pPr>
        <w:spacing w:line="276" w:lineRule="auto"/>
        <w:rPr>
          <w:iCs/>
          <w:sz w:val="24"/>
          <w:szCs w:val="24"/>
        </w:rPr>
      </w:pPr>
    </w:p>
    <w:p w14:paraId="19DE35C2" w14:textId="5709010B" w:rsidR="006B7B6A" w:rsidRPr="00CD694A" w:rsidRDefault="00B33380" w:rsidP="00B33380">
      <w:pPr>
        <w:spacing w:line="276" w:lineRule="auto"/>
        <w:rPr>
          <w:sz w:val="24"/>
          <w:szCs w:val="24"/>
          <w:lang w:eastAsia="en-GB"/>
        </w:rPr>
      </w:pPr>
      <w:r>
        <w:rPr>
          <w:iCs/>
          <w:sz w:val="24"/>
          <w:szCs w:val="24"/>
        </w:rPr>
        <w:t>As regard the chemical characterization of the selected spices, i</w:t>
      </w:r>
      <w:r w:rsidR="00095D4A">
        <w:rPr>
          <w:iCs/>
          <w:sz w:val="24"/>
          <w:szCs w:val="24"/>
        </w:rPr>
        <w:t xml:space="preserve">n terms of </w:t>
      </w:r>
      <w:r w:rsidR="004D7CC9">
        <w:rPr>
          <w:iCs/>
          <w:sz w:val="24"/>
          <w:szCs w:val="24"/>
        </w:rPr>
        <w:t>functional molecules</w:t>
      </w:r>
      <w:r w:rsidR="00095D4A">
        <w:rPr>
          <w:iCs/>
          <w:sz w:val="24"/>
          <w:szCs w:val="24"/>
        </w:rPr>
        <w:t>, i</w:t>
      </w:r>
      <w:r w:rsidR="00421B9B" w:rsidRPr="00350322">
        <w:rPr>
          <w:iCs/>
          <w:sz w:val="24"/>
          <w:szCs w:val="24"/>
        </w:rPr>
        <w:t xml:space="preserve">t should be noted an interesting presence of bioactive </w:t>
      </w:r>
      <w:r w:rsidR="00421B9B" w:rsidRPr="00350322">
        <w:rPr>
          <w:iCs/>
          <w:sz w:val="24"/>
          <w:szCs w:val="24"/>
        </w:rPr>
        <w:lastRenderedPageBreak/>
        <w:t>compounds in the sample of ginger.</w:t>
      </w:r>
      <w:r w:rsidR="006B7B6A">
        <w:rPr>
          <w:iCs/>
          <w:sz w:val="24"/>
          <w:szCs w:val="24"/>
        </w:rPr>
        <w:t xml:space="preserve"> In particular, </w:t>
      </w:r>
      <w:r w:rsidR="006B7B6A" w:rsidRPr="00B33380">
        <w:rPr>
          <w:sz w:val="24"/>
          <w:szCs w:val="24"/>
          <w:lang w:eastAsia="en-GB"/>
        </w:rPr>
        <w:t>fresh</w:t>
      </w:r>
      <w:r w:rsidR="006B7B6A" w:rsidRPr="00FD25AA">
        <w:rPr>
          <w:rFonts w:ascii="Arial" w:hAnsi="Arial" w:cs="Arial"/>
          <w:sz w:val="20"/>
          <w:lang w:eastAsia="en-GB"/>
        </w:rPr>
        <w:t xml:space="preserve"> </w:t>
      </w:r>
      <w:r w:rsidR="006B7B6A" w:rsidRPr="006B7B6A">
        <w:rPr>
          <w:sz w:val="24"/>
          <w:szCs w:val="24"/>
          <w:lang w:eastAsia="en-GB"/>
        </w:rPr>
        <w:t xml:space="preserve">Ginger </w:t>
      </w:r>
      <w:r>
        <w:rPr>
          <w:sz w:val="24"/>
          <w:szCs w:val="24"/>
          <w:lang w:eastAsia="en-GB"/>
        </w:rPr>
        <w:t xml:space="preserve">sampled in </w:t>
      </w:r>
      <w:proofErr w:type="spellStart"/>
      <w:r w:rsidR="006B7B6A" w:rsidRPr="006B7B6A">
        <w:rPr>
          <w:sz w:val="24"/>
          <w:szCs w:val="24"/>
          <w:lang w:eastAsia="en-GB"/>
        </w:rPr>
        <w:t>Melanchi</w:t>
      </w:r>
      <w:proofErr w:type="spellEnd"/>
      <w:r w:rsidR="006B7B6A" w:rsidRPr="006B7B6A">
        <w:rPr>
          <w:sz w:val="24"/>
          <w:szCs w:val="24"/>
          <w:lang w:eastAsia="en-GB"/>
        </w:rPr>
        <w:t xml:space="preserve"> has a very interesting Total Phenolic Content - </w:t>
      </w:r>
      <w:r w:rsidR="006B7B6A" w:rsidRPr="00313BB9">
        <w:rPr>
          <w:sz w:val="24"/>
          <w:szCs w:val="24"/>
          <w:lang w:eastAsia="en-GB"/>
        </w:rPr>
        <w:t>TPC (</w:t>
      </w:r>
      <w:r w:rsidR="009F09F1" w:rsidRPr="00313BB9">
        <w:rPr>
          <w:sz w:val="24"/>
          <w:szCs w:val="24"/>
          <w:lang w:eastAsia="en-GB"/>
        </w:rPr>
        <w:t>141.20</w:t>
      </w:r>
      <w:r w:rsidR="006B7B6A" w:rsidRPr="006B7B6A">
        <w:rPr>
          <w:sz w:val="24"/>
          <w:szCs w:val="24"/>
          <w:lang w:eastAsia="en-GB"/>
        </w:rPr>
        <w:t xml:space="preserve"> mg GAE/g), higher with respect samples reported in literature (Ahmed Hassan El-</w:t>
      </w:r>
      <w:proofErr w:type="spellStart"/>
      <w:r w:rsidR="006B7B6A" w:rsidRPr="006B7B6A">
        <w:rPr>
          <w:sz w:val="24"/>
          <w:szCs w:val="24"/>
          <w:lang w:eastAsia="en-GB"/>
        </w:rPr>
        <w:t>Ghorab</w:t>
      </w:r>
      <w:proofErr w:type="spellEnd"/>
      <w:r w:rsidR="006B7B6A" w:rsidRPr="006B7B6A">
        <w:rPr>
          <w:sz w:val="24"/>
          <w:szCs w:val="24"/>
          <w:lang w:eastAsia="en-GB"/>
        </w:rPr>
        <w:t xml:space="preserve"> et al., 2010) on </w:t>
      </w:r>
      <w:proofErr w:type="spellStart"/>
      <w:r w:rsidR="006B7B6A" w:rsidRPr="006B7B6A">
        <w:rPr>
          <w:sz w:val="24"/>
          <w:szCs w:val="24"/>
          <w:lang w:eastAsia="en-GB"/>
        </w:rPr>
        <w:t>Pakistane</w:t>
      </w:r>
      <w:proofErr w:type="spellEnd"/>
      <w:r w:rsidR="006B7B6A" w:rsidRPr="006B7B6A">
        <w:rPr>
          <w:sz w:val="24"/>
          <w:szCs w:val="24"/>
          <w:lang w:eastAsia="en-GB"/>
        </w:rPr>
        <w:t xml:space="preserve"> ginger evaluate with the same test (95.2 mg GAE/g). Another research paper (Shirin Ade</w:t>
      </w:r>
      <w:r w:rsidR="0050749D">
        <w:rPr>
          <w:sz w:val="24"/>
          <w:szCs w:val="24"/>
          <w:lang w:eastAsia="en-GB"/>
        </w:rPr>
        <w:t>l P. R. and Jamuna Prakash, 2011</w:t>
      </w:r>
      <w:r w:rsidR="006B7B6A" w:rsidRPr="006B7B6A">
        <w:rPr>
          <w:sz w:val="24"/>
          <w:szCs w:val="24"/>
          <w:lang w:eastAsia="en-GB"/>
        </w:rPr>
        <w:t>) shows a very high TPC value (840 and 830 mg/g), this is presumably due to, despite using the same test (</w:t>
      </w:r>
      <w:proofErr w:type="spellStart"/>
      <w:r w:rsidR="006B7B6A" w:rsidRPr="006B7B6A">
        <w:rPr>
          <w:sz w:val="24"/>
          <w:szCs w:val="24"/>
          <w:lang w:eastAsia="en-GB"/>
        </w:rPr>
        <w:t>Folin-Ciocalteau</w:t>
      </w:r>
      <w:proofErr w:type="spellEnd"/>
      <w:r w:rsidR="006B7B6A" w:rsidRPr="006B7B6A">
        <w:rPr>
          <w:sz w:val="24"/>
          <w:szCs w:val="24"/>
          <w:lang w:eastAsia="en-GB"/>
        </w:rPr>
        <w:t xml:space="preserve">), tannic acid is used instead of gallic acid, as standard compound. </w:t>
      </w:r>
      <w:r w:rsidR="006B7B6A">
        <w:rPr>
          <w:sz w:val="24"/>
          <w:szCs w:val="24"/>
          <w:lang w:eastAsia="en-GB"/>
        </w:rPr>
        <w:t xml:space="preserve"> </w:t>
      </w:r>
      <w:r w:rsidR="006B7B6A" w:rsidRPr="006B7B6A">
        <w:rPr>
          <w:sz w:val="24"/>
          <w:szCs w:val="24"/>
          <w:lang w:eastAsia="en-GB"/>
        </w:rPr>
        <w:t xml:space="preserve">Moreover, fresh ginger from </w:t>
      </w:r>
      <w:proofErr w:type="spellStart"/>
      <w:r w:rsidR="006B7B6A" w:rsidRPr="006B7B6A">
        <w:rPr>
          <w:sz w:val="24"/>
          <w:szCs w:val="24"/>
          <w:lang w:eastAsia="en-GB"/>
        </w:rPr>
        <w:t>Melanchi</w:t>
      </w:r>
      <w:proofErr w:type="spellEnd"/>
      <w:r w:rsidR="006B7B6A" w:rsidRPr="006B7B6A">
        <w:rPr>
          <w:sz w:val="24"/>
          <w:szCs w:val="24"/>
          <w:lang w:eastAsia="en-GB"/>
        </w:rPr>
        <w:t xml:space="preserve"> has an important total content of flavonoids – </w:t>
      </w:r>
      <w:r w:rsidR="006B7B6A" w:rsidRPr="00313BB9">
        <w:rPr>
          <w:sz w:val="24"/>
          <w:szCs w:val="24"/>
          <w:lang w:eastAsia="en-GB"/>
        </w:rPr>
        <w:t>TFC (</w:t>
      </w:r>
      <w:r w:rsidR="009F09F1" w:rsidRPr="00313BB9">
        <w:rPr>
          <w:sz w:val="24"/>
          <w:szCs w:val="24"/>
          <w:lang w:eastAsia="en-GB"/>
        </w:rPr>
        <w:t>56</w:t>
      </w:r>
      <w:r w:rsidR="006B7B6A" w:rsidRPr="00313BB9">
        <w:rPr>
          <w:sz w:val="24"/>
          <w:szCs w:val="24"/>
          <w:lang w:eastAsia="en-GB"/>
        </w:rPr>
        <w:t>.</w:t>
      </w:r>
      <w:r w:rsidR="009F09F1" w:rsidRPr="00313BB9">
        <w:rPr>
          <w:sz w:val="24"/>
          <w:szCs w:val="24"/>
          <w:lang w:eastAsia="en-GB"/>
        </w:rPr>
        <w:t>3</w:t>
      </w:r>
      <w:r w:rsidR="006B7B6A" w:rsidRPr="00313BB9">
        <w:rPr>
          <w:sz w:val="24"/>
          <w:szCs w:val="24"/>
          <w:lang w:eastAsia="en-GB"/>
        </w:rPr>
        <w:t>6</w:t>
      </w:r>
      <w:r w:rsidR="006B7B6A" w:rsidRPr="006B7B6A">
        <w:rPr>
          <w:sz w:val="24"/>
          <w:szCs w:val="24"/>
          <w:lang w:eastAsia="en-GB"/>
        </w:rPr>
        <w:t xml:space="preserve"> mg QE/g) with respect the already reported paper about </w:t>
      </w:r>
      <w:proofErr w:type="spellStart"/>
      <w:r w:rsidR="006B7B6A" w:rsidRPr="006B7B6A">
        <w:rPr>
          <w:sz w:val="24"/>
          <w:szCs w:val="24"/>
          <w:lang w:eastAsia="en-GB"/>
        </w:rPr>
        <w:t>Pakistane</w:t>
      </w:r>
      <w:proofErr w:type="spellEnd"/>
      <w:r w:rsidR="006B7B6A" w:rsidRPr="006B7B6A">
        <w:rPr>
          <w:sz w:val="24"/>
          <w:szCs w:val="24"/>
          <w:lang w:eastAsia="en-GB"/>
        </w:rPr>
        <w:t xml:space="preserve"> ginger (6.85 mg QE/g) evaluated with the same test and using quercetin as standard. In Malaysian ginger (</w:t>
      </w:r>
      <w:proofErr w:type="spellStart"/>
      <w:r w:rsidR="006B7B6A" w:rsidRPr="006B7B6A">
        <w:rPr>
          <w:sz w:val="24"/>
          <w:szCs w:val="24"/>
          <w:lang w:eastAsia="en-GB"/>
        </w:rPr>
        <w:t>Mojani</w:t>
      </w:r>
      <w:proofErr w:type="spellEnd"/>
      <w:r w:rsidR="006B7B6A" w:rsidRPr="006B7B6A">
        <w:rPr>
          <w:sz w:val="24"/>
          <w:szCs w:val="24"/>
          <w:lang w:eastAsia="en-GB"/>
        </w:rPr>
        <w:t>, M. S. et al., 2014), flavonoid and phenolic content were reported to be 3.66±0.45 mg gallic acid/g and 10.22±0.87 mg quercetin/g of dry weight basis of rhizome.</w:t>
      </w:r>
      <w:r>
        <w:rPr>
          <w:sz w:val="24"/>
          <w:szCs w:val="24"/>
          <w:lang w:eastAsia="en-GB"/>
        </w:rPr>
        <w:t xml:space="preserve"> </w:t>
      </w:r>
      <w:r w:rsidR="006B7B6A" w:rsidRPr="006B7B6A">
        <w:rPr>
          <w:sz w:val="24"/>
          <w:szCs w:val="24"/>
          <w:lang w:eastAsia="en-GB"/>
        </w:rPr>
        <w:t xml:space="preserve">Finally, the antiradical activity of </w:t>
      </w:r>
      <w:proofErr w:type="spellStart"/>
      <w:r w:rsidR="006B7B6A" w:rsidRPr="006B7B6A">
        <w:rPr>
          <w:sz w:val="24"/>
          <w:szCs w:val="24"/>
          <w:lang w:eastAsia="en-GB"/>
        </w:rPr>
        <w:t>Melanchi</w:t>
      </w:r>
      <w:proofErr w:type="spellEnd"/>
      <w:r w:rsidR="006B7B6A" w:rsidRPr="006B7B6A">
        <w:rPr>
          <w:sz w:val="24"/>
          <w:szCs w:val="24"/>
          <w:lang w:eastAsia="en-GB"/>
        </w:rPr>
        <w:t xml:space="preserve"> sample (DPPH test) was calculated as IC</w:t>
      </w:r>
      <w:r w:rsidR="006B7B6A" w:rsidRPr="006B7B6A">
        <w:rPr>
          <w:sz w:val="24"/>
          <w:szCs w:val="24"/>
          <w:vertAlign w:val="subscript"/>
          <w:lang w:eastAsia="en-GB"/>
        </w:rPr>
        <w:t>50</w:t>
      </w:r>
      <w:r w:rsidR="006B7B6A" w:rsidRPr="006B7B6A">
        <w:rPr>
          <w:sz w:val="24"/>
          <w:szCs w:val="24"/>
          <w:lang w:eastAsia="en-GB"/>
        </w:rPr>
        <w:t xml:space="preserve"> (102.2 </w:t>
      </w:r>
      <w:r w:rsidR="006B7B6A" w:rsidRPr="00D2037C">
        <w:rPr>
          <w:rFonts w:ascii="Symbol" w:hAnsi="Symbol"/>
          <w:sz w:val="24"/>
          <w:szCs w:val="24"/>
          <w:lang w:eastAsia="en-GB"/>
        </w:rPr>
        <w:t></w:t>
      </w:r>
      <w:r w:rsidR="006B7B6A" w:rsidRPr="00D2037C">
        <w:rPr>
          <w:sz w:val="24"/>
          <w:szCs w:val="24"/>
          <w:lang w:eastAsia="en-GB"/>
        </w:rPr>
        <w:t>g/mL</w:t>
      </w:r>
      <w:r w:rsidR="006B7B6A" w:rsidRPr="006B7B6A">
        <w:rPr>
          <w:sz w:val="24"/>
          <w:szCs w:val="24"/>
          <w:lang w:eastAsia="en-GB"/>
        </w:rPr>
        <w:t>).</w:t>
      </w:r>
      <w:r>
        <w:rPr>
          <w:sz w:val="24"/>
          <w:szCs w:val="24"/>
          <w:lang w:eastAsia="en-GB"/>
        </w:rPr>
        <w:t xml:space="preserve"> </w:t>
      </w:r>
      <w:r w:rsidR="006B7B6A" w:rsidRPr="006B7B6A">
        <w:rPr>
          <w:sz w:val="24"/>
          <w:szCs w:val="24"/>
          <w:lang w:eastAsia="en-GB"/>
        </w:rPr>
        <w:t>According to a recent work (</w:t>
      </w:r>
      <w:proofErr w:type="spellStart"/>
      <w:r w:rsidR="006B7B6A" w:rsidRPr="006B7B6A">
        <w:rPr>
          <w:sz w:val="24"/>
          <w:szCs w:val="24"/>
          <w:lang w:eastAsia="en-GB"/>
        </w:rPr>
        <w:t>Mošovská</w:t>
      </w:r>
      <w:proofErr w:type="spellEnd"/>
      <w:r w:rsidR="006B7B6A" w:rsidRPr="006B7B6A">
        <w:rPr>
          <w:sz w:val="24"/>
          <w:szCs w:val="24"/>
          <w:lang w:eastAsia="en-GB"/>
        </w:rPr>
        <w:t xml:space="preserve"> et al., 2015), the evaluation of antioxidant activity of extract from </w:t>
      </w:r>
      <w:r w:rsidR="006B7B6A" w:rsidRPr="006B7B6A">
        <w:rPr>
          <w:i/>
          <w:iCs/>
          <w:sz w:val="24"/>
          <w:szCs w:val="24"/>
          <w:lang w:eastAsia="en-GB"/>
        </w:rPr>
        <w:t>Zingiber officinale</w:t>
      </w:r>
      <w:r w:rsidR="006B7B6A" w:rsidRPr="006B7B6A">
        <w:rPr>
          <w:sz w:val="24"/>
          <w:szCs w:val="24"/>
          <w:lang w:eastAsia="en-GB"/>
        </w:rPr>
        <w:t xml:space="preserve"> reports TPC = 181.41 mg</w:t>
      </w:r>
      <w:r w:rsidR="00D2037C">
        <w:rPr>
          <w:sz w:val="24"/>
          <w:szCs w:val="24"/>
          <w:lang w:eastAsia="en-GB"/>
        </w:rPr>
        <w:t xml:space="preserve"> </w:t>
      </w:r>
      <w:r w:rsidR="006B7B6A" w:rsidRPr="006B7B6A">
        <w:rPr>
          <w:sz w:val="24"/>
          <w:szCs w:val="24"/>
          <w:lang w:eastAsia="en-GB"/>
        </w:rPr>
        <w:t>GAE/g from which flavonoids contributed to 7.8 % (14.15 mg QE/g). In the same paper ginger extract showed antioxidant effect in inhibiting DPPH radical and IC50 was 4.25 mg/</w:t>
      </w:r>
      <w:r w:rsidR="006B7B6A" w:rsidRPr="009F09F1">
        <w:rPr>
          <w:sz w:val="24"/>
          <w:szCs w:val="24"/>
          <w:lang w:eastAsia="en-GB"/>
        </w:rPr>
        <w:t>m</w:t>
      </w:r>
      <w:r w:rsidR="009F09F1" w:rsidRPr="009F09F1">
        <w:rPr>
          <w:sz w:val="24"/>
          <w:szCs w:val="24"/>
          <w:lang w:eastAsia="en-GB"/>
        </w:rPr>
        <w:t>L</w:t>
      </w:r>
      <w:r w:rsidR="006B7B6A" w:rsidRPr="009F09F1">
        <w:rPr>
          <w:sz w:val="24"/>
          <w:szCs w:val="24"/>
          <w:lang w:eastAsia="en-GB"/>
        </w:rPr>
        <w:t>,</w:t>
      </w:r>
      <w:r w:rsidR="006B7B6A" w:rsidRPr="006B7B6A">
        <w:rPr>
          <w:sz w:val="24"/>
          <w:szCs w:val="24"/>
          <w:lang w:eastAsia="en-GB"/>
        </w:rPr>
        <w:t xml:space="preserve"> then</w:t>
      </w:r>
      <w:r w:rsidR="006B7B6A" w:rsidRPr="00313BB9">
        <w:rPr>
          <w:sz w:val="24"/>
          <w:szCs w:val="24"/>
          <w:lang w:eastAsia="en-GB"/>
        </w:rPr>
        <w:t xml:space="preserve">, </w:t>
      </w:r>
      <w:r w:rsidR="005F6C68" w:rsidRPr="00313BB9">
        <w:rPr>
          <w:sz w:val="24"/>
          <w:szCs w:val="24"/>
          <w:lang w:eastAsia="en-GB"/>
        </w:rPr>
        <w:t xml:space="preserve">the </w:t>
      </w:r>
      <w:proofErr w:type="spellStart"/>
      <w:r w:rsidR="006B7B6A" w:rsidRPr="00313BB9">
        <w:rPr>
          <w:sz w:val="24"/>
          <w:szCs w:val="24"/>
          <w:lang w:eastAsia="en-GB"/>
        </w:rPr>
        <w:t>Melanchi</w:t>
      </w:r>
      <w:proofErr w:type="spellEnd"/>
      <w:r w:rsidR="006B7B6A" w:rsidRPr="00313BB9">
        <w:rPr>
          <w:sz w:val="24"/>
          <w:szCs w:val="24"/>
          <w:lang w:eastAsia="en-GB"/>
        </w:rPr>
        <w:t xml:space="preserve"> sample</w:t>
      </w:r>
      <w:r w:rsidR="00620DA5" w:rsidRPr="00313BB9">
        <w:rPr>
          <w:sz w:val="24"/>
          <w:szCs w:val="24"/>
          <w:lang w:eastAsia="en-GB"/>
        </w:rPr>
        <w:t xml:space="preserve">, with IC50 127.19 </w:t>
      </w:r>
      <w:r w:rsidR="00620DA5" w:rsidRPr="00313BB9">
        <w:rPr>
          <w:rFonts w:ascii="Symbol" w:hAnsi="Symbol"/>
          <w:sz w:val="24"/>
          <w:szCs w:val="24"/>
          <w:lang w:eastAsia="en-GB"/>
        </w:rPr>
        <w:t></w:t>
      </w:r>
      <w:r w:rsidR="00620DA5" w:rsidRPr="00313BB9">
        <w:rPr>
          <w:sz w:val="24"/>
          <w:szCs w:val="24"/>
          <w:lang w:eastAsia="en-GB"/>
        </w:rPr>
        <w:t>g/mL</w:t>
      </w:r>
      <w:r w:rsidR="005F6C68" w:rsidRPr="00313BB9">
        <w:rPr>
          <w:sz w:val="24"/>
          <w:szCs w:val="24"/>
          <w:lang w:eastAsia="en-GB"/>
        </w:rPr>
        <w:t xml:space="preserve"> </w:t>
      </w:r>
      <w:r w:rsidR="004D7CC9">
        <w:rPr>
          <w:sz w:val="24"/>
          <w:szCs w:val="24"/>
          <w:lang w:eastAsia="en-GB"/>
        </w:rPr>
        <w:t>seems highly</w:t>
      </w:r>
      <w:r w:rsidR="005F6C68" w:rsidRPr="00313BB9">
        <w:rPr>
          <w:sz w:val="24"/>
          <w:szCs w:val="24"/>
          <w:lang w:eastAsia="en-GB"/>
        </w:rPr>
        <w:t xml:space="preserve"> more active (see Figure 2).</w:t>
      </w:r>
      <w:r>
        <w:rPr>
          <w:sz w:val="24"/>
          <w:szCs w:val="24"/>
          <w:lang w:eastAsia="en-GB"/>
        </w:rPr>
        <w:t xml:space="preserve"> </w:t>
      </w:r>
      <w:r w:rsidR="00620DA5">
        <w:rPr>
          <w:sz w:val="24"/>
          <w:szCs w:val="24"/>
          <w:lang w:eastAsia="en-GB"/>
        </w:rPr>
        <w:t>Hence,</w:t>
      </w:r>
      <w:r w:rsidR="006B7B6A" w:rsidRPr="006B7B6A">
        <w:rPr>
          <w:sz w:val="24"/>
          <w:szCs w:val="24"/>
          <w:lang w:eastAsia="en-GB"/>
        </w:rPr>
        <w:t xml:space="preserve"> the ginger rhizome originated from </w:t>
      </w:r>
      <w:proofErr w:type="spellStart"/>
      <w:r w:rsidR="006B7B6A" w:rsidRPr="006B7B6A">
        <w:rPr>
          <w:sz w:val="24"/>
          <w:szCs w:val="24"/>
          <w:lang w:eastAsia="en-GB"/>
        </w:rPr>
        <w:t>Melanchi</w:t>
      </w:r>
      <w:proofErr w:type="spellEnd"/>
      <w:r w:rsidR="006B7B6A" w:rsidRPr="006B7B6A">
        <w:rPr>
          <w:sz w:val="24"/>
          <w:szCs w:val="24"/>
          <w:lang w:eastAsia="en-GB"/>
        </w:rPr>
        <w:t xml:space="preserve"> may exhibit anti-oxidative and anti-inflammatory potentials due to high levels of phenolic compounds and total flavonoid with important antiradical capacity.</w:t>
      </w:r>
    </w:p>
    <w:p w14:paraId="1432624F" w14:textId="77777777" w:rsidR="00D23462" w:rsidRDefault="00D23462" w:rsidP="00D23462">
      <w:pPr>
        <w:pStyle w:val="Default"/>
        <w:rPr>
          <w:rFonts w:ascii="Times New Roman" w:hAnsi="Times New Roman" w:cs="Times New Roman"/>
          <w:sz w:val="18"/>
        </w:rPr>
      </w:pPr>
    </w:p>
    <w:p w14:paraId="4997FD5D" w14:textId="2221B1A5" w:rsidR="005F6C68" w:rsidRPr="00C42F71" w:rsidRDefault="00D23462" w:rsidP="00C42F71">
      <w:pPr>
        <w:pStyle w:val="Default"/>
        <w:rPr>
          <w:rFonts w:ascii="Times New Roman" w:hAnsi="Times New Roman" w:cs="Times New Roman"/>
          <w:bCs/>
          <w:sz w:val="18"/>
          <w:szCs w:val="18"/>
        </w:rPr>
      </w:pPr>
      <w:r w:rsidRPr="00D23462">
        <w:rPr>
          <w:rFonts w:ascii="Times New Roman" w:hAnsi="Times New Roman" w:cs="Times New Roman"/>
          <w:sz w:val="18"/>
        </w:rPr>
        <w:t xml:space="preserve">Fig. 2. </w:t>
      </w:r>
      <w:r w:rsidRPr="00D23462">
        <w:rPr>
          <w:rFonts w:ascii="Times New Roman" w:hAnsi="Times New Roman" w:cs="Times New Roman"/>
          <w:bCs/>
          <w:sz w:val="18"/>
          <w:szCs w:val="18"/>
        </w:rPr>
        <w:t xml:space="preserve">TPC, TPF and </w:t>
      </w:r>
      <w:r w:rsidRPr="00313BB9">
        <w:rPr>
          <w:rFonts w:ascii="Times New Roman" w:hAnsi="Times New Roman" w:cs="Times New Roman"/>
          <w:bCs/>
          <w:sz w:val="18"/>
          <w:szCs w:val="18"/>
        </w:rPr>
        <w:t>anti</w:t>
      </w:r>
      <w:r w:rsidR="009F09F1" w:rsidRPr="00313BB9">
        <w:rPr>
          <w:rFonts w:ascii="Times New Roman" w:hAnsi="Times New Roman" w:cs="Times New Roman"/>
          <w:bCs/>
          <w:sz w:val="18"/>
          <w:szCs w:val="18"/>
        </w:rPr>
        <w:t>radical</w:t>
      </w:r>
      <w:r w:rsidRPr="00313BB9">
        <w:rPr>
          <w:rFonts w:ascii="Times New Roman" w:hAnsi="Times New Roman" w:cs="Times New Roman"/>
          <w:bCs/>
          <w:sz w:val="18"/>
          <w:szCs w:val="18"/>
        </w:rPr>
        <w:t xml:space="preserve"> assay (</w:t>
      </w:r>
      <w:r w:rsidR="009F09F1" w:rsidRPr="00313BB9">
        <w:rPr>
          <w:rFonts w:ascii="Times New Roman" w:hAnsi="Times New Roman" w:cs="Times New Roman"/>
          <w:bCs/>
          <w:sz w:val="18"/>
          <w:szCs w:val="18"/>
        </w:rPr>
        <w:t>by DPPH test</w:t>
      </w:r>
      <w:r w:rsidRPr="00313BB9">
        <w:rPr>
          <w:rFonts w:ascii="Times New Roman" w:hAnsi="Times New Roman" w:cs="Times New Roman"/>
          <w:bCs/>
          <w:sz w:val="18"/>
          <w:szCs w:val="18"/>
        </w:rPr>
        <w:t>) of ginger</w:t>
      </w:r>
      <w:r w:rsidR="009F09F1" w:rsidRPr="00313BB9">
        <w:rPr>
          <w:rFonts w:ascii="Times New Roman" w:hAnsi="Times New Roman" w:cs="Times New Roman"/>
          <w:bCs/>
          <w:sz w:val="18"/>
          <w:szCs w:val="18"/>
        </w:rPr>
        <w:t xml:space="preserve"> extracts.</w:t>
      </w:r>
    </w:p>
    <w:p w14:paraId="6FCE97C2" w14:textId="5C0CF76C" w:rsidR="00AA26B8" w:rsidRDefault="005F6C68" w:rsidP="00620DA5">
      <w:pPr>
        <w:pStyle w:val="Abstract"/>
        <w:tabs>
          <w:tab w:val="left" w:pos="6379"/>
        </w:tabs>
        <w:spacing w:line="276" w:lineRule="auto"/>
        <w:ind w:left="0" w:right="-30"/>
        <w:jc w:val="center"/>
        <w:rPr>
          <w:snapToGrid/>
          <w:sz w:val="24"/>
        </w:rPr>
      </w:pPr>
      <w:r>
        <w:rPr>
          <w:noProof/>
          <w:snapToGrid/>
          <w:sz w:val="24"/>
          <w:szCs w:val="24"/>
          <w:lang w:val="it-IT" w:eastAsia="zh-TW"/>
        </w:rPr>
        <w:drawing>
          <wp:inline distT="0" distB="0" distL="0" distR="0" wp14:anchorId="067904C4" wp14:editId="6E027585">
            <wp:extent cx="2236615" cy="1365486"/>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8309" cy="1378730"/>
                    </a:xfrm>
                    <a:prstGeom prst="rect">
                      <a:avLst/>
                    </a:prstGeom>
                    <a:noFill/>
                    <a:ln>
                      <a:noFill/>
                    </a:ln>
                  </pic:spPr>
                </pic:pic>
              </a:graphicData>
            </a:graphic>
          </wp:inline>
        </w:drawing>
      </w:r>
    </w:p>
    <w:p w14:paraId="6B4B3D6B" w14:textId="73FBE8DF" w:rsidR="00620DA5" w:rsidRDefault="00620DA5" w:rsidP="00C42F71">
      <w:pPr>
        <w:pStyle w:val="Abstract"/>
        <w:tabs>
          <w:tab w:val="left" w:pos="6379"/>
        </w:tabs>
        <w:spacing w:line="276" w:lineRule="auto"/>
        <w:ind w:left="0" w:right="-30"/>
        <w:jc w:val="center"/>
        <w:rPr>
          <w:snapToGrid/>
          <w:sz w:val="24"/>
        </w:rPr>
      </w:pPr>
      <w:r>
        <w:rPr>
          <w:noProof/>
          <w:snapToGrid/>
          <w:sz w:val="24"/>
          <w:lang w:val="it-IT" w:eastAsia="zh-TW"/>
        </w:rPr>
        <w:lastRenderedPageBreak/>
        <w:drawing>
          <wp:inline distT="0" distB="0" distL="0" distR="0" wp14:anchorId="19D7FF74" wp14:editId="3517FAC3">
            <wp:extent cx="2330450" cy="978674"/>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8178" cy="986119"/>
                    </a:xfrm>
                    <a:prstGeom prst="rect">
                      <a:avLst/>
                    </a:prstGeom>
                    <a:noFill/>
                    <a:ln>
                      <a:noFill/>
                    </a:ln>
                  </pic:spPr>
                </pic:pic>
              </a:graphicData>
            </a:graphic>
          </wp:inline>
        </w:drawing>
      </w:r>
    </w:p>
    <w:p w14:paraId="26090611" w14:textId="5EEBE534" w:rsidR="00D23462" w:rsidRPr="00D23462" w:rsidRDefault="00D23462" w:rsidP="00D2037C">
      <w:pPr>
        <w:autoSpaceDE w:val="0"/>
        <w:autoSpaceDN w:val="0"/>
        <w:adjustRightInd w:val="0"/>
        <w:spacing w:line="240" w:lineRule="auto"/>
        <w:jc w:val="center"/>
        <w:rPr>
          <w:color w:val="000000"/>
          <w:sz w:val="18"/>
          <w:szCs w:val="18"/>
          <w:lang w:val="en-GB"/>
        </w:rPr>
      </w:pPr>
      <w:r w:rsidRPr="00D23462">
        <w:rPr>
          <w:color w:val="000000"/>
          <w:sz w:val="18"/>
          <w:szCs w:val="18"/>
          <w:lang w:val="en-GB"/>
        </w:rPr>
        <w:t>Source: Authors</w:t>
      </w:r>
    </w:p>
    <w:p w14:paraId="197CBF47" w14:textId="77777777" w:rsidR="00C42F71" w:rsidRDefault="00C42F71" w:rsidP="00BD69B6">
      <w:pPr>
        <w:pStyle w:val="Abstract"/>
        <w:tabs>
          <w:tab w:val="left" w:pos="6379"/>
        </w:tabs>
        <w:spacing w:line="276" w:lineRule="auto"/>
        <w:ind w:left="0" w:right="-30"/>
        <w:rPr>
          <w:b/>
          <w:bCs/>
          <w:snapToGrid/>
          <w:sz w:val="24"/>
        </w:rPr>
      </w:pPr>
    </w:p>
    <w:p w14:paraId="470994A0" w14:textId="2BC08F36" w:rsidR="00BD69B6" w:rsidRPr="00FF32FA" w:rsidRDefault="00BD69B6" w:rsidP="00BD69B6">
      <w:pPr>
        <w:pStyle w:val="Abstract"/>
        <w:tabs>
          <w:tab w:val="left" w:pos="6379"/>
        </w:tabs>
        <w:spacing w:line="276" w:lineRule="auto"/>
        <w:ind w:left="0" w:right="-30"/>
        <w:rPr>
          <w:b/>
          <w:bCs/>
          <w:snapToGrid/>
          <w:sz w:val="24"/>
        </w:rPr>
      </w:pPr>
      <w:r w:rsidRPr="00FF32FA">
        <w:rPr>
          <w:b/>
          <w:bCs/>
          <w:snapToGrid/>
          <w:sz w:val="24"/>
        </w:rPr>
        <w:t>4.</w:t>
      </w:r>
      <w:r>
        <w:rPr>
          <w:b/>
          <w:bCs/>
          <w:snapToGrid/>
          <w:sz w:val="24"/>
        </w:rPr>
        <w:t xml:space="preserve"> </w:t>
      </w:r>
      <w:r w:rsidRPr="00FF32FA">
        <w:rPr>
          <w:b/>
          <w:bCs/>
          <w:snapToGrid/>
          <w:sz w:val="24"/>
        </w:rPr>
        <w:t>Conclusions</w:t>
      </w:r>
    </w:p>
    <w:p w14:paraId="067784C6" w14:textId="35EF7903" w:rsidR="006B7B6A" w:rsidRDefault="00B91E24" w:rsidP="00C42F71">
      <w:pPr>
        <w:pStyle w:val="Abstract"/>
        <w:tabs>
          <w:tab w:val="left" w:pos="6379"/>
        </w:tabs>
        <w:spacing w:line="276" w:lineRule="auto"/>
        <w:ind w:left="0" w:right="-30"/>
        <w:rPr>
          <w:iCs/>
          <w:sz w:val="24"/>
          <w:szCs w:val="24"/>
        </w:rPr>
      </w:pPr>
      <w:r w:rsidRPr="0016280B">
        <w:rPr>
          <w:sz w:val="24"/>
          <w:szCs w:val="24"/>
        </w:rPr>
        <w:t>This work focuses</w:t>
      </w:r>
      <w:r w:rsidRPr="0016280B">
        <w:rPr>
          <w:snapToGrid/>
          <w:sz w:val="24"/>
          <w:szCs w:val="24"/>
        </w:rPr>
        <w:t xml:space="preserve"> on the improvement of the sustainability of the value chains of ginger, turmeric and cardamom</w:t>
      </w:r>
      <w:r w:rsidR="0016280B" w:rsidRPr="0016280B">
        <w:rPr>
          <w:snapToGrid/>
          <w:sz w:val="24"/>
          <w:szCs w:val="24"/>
        </w:rPr>
        <w:t xml:space="preserve"> in Nepal</w:t>
      </w:r>
      <w:r w:rsidRPr="0016280B">
        <w:rPr>
          <w:snapToGrid/>
          <w:sz w:val="24"/>
          <w:szCs w:val="24"/>
        </w:rPr>
        <w:t xml:space="preserve">, introducing </w:t>
      </w:r>
      <w:r w:rsidRPr="0016280B">
        <w:rPr>
          <w:bCs/>
          <w:sz w:val="24"/>
          <w:szCs w:val="24"/>
          <w:lang w:val="en-GB"/>
        </w:rPr>
        <w:t xml:space="preserve">upgrading in the processes of selection, preservation and packaging/labelling. </w:t>
      </w:r>
      <w:r w:rsidR="006B7B6A">
        <w:rPr>
          <w:bCs/>
          <w:sz w:val="24"/>
          <w:szCs w:val="24"/>
          <w:lang w:val="en-GB"/>
        </w:rPr>
        <w:t>B</w:t>
      </w:r>
      <w:r w:rsidR="0016280B" w:rsidRPr="0016280B">
        <w:rPr>
          <w:bCs/>
          <w:sz w:val="24"/>
          <w:szCs w:val="24"/>
          <w:lang w:val="en-GB"/>
        </w:rPr>
        <w:t xml:space="preserve">oth </w:t>
      </w:r>
      <w:r w:rsidRPr="0016280B">
        <w:rPr>
          <w:bCs/>
          <w:sz w:val="24"/>
          <w:szCs w:val="24"/>
          <w:lang w:val="en-GB"/>
        </w:rPr>
        <w:t xml:space="preserve">value chain and </w:t>
      </w:r>
      <w:r w:rsidR="0016280B" w:rsidRPr="0016280B">
        <w:rPr>
          <w:bCs/>
          <w:sz w:val="24"/>
          <w:szCs w:val="24"/>
          <w:lang w:val="en-GB"/>
        </w:rPr>
        <w:t>a</w:t>
      </w:r>
      <w:r w:rsidRPr="0016280B">
        <w:rPr>
          <w:bCs/>
          <w:sz w:val="24"/>
          <w:szCs w:val="24"/>
          <w:lang w:val="en-GB"/>
        </w:rPr>
        <w:t xml:space="preserve">nalytical evidences </w:t>
      </w:r>
      <w:r w:rsidR="00C42F71">
        <w:rPr>
          <w:iCs/>
          <w:sz w:val="24"/>
          <w:szCs w:val="24"/>
        </w:rPr>
        <w:t>suggest</w:t>
      </w:r>
      <w:r w:rsidR="006B7B6A" w:rsidRPr="00350322">
        <w:rPr>
          <w:iCs/>
          <w:sz w:val="24"/>
          <w:szCs w:val="24"/>
        </w:rPr>
        <w:t xml:space="preserve"> furthering investigating with a more significant number of samples in order to confirm that profile. </w:t>
      </w:r>
      <w:r w:rsidR="006B7B6A" w:rsidRPr="002632F1">
        <w:rPr>
          <w:iCs/>
          <w:sz w:val="24"/>
          <w:szCs w:val="24"/>
        </w:rPr>
        <w:t>If confirmed, ginger</w:t>
      </w:r>
      <w:r w:rsidR="006D47CB" w:rsidRPr="002632F1">
        <w:rPr>
          <w:iCs/>
          <w:sz w:val="24"/>
          <w:szCs w:val="24"/>
        </w:rPr>
        <w:t xml:space="preserve"> in particular</w:t>
      </w:r>
      <w:r w:rsidR="006B7B6A" w:rsidRPr="002632F1">
        <w:rPr>
          <w:iCs/>
          <w:sz w:val="24"/>
          <w:szCs w:val="24"/>
        </w:rPr>
        <w:t xml:space="preserve"> could potentially be increase</w:t>
      </w:r>
      <w:r w:rsidR="00313BB9" w:rsidRPr="002632F1">
        <w:rPr>
          <w:iCs/>
          <w:sz w:val="24"/>
          <w:szCs w:val="24"/>
        </w:rPr>
        <w:t xml:space="preserve"> </w:t>
      </w:r>
      <w:r w:rsidR="006B7B6A" w:rsidRPr="002632F1">
        <w:rPr>
          <w:iCs/>
          <w:sz w:val="24"/>
          <w:szCs w:val="24"/>
        </w:rPr>
        <w:t>its value.</w:t>
      </w:r>
      <w:r w:rsidR="006B7B6A" w:rsidRPr="00350322">
        <w:rPr>
          <w:iCs/>
          <w:sz w:val="24"/>
          <w:szCs w:val="24"/>
        </w:rPr>
        <w:t xml:space="preserve"> </w:t>
      </w:r>
    </w:p>
    <w:p w14:paraId="62ADFCB2" w14:textId="77777777" w:rsidR="00B33380" w:rsidRDefault="00B33380" w:rsidP="006B7B6A">
      <w:pPr>
        <w:pStyle w:val="Abstract"/>
        <w:tabs>
          <w:tab w:val="left" w:pos="6379"/>
        </w:tabs>
        <w:spacing w:line="276" w:lineRule="auto"/>
        <w:ind w:left="0" w:right="-30"/>
        <w:rPr>
          <w:iCs/>
          <w:sz w:val="24"/>
          <w:szCs w:val="24"/>
        </w:rPr>
      </w:pPr>
    </w:p>
    <w:p w14:paraId="3A1C7D2F" w14:textId="13D70B6F" w:rsidR="003C0291" w:rsidRDefault="00FF32FA" w:rsidP="00381EFD">
      <w:pPr>
        <w:pStyle w:val="Abstract"/>
        <w:tabs>
          <w:tab w:val="left" w:pos="6379"/>
        </w:tabs>
        <w:spacing w:line="276" w:lineRule="auto"/>
        <w:ind w:left="0" w:right="-30"/>
        <w:rPr>
          <w:b/>
          <w:bCs/>
          <w:snapToGrid/>
          <w:sz w:val="24"/>
        </w:rPr>
      </w:pPr>
      <w:r w:rsidRPr="00403A9D">
        <w:rPr>
          <w:b/>
          <w:bCs/>
          <w:snapToGrid/>
          <w:sz w:val="24"/>
        </w:rPr>
        <w:t>References</w:t>
      </w:r>
    </w:p>
    <w:p w14:paraId="5C701319" w14:textId="3E80A440" w:rsidR="00B33380" w:rsidRPr="00944744" w:rsidRDefault="00963B6E" w:rsidP="00B33380">
      <w:pPr>
        <w:pStyle w:val="Abstract"/>
        <w:tabs>
          <w:tab w:val="left" w:pos="6379"/>
        </w:tabs>
        <w:spacing w:line="240" w:lineRule="auto"/>
        <w:ind w:left="0" w:right="-30"/>
        <w:rPr>
          <w:color w:val="000000" w:themeColor="text1"/>
          <w:lang w:eastAsia="it-IT"/>
        </w:rPr>
      </w:pPr>
      <w:r w:rsidRPr="00944744">
        <w:rPr>
          <w:rFonts w:cs="Garamond"/>
          <w:color w:val="000000"/>
        </w:rPr>
        <w:t xml:space="preserve">Acharya et </w:t>
      </w:r>
      <w:r w:rsidR="00F7418B" w:rsidRPr="00944744">
        <w:rPr>
          <w:rFonts w:cs="Garamond"/>
          <w:color w:val="000000"/>
        </w:rPr>
        <w:t>a</w:t>
      </w:r>
      <w:r w:rsidRPr="00944744">
        <w:rPr>
          <w:rFonts w:cs="Garamond"/>
          <w:color w:val="000000"/>
        </w:rPr>
        <w:t xml:space="preserve">l. </w:t>
      </w:r>
      <w:r w:rsidRPr="00944744">
        <w:rPr>
          <w:color w:val="000000" w:themeColor="text1"/>
          <w:lang w:eastAsia="it-IT"/>
        </w:rPr>
        <w:t>Does High-Value Agriculture Build Resilient Livelihood? Insights from the Study of Cardamom and Vegetable Farmers of Nepal. Journal of Forest and Livelihood. December 2021.</w:t>
      </w:r>
    </w:p>
    <w:p w14:paraId="20738615" w14:textId="3657D116" w:rsidR="006D47CB" w:rsidRPr="00944744" w:rsidRDefault="006D47CB" w:rsidP="00B33380">
      <w:pPr>
        <w:pStyle w:val="Abstract"/>
        <w:tabs>
          <w:tab w:val="left" w:pos="6379"/>
        </w:tabs>
        <w:spacing w:line="240" w:lineRule="auto"/>
        <w:ind w:left="0" w:right="-30"/>
        <w:rPr>
          <w:color w:val="000000" w:themeColor="text1"/>
          <w:lang w:eastAsia="it-IT"/>
        </w:rPr>
      </w:pPr>
      <w:r w:rsidRPr="00944744">
        <w:rPr>
          <w:lang w:eastAsia="en-GB"/>
        </w:rPr>
        <w:t>Ahmed Hassan El-</w:t>
      </w:r>
      <w:proofErr w:type="spellStart"/>
      <w:r w:rsidRPr="00944744">
        <w:rPr>
          <w:lang w:eastAsia="en-GB"/>
        </w:rPr>
        <w:t>Ghorab</w:t>
      </w:r>
      <w:proofErr w:type="spellEnd"/>
      <w:r w:rsidRPr="00944744">
        <w:rPr>
          <w:lang w:eastAsia="en-GB"/>
        </w:rPr>
        <w:t xml:space="preserve"> et </w:t>
      </w:r>
      <w:r w:rsidR="00F7418B" w:rsidRPr="00944744">
        <w:rPr>
          <w:lang w:eastAsia="en-GB"/>
        </w:rPr>
        <w:t>a</w:t>
      </w:r>
      <w:r w:rsidRPr="00944744">
        <w:rPr>
          <w:lang w:eastAsia="en-GB"/>
        </w:rPr>
        <w:t xml:space="preserve">l. </w:t>
      </w:r>
      <w:r w:rsidRPr="00944744">
        <w:rPr>
          <w:lang w:val="en-GB"/>
        </w:rPr>
        <w:t xml:space="preserve">A Comparative Study on Chemical Composition and Antioxidant Activity of Ginger (Zingiber officinale) and Cumin (Cuminum cyminum). </w:t>
      </w:r>
      <w:r w:rsidRPr="00944744">
        <w:rPr>
          <w:rStyle w:val="cit-title"/>
          <w:iCs/>
          <w:szCs w:val="16"/>
        </w:rPr>
        <w:t>J. Agric. Food Chem. 2010.</w:t>
      </w:r>
    </w:p>
    <w:p w14:paraId="24225C06" w14:textId="2E687CA9" w:rsidR="00B33380" w:rsidRPr="00944744" w:rsidRDefault="000C2037" w:rsidP="00B33380">
      <w:pPr>
        <w:autoSpaceDE w:val="0"/>
        <w:autoSpaceDN w:val="0"/>
        <w:adjustRightInd w:val="0"/>
        <w:spacing w:line="240" w:lineRule="auto"/>
        <w:rPr>
          <w:snapToGrid w:val="0"/>
          <w:color w:val="000000" w:themeColor="text1"/>
          <w:sz w:val="20"/>
          <w:lang w:eastAsia="it-IT"/>
        </w:rPr>
      </w:pPr>
      <w:proofErr w:type="spellStart"/>
      <w:r w:rsidRPr="00EF6320">
        <w:rPr>
          <w:bCs/>
          <w:sz w:val="20"/>
          <w:lang w:val="en-GB"/>
        </w:rPr>
        <w:t>Keezheveettil</w:t>
      </w:r>
      <w:proofErr w:type="spellEnd"/>
      <w:r w:rsidRPr="00EF6320">
        <w:rPr>
          <w:bCs/>
          <w:sz w:val="20"/>
          <w:lang w:val="en-GB"/>
        </w:rPr>
        <w:t xml:space="preserve"> </w:t>
      </w:r>
      <w:proofErr w:type="spellStart"/>
      <w:r w:rsidRPr="00EF6320">
        <w:rPr>
          <w:bCs/>
          <w:sz w:val="20"/>
          <w:lang w:val="en-GB"/>
        </w:rPr>
        <w:t>Parukutty</w:t>
      </w:r>
      <w:proofErr w:type="spellEnd"/>
      <w:r w:rsidRPr="00EF6320">
        <w:rPr>
          <w:bCs/>
          <w:sz w:val="20"/>
          <w:lang w:val="en-GB"/>
        </w:rPr>
        <w:t xml:space="preserve"> Amma </w:t>
      </w:r>
      <w:proofErr w:type="spellStart"/>
      <w:r w:rsidRPr="00EF6320">
        <w:rPr>
          <w:bCs/>
          <w:sz w:val="20"/>
          <w:lang w:val="en-GB"/>
        </w:rPr>
        <w:t>Padmakumari</w:t>
      </w:r>
      <w:proofErr w:type="spellEnd"/>
      <w:r w:rsidRPr="00EF6320">
        <w:rPr>
          <w:bCs/>
          <w:sz w:val="20"/>
          <w:lang w:val="en-GB"/>
        </w:rPr>
        <w:t xml:space="preserve"> Amma et </w:t>
      </w:r>
      <w:r w:rsidR="00F7418B" w:rsidRPr="00EF6320">
        <w:rPr>
          <w:bCs/>
          <w:sz w:val="20"/>
          <w:lang w:val="en-GB"/>
        </w:rPr>
        <w:t>a</w:t>
      </w:r>
      <w:r w:rsidRPr="00EF6320">
        <w:rPr>
          <w:bCs/>
          <w:sz w:val="20"/>
          <w:lang w:val="en-GB"/>
        </w:rPr>
        <w:t xml:space="preserve">l. </w:t>
      </w:r>
      <w:r w:rsidRPr="00944744">
        <w:rPr>
          <w:snapToGrid w:val="0"/>
          <w:color w:val="000000" w:themeColor="text1"/>
          <w:sz w:val="20"/>
          <w:lang w:eastAsia="it-IT"/>
        </w:rPr>
        <w:t xml:space="preserve">Chemical composition, flavonoid - phenolic contents and radical scavenging </w:t>
      </w:r>
      <w:r w:rsidRPr="00944744">
        <w:rPr>
          <w:color w:val="000000" w:themeColor="text1"/>
          <w:sz w:val="20"/>
          <w:lang w:eastAsia="it-IT"/>
        </w:rPr>
        <w:t xml:space="preserve">activity of four major varieties of cardamom. </w:t>
      </w:r>
      <w:r w:rsidRPr="00944744">
        <w:rPr>
          <w:bCs/>
          <w:sz w:val="20"/>
          <w:lang w:val="en-GB"/>
        </w:rPr>
        <w:t xml:space="preserve">International Journal of Biological &amp; Medical Research. 2010. </w:t>
      </w:r>
    </w:p>
    <w:p w14:paraId="6C7F83C9" w14:textId="451303B0" w:rsidR="00A606ED" w:rsidRPr="00944744" w:rsidRDefault="00A606ED" w:rsidP="00B33380">
      <w:pPr>
        <w:autoSpaceDE w:val="0"/>
        <w:autoSpaceDN w:val="0"/>
        <w:adjustRightInd w:val="0"/>
        <w:spacing w:line="240" w:lineRule="auto"/>
        <w:rPr>
          <w:snapToGrid w:val="0"/>
          <w:color w:val="000000" w:themeColor="text1"/>
          <w:sz w:val="20"/>
          <w:lang w:eastAsia="it-IT"/>
        </w:rPr>
      </w:pPr>
      <w:proofErr w:type="spellStart"/>
      <w:r w:rsidRPr="00944744">
        <w:rPr>
          <w:sz w:val="20"/>
          <w:lang w:val="en-GB" w:eastAsia="en-GB"/>
        </w:rPr>
        <w:t>Mojani</w:t>
      </w:r>
      <w:proofErr w:type="spellEnd"/>
      <w:r w:rsidRPr="00944744">
        <w:rPr>
          <w:sz w:val="20"/>
          <w:lang w:val="en-GB" w:eastAsia="en-GB"/>
        </w:rPr>
        <w:t xml:space="preserve">, M. S. et </w:t>
      </w:r>
      <w:r w:rsidR="00F7418B" w:rsidRPr="00944744">
        <w:rPr>
          <w:sz w:val="20"/>
          <w:lang w:val="en-GB" w:eastAsia="en-GB"/>
        </w:rPr>
        <w:t>a</w:t>
      </w:r>
      <w:r w:rsidRPr="00944744">
        <w:rPr>
          <w:sz w:val="20"/>
          <w:lang w:val="en-GB" w:eastAsia="en-GB"/>
        </w:rPr>
        <w:t xml:space="preserve">l. </w:t>
      </w:r>
      <w:r w:rsidRPr="00944744">
        <w:rPr>
          <w:bCs/>
          <w:kern w:val="36"/>
          <w:sz w:val="20"/>
          <w:lang w:val="en-GB" w:eastAsia="en-GB"/>
        </w:rPr>
        <w:t xml:space="preserve">Assessment of bioactive compounds, nutritional composition and antioxidant activity of Malaysian young ginger (Zingiber officinale Roscoe). </w:t>
      </w:r>
      <w:r w:rsidRPr="00944744">
        <w:rPr>
          <w:rStyle w:val="markedcontent"/>
          <w:sz w:val="20"/>
        </w:rPr>
        <w:t>International Food Research Journal 21(5): 1931-1935 (2014)</w:t>
      </w:r>
      <w:r w:rsidR="005E39E7" w:rsidRPr="00944744">
        <w:rPr>
          <w:rStyle w:val="markedcontent"/>
          <w:sz w:val="20"/>
        </w:rPr>
        <w:t>.</w:t>
      </w:r>
    </w:p>
    <w:p w14:paraId="0F5890C3" w14:textId="239A03E2" w:rsidR="006D47CB" w:rsidRPr="00944744" w:rsidRDefault="005E39E7" w:rsidP="006D47CB">
      <w:pPr>
        <w:autoSpaceDE w:val="0"/>
        <w:autoSpaceDN w:val="0"/>
        <w:adjustRightInd w:val="0"/>
        <w:spacing w:line="240" w:lineRule="auto"/>
        <w:rPr>
          <w:sz w:val="20"/>
          <w:lang w:val="it-IT"/>
        </w:rPr>
      </w:pPr>
      <w:proofErr w:type="spellStart"/>
      <w:r w:rsidRPr="00944744">
        <w:rPr>
          <w:sz w:val="20"/>
          <w:lang w:eastAsia="en-GB"/>
        </w:rPr>
        <w:t>Mošovská</w:t>
      </w:r>
      <w:proofErr w:type="spellEnd"/>
      <w:r w:rsidRPr="00944744">
        <w:rPr>
          <w:sz w:val="20"/>
          <w:lang w:eastAsia="en-GB"/>
        </w:rPr>
        <w:t xml:space="preserve"> et </w:t>
      </w:r>
      <w:r w:rsidR="00F7418B" w:rsidRPr="00944744">
        <w:rPr>
          <w:sz w:val="20"/>
          <w:lang w:eastAsia="en-GB"/>
        </w:rPr>
        <w:t>a</w:t>
      </w:r>
      <w:r w:rsidRPr="00944744">
        <w:rPr>
          <w:sz w:val="20"/>
          <w:lang w:eastAsia="en-GB"/>
        </w:rPr>
        <w:t xml:space="preserve">l. </w:t>
      </w:r>
      <w:hyperlink r:id="rId14" w:history="1">
        <w:r w:rsidRPr="00944744">
          <w:rPr>
            <w:bCs/>
            <w:sz w:val="20"/>
            <w:lang w:val="en-GB" w:eastAsia="en-GB"/>
          </w:rPr>
          <w:t>Antioxidant activity of ginger extract and identification of its active components</w:t>
        </w:r>
      </w:hyperlink>
      <w:r w:rsidRPr="00944744">
        <w:rPr>
          <w:bCs/>
          <w:sz w:val="20"/>
          <w:lang w:val="en-GB" w:eastAsia="en-GB"/>
        </w:rPr>
        <w:t xml:space="preserve">. </w:t>
      </w:r>
      <w:r w:rsidRPr="00944744">
        <w:rPr>
          <w:sz w:val="20"/>
          <w:lang w:val="it-IT"/>
        </w:rPr>
        <w:t xml:space="preserve">Acta Chimica </w:t>
      </w:r>
      <w:proofErr w:type="spellStart"/>
      <w:r w:rsidRPr="00944744">
        <w:rPr>
          <w:sz w:val="20"/>
          <w:lang w:val="it-IT"/>
        </w:rPr>
        <w:t>Slovaca</w:t>
      </w:r>
      <w:proofErr w:type="spellEnd"/>
      <w:r w:rsidRPr="00944744">
        <w:rPr>
          <w:sz w:val="20"/>
          <w:lang w:val="it-IT"/>
        </w:rPr>
        <w:t xml:space="preserve">, Vol. 8, No. 2, 2015, pp. 115—119. </w:t>
      </w:r>
    </w:p>
    <w:p w14:paraId="0F00E9D2" w14:textId="4E242708" w:rsidR="00B33380" w:rsidRPr="00944744" w:rsidRDefault="006D47CB" w:rsidP="00B33380">
      <w:pPr>
        <w:autoSpaceDE w:val="0"/>
        <w:autoSpaceDN w:val="0"/>
        <w:adjustRightInd w:val="0"/>
        <w:spacing w:line="240" w:lineRule="auto"/>
        <w:rPr>
          <w:color w:val="000000" w:themeColor="text1"/>
          <w:sz w:val="20"/>
          <w:lang w:eastAsia="it-IT"/>
        </w:rPr>
      </w:pPr>
      <w:proofErr w:type="spellStart"/>
      <w:r w:rsidRPr="00944744">
        <w:rPr>
          <w:snapToGrid w:val="0"/>
          <w:sz w:val="20"/>
          <w:lang w:val="it-IT"/>
        </w:rPr>
        <w:t>Moulai-Hacene</w:t>
      </w:r>
      <w:proofErr w:type="spellEnd"/>
      <w:r w:rsidRPr="00944744">
        <w:rPr>
          <w:snapToGrid w:val="0"/>
          <w:sz w:val="20"/>
          <w:lang w:val="it-IT"/>
        </w:rPr>
        <w:t xml:space="preserve"> F. </w:t>
      </w:r>
      <w:r w:rsidRPr="00944744">
        <w:rPr>
          <w:bCs/>
          <w:sz w:val="20"/>
          <w:lang w:val="it-IT"/>
        </w:rPr>
        <w:t xml:space="preserve">et </w:t>
      </w:r>
      <w:r w:rsidR="00F7418B" w:rsidRPr="00944744">
        <w:rPr>
          <w:bCs/>
          <w:sz w:val="20"/>
          <w:lang w:val="it-IT"/>
        </w:rPr>
        <w:t>a</w:t>
      </w:r>
      <w:r w:rsidRPr="00944744">
        <w:rPr>
          <w:bCs/>
          <w:sz w:val="20"/>
          <w:lang w:val="it-IT"/>
        </w:rPr>
        <w:t>l.</w:t>
      </w:r>
      <w:r w:rsidRPr="00944744">
        <w:rPr>
          <w:rFonts w:ascii="MyriadPro-Bold" w:hAnsi="MyriadPro-Bold" w:cs="MyriadPro-Bold"/>
          <w:b/>
          <w:bCs/>
          <w:color w:val="003E88"/>
          <w:sz w:val="9"/>
          <w:szCs w:val="9"/>
          <w:lang w:val="it-IT"/>
        </w:rPr>
        <w:t xml:space="preserve"> </w:t>
      </w:r>
      <w:r w:rsidRPr="00944744">
        <w:rPr>
          <w:color w:val="000000" w:themeColor="text1"/>
          <w:sz w:val="20"/>
          <w:lang w:eastAsia="it-IT"/>
        </w:rPr>
        <w:t xml:space="preserve">Chemical Composition and Antimicrobial Properties of Elettaria </w:t>
      </w:r>
      <w:r w:rsidRPr="00944744">
        <w:rPr>
          <w:snapToGrid w:val="0"/>
          <w:color w:val="000000" w:themeColor="text1"/>
          <w:sz w:val="20"/>
          <w:lang w:eastAsia="it-IT"/>
        </w:rPr>
        <w:t xml:space="preserve">cardamomum </w:t>
      </w:r>
      <w:r w:rsidRPr="00944744">
        <w:rPr>
          <w:color w:val="000000" w:themeColor="text1"/>
          <w:sz w:val="20"/>
          <w:lang w:eastAsia="it-IT"/>
        </w:rPr>
        <w:t xml:space="preserve">Extract. </w:t>
      </w:r>
      <w:proofErr w:type="spellStart"/>
      <w:r w:rsidRPr="00944744">
        <w:rPr>
          <w:color w:val="000000" w:themeColor="text1"/>
          <w:sz w:val="20"/>
          <w:lang w:eastAsia="it-IT"/>
        </w:rPr>
        <w:t>Pharmacogn</w:t>
      </w:r>
      <w:proofErr w:type="spellEnd"/>
      <w:r w:rsidRPr="00944744">
        <w:rPr>
          <w:color w:val="000000" w:themeColor="text1"/>
          <w:sz w:val="20"/>
          <w:lang w:eastAsia="it-IT"/>
        </w:rPr>
        <w:t xml:space="preserve"> J. 2020; 12(5): 1058-1063. </w:t>
      </w:r>
    </w:p>
    <w:p w14:paraId="30B7B2D5" w14:textId="3116DC28" w:rsidR="006D47CB" w:rsidRPr="00944744" w:rsidRDefault="006D47CB" w:rsidP="00B33380">
      <w:pPr>
        <w:autoSpaceDE w:val="0"/>
        <w:autoSpaceDN w:val="0"/>
        <w:adjustRightInd w:val="0"/>
        <w:spacing w:line="240" w:lineRule="auto"/>
        <w:rPr>
          <w:color w:val="000000" w:themeColor="text1"/>
          <w:sz w:val="20"/>
          <w:lang w:eastAsia="it-IT"/>
        </w:rPr>
      </w:pPr>
      <w:r w:rsidRPr="00944744">
        <w:rPr>
          <w:sz w:val="20"/>
          <w:lang w:eastAsia="en-GB"/>
        </w:rPr>
        <w:t xml:space="preserve">Shirin Adel P. R. and Jamuna Prakash. </w:t>
      </w:r>
      <w:r w:rsidRPr="00944744">
        <w:rPr>
          <w:snapToGrid w:val="0"/>
          <w:sz w:val="20"/>
          <w:lang w:val="en-GB"/>
        </w:rPr>
        <w:t xml:space="preserve">Chemical composition and antioxidant properties of ginger root (Zingiber officinale). </w:t>
      </w:r>
      <w:hyperlink r:id="rId15" w:history="1">
        <w:r w:rsidRPr="00944744">
          <w:rPr>
            <w:sz w:val="20"/>
          </w:rPr>
          <w:t>Journal of Medicinal Plant Research</w:t>
        </w:r>
      </w:hyperlink>
      <w:r w:rsidRPr="00944744">
        <w:rPr>
          <w:sz w:val="20"/>
        </w:rPr>
        <w:t xml:space="preserve"> 4(24):2674-2679. </w:t>
      </w:r>
      <w:r w:rsidRPr="00944744">
        <w:rPr>
          <w:snapToGrid w:val="0"/>
          <w:sz w:val="20"/>
          <w:lang w:val="en-GB"/>
        </w:rPr>
        <w:t>2011</w:t>
      </w:r>
    </w:p>
    <w:p w14:paraId="1FD814FA" w14:textId="2AA39BC4" w:rsidR="006D47CB" w:rsidRPr="00944744" w:rsidRDefault="006D47CB" w:rsidP="006D47CB">
      <w:pPr>
        <w:autoSpaceDE w:val="0"/>
        <w:autoSpaceDN w:val="0"/>
        <w:adjustRightInd w:val="0"/>
        <w:spacing w:line="240" w:lineRule="auto"/>
        <w:rPr>
          <w:snapToGrid w:val="0"/>
          <w:color w:val="000000" w:themeColor="text1"/>
          <w:sz w:val="20"/>
          <w:lang w:eastAsia="it-IT"/>
        </w:rPr>
      </w:pPr>
      <w:r w:rsidRPr="00944744">
        <w:rPr>
          <w:snapToGrid w:val="0"/>
          <w:color w:val="000000" w:themeColor="text1"/>
          <w:sz w:val="20"/>
          <w:lang w:eastAsia="it-IT"/>
        </w:rPr>
        <w:t xml:space="preserve">Thapa G. et </w:t>
      </w:r>
      <w:r w:rsidR="00F7418B" w:rsidRPr="00944744">
        <w:rPr>
          <w:snapToGrid w:val="0"/>
          <w:color w:val="000000" w:themeColor="text1"/>
          <w:sz w:val="20"/>
          <w:lang w:eastAsia="it-IT"/>
        </w:rPr>
        <w:t>a</w:t>
      </w:r>
      <w:r w:rsidRPr="00944744">
        <w:rPr>
          <w:snapToGrid w:val="0"/>
          <w:color w:val="000000" w:themeColor="text1"/>
          <w:sz w:val="20"/>
          <w:lang w:eastAsia="it-IT"/>
        </w:rPr>
        <w:t xml:space="preserve">l. Agricultural Diversification in Nepal </w:t>
      </w:r>
      <w:r w:rsidRPr="00944744">
        <w:rPr>
          <w:color w:val="000000" w:themeColor="text1"/>
          <w:sz w:val="20"/>
          <w:lang w:eastAsia="it-IT"/>
        </w:rPr>
        <w:t xml:space="preserve">Status, Determinants, and its Impact on Rural Poverty. International Food Policy Research Institute. </w:t>
      </w:r>
      <w:r w:rsidRPr="00944744">
        <w:rPr>
          <w:bCs/>
          <w:sz w:val="20"/>
          <w:lang w:val="en-GB"/>
        </w:rPr>
        <w:t xml:space="preserve">Discussion Paper 01634. </w:t>
      </w:r>
      <w:r w:rsidRPr="00944744">
        <w:rPr>
          <w:color w:val="000000" w:themeColor="text1"/>
          <w:sz w:val="20"/>
          <w:lang w:eastAsia="it-IT"/>
        </w:rPr>
        <w:t xml:space="preserve">April 2017. </w:t>
      </w:r>
    </w:p>
    <w:p w14:paraId="3BDE5E17" w14:textId="14EBEE81" w:rsidR="0016280B" w:rsidRPr="00944744" w:rsidRDefault="00CE0E27" w:rsidP="006D47CB">
      <w:pPr>
        <w:pStyle w:val="Abstract"/>
        <w:tabs>
          <w:tab w:val="left" w:pos="6379"/>
        </w:tabs>
        <w:spacing w:line="276" w:lineRule="auto"/>
        <w:ind w:left="0" w:right="-30"/>
        <w:jc w:val="left"/>
        <w:rPr>
          <w:rStyle w:val="Hyperlink"/>
          <w:color w:val="auto"/>
        </w:rPr>
      </w:pPr>
      <w:hyperlink r:id="rId16" w:history="1">
        <w:r w:rsidR="0016280B" w:rsidRPr="00944744">
          <w:rPr>
            <w:rStyle w:val="Hyperlink"/>
            <w:color w:val="auto"/>
          </w:rPr>
          <w:t>https://www.usaid.gov/nepal/agriculture-and-food-security</w:t>
        </w:r>
      </w:hyperlink>
      <w:r w:rsidR="006D47CB" w:rsidRPr="00944744">
        <w:rPr>
          <w:rStyle w:val="Hyperlink"/>
          <w:color w:val="auto"/>
        </w:rPr>
        <w:t xml:space="preserve"> </w:t>
      </w:r>
      <w:r w:rsidR="0016280B" w:rsidRPr="00944744">
        <w:rPr>
          <w:rStyle w:val="Hyperlink"/>
          <w:color w:val="auto"/>
        </w:rPr>
        <w:t>(last visited 20.06.2022)</w:t>
      </w:r>
    </w:p>
    <w:p w14:paraId="4B3E274F" w14:textId="6B3D836D" w:rsidR="0016280B" w:rsidRPr="00944744" w:rsidRDefault="00CE0E27" w:rsidP="006D47CB">
      <w:pPr>
        <w:pStyle w:val="Abstract"/>
        <w:tabs>
          <w:tab w:val="left" w:pos="6379"/>
        </w:tabs>
        <w:spacing w:line="276" w:lineRule="auto"/>
        <w:ind w:left="0" w:right="-30"/>
        <w:jc w:val="left"/>
        <w:rPr>
          <w:rStyle w:val="Hyperlink"/>
          <w:color w:val="auto"/>
        </w:rPr>
      </w:pPr>
      <w:hyperlink r:id="rId17" w:history="1">
        <w:r w:rsidR="0016280B" w:rsidRPr="00944744">
          <w:rPr>
            <w:rStyle w:val="Hyperlink"/>
            <w:color w:val="auto"/>
          </w:rPr>
          <w:t>https://www.fao.org/documents/card/en/c/CB8001EN</w:t>
        </w:r>
      </w:hyperlink>
      <w:r w:rsidR="0016280B" w:rsidRPr="00944744">
        <w:rPr>
          <w:rStyle w:val="Hyperlink"/>
          <w:color w:val="auto"/>
        </w:rPr>
        <w:t xml:space="preserve"> (last visited 21.06.2022)</w:t>
      </w:r>
    </w:p>
    <w:p w14:paraId="5CD93BED" w14:textId="13BB88D9" w:rsidR="00744DF4" w:rsidRPr="00944744" w:rsidRDefault="00CE0E27" w:rsidP="006D47CB">
      <w:pPr>
        <w:pStyle w:val="Abstract"/>
        <w:tabs>
          <w:tab w:val="left" w:pos="6379"/>
        </w:tabs>
        <w:spacing w:line="276" w:lineRule="auto"/>
        <w:ind w:left="0" w:right="-30"/>
        <w:jc w:val="left"/>
        <w:rPr>
          <w:rStyle w:val="Hyperlink"/>
          <w:color w:val="auto"/>
        </w:rPr>
      </w:pPr>
      <w:hyperlink r:id="rId18" w:history="1">
        <w:r w:rsidR="00744DF4" w:rsidRPr="00944744">
          <w:rPr>
            <w:rStyle w:val="Hyperlink"/>
            <w:color w:val="auto"/>
          </w:rPr>
          <w:t>https://cbs.gov.np/</w:t>
        </w:r>
      </w:hyperlink>
      <w:r w:rsidR="00744DF4" w:rsidRPr="00944744">
        <w:rPr>
          <w:rStyle w:val="Hyperlink"/>
          <w:color w:val="auto"/>
        </w:rPr>
        <w:t xml:space="preserve"> (last visited 15.06.2022)</w:t>
      </w:r>
    </w:p>
    <w:p w14:paraId="5DE45AE6" w14:textId="00FBD76D" w:rsidR="00963B6E" w:rsidRPr="00944744" w:rsidRDefault="00CE0E27" w:rsidP="006D47CB">
      <w:pPr>
        <w:pStyle w:val="Abstract"/>
        <w:tabs>
          <w:tab w:val="left" w:pos="6379"/>
        </w:tabs>
        <w:spacing w:line="276" w:lineRule="auto"/>
        <w:ind w:left="0" w:right="-30"/>
        <w:jc w:val="left"/>
        <w:rPr>
          <w:rStyle w:val="Hyperlink"/>
          <w:color w:val="auto"/>
        </w:rPr>
      </w:pPr>
      <w:hyperlink r:id="rId19" w:history="1">
        <w:r w:rsidR="00963B6E" w:rsidRPr="00944744">
          <w:rPr>
            <w:rStyle w:val="Hyperlink"/>
            <w:color w:val="auto"/>
          </w:rPr>
          <w:t>https://www.mof.gov.np/</w:t>
        </w:r>
      </w:hyperlink>
      <w:r w:rsidR="00963B6E" w:rsidRPr="00944744">
        <w:rPr>
          <w:rStyle w:val="Hyperlink"/>
          <w:color w:val="auto"/>
        </w:rPr>
        <w:t xml:space="preserve"> (last visited 16.06.2022)</w:t>
      </w:r>
    </w:p>
    <w:sectPr w:rsidR="00963B6E" w:rsidRPr="00944744" w:rsidSect="00E43F28">
      <w:headerReference w:type="even" r:id="rId20"/>
      <w:headerReference w:type="default" r:id="rId21"/>
      <w:headerReference w:type="first" r:id="rId22"/>
      <w:footerReference w:type="first" r:id="rId23"/>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6C703" w14:textId="77777777" w:rsidR="00CE0E27" w:rsidRDefault="00CE0E27">
      <w:pPr>
        <w:spacing w:line="240" w:lineRule="auto"/>
      </w:pPr>
      <w:r>
        <w:separator/>
      </w:r>
    </w:p>
  </w:endnote>
  <w:endnote w:type="continuationSeparator" w:id="0">
    <w:p w14:paraId="07E4BCD4" w14:textId="77777777" w:rsidR="00CE0E27" w:rsidRDefault="00CE0E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roid Serif">
    <w:altName w:val="Times New Roman"/>
    <w:charset w:val="00"/>
    <w:family w:val="auto"/>
    <w:pitch w:val="variable"/>
    <w:sig w:usb0="00000001" w:usb1="4000205B" w:usb2="00000028"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yriadPro-Bold">
    <w:altName w:val="Arial"/>
    <w:panose1 w:val="00000000000000000000"/>
    <w:charset w:val="A1"/>
    <w:family w:val="swiss"/>
    <w:notTrueType/>
    <w:pitch w:val="default"/>
    <w:sig w:usb0="00000081" w:usb1="00000000" w:usb2="00000000" w:usb3="00000000" w:csb0="00000008"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A2A4" w14:textId="0EACB469" w:rsidR="00A138D7" w:rsidRPr="000343A6" w:rsidRDefault="00A138D7">
    <w:pPr>
      <w:jc w:val="center"/>
      <w:rPr>
        <w:sz w:val="18"/>
        <w:szCs w:val="18"/>
      </w:rPr>
    </w:pPr>
    <w:r w:rsidRPr="000343A6">
      <w:rPr>
        <w:rStyle w:val="PageNumber"/>
        <w:sz w:val="18"/>
        <w:szCs w:val="18"/>
      </w:rPr>
      <w:fldChar w:fldCharType="begin"/>
    </w:r>
    <w:r w:rsidRPr="000343A6">
      <w:rPr>
        <w:rStyle w:val="PageNumber"/>
        <w:sz w:val="18"/>
        <w:szCs w:val="18"/>
      </w:rPr>
      <w:instrText xml:space="preserve"> PAGE </w:instrText>
    </w:r>
    <w:r w:rsidRPr="000343A6">
      <w:rPr>
        <w:rStyle w:val="PageNumber"/>
        <w:sz w:val="18"/>
        <w:szCs w:val="18"/>
      </w:rPr>
      <w:fldChar w:fldCharType="separate"/>
    </w:r>
    <w:r w:rsidR="00944744">
      <w:rPr>
        <w:rStyle w:val="PageNumber"/>
        <w:noProof/>
        <w:sz w:val="18"/>
        <w:szCs w:val="18"/>
      </w:rPr>
      <w:t>1</w:t>
    </w:r>
    <w:r w:rsidRPr="000343A6">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19DE9" w14:textId="77777777" w:rsidR="00CE0E27" w:rsidRDefault="00CE0E27">
      <w:pPr>
        <w:spacing w:line="240" w:lineRule="auto"/>
      </w:pPr>
      <w:r>
        <w:separator/>
      </w:r>
    </w:p>
  </w:footnote>
  <w:footnote w:type="continuationSeparator" w:id="0">
    <w:p w14:paraId="00DDCCF5" w14:textId="77777777" w:rsidR="00CE0E27" w:rsidRDefault="00CE0E27">
      <w:pPr>
        <w:spacing w:line="240" w:lineRule="auto"/>
      </w:pPr>
      <w:r>
        <w:continuationSeparator/>
      </w:r>
    </w:p>
  </w:footnote>
  <w:footnote w:id="1">
    <w:p w14:paraId="50D31109" w14:textId="0E959B11" w:rsidR="001D267D" w:rsidRPr="001D267D" w:rsidRDefault="001D267D">
      <w:pPr>
        <w:pStyle w:val="FootnoteText"/>
        <w:rPr>
          <w:lang w:val="it-IT"/>
        </w:rPr>
      </w:pPr>
      <w:r>
        <w:rPr>
          <w:rStyle w:val="FootnoteReference"/>
        </w:rPr>
        <w:footnoteRef/>
      </w:r>
      <w:r>
        <w:t xml:space="preserve"> </w:t>
      </w:r>
      <w:hyperlink r:id="rId1" w:history="1">
        <w:r w:rsidRPr="001D267D">
          <w:rPr>
            <w:rStyle w:val="Hyperlink"/>
            <w:sz w:val="20"/>
          </w:rPr>
          <w:t>https://www.usaid.gov/nepal/agriculture-and-food-security</w:t>
        </w:r>
      </w:hyperlink>
    </w:p>
  </w:footnote>
  <w:footnote w:id="2">
    <w:p w14:paraId="5E4F7DA9" w14:textId="71215744" w:rsidR="001D267D" w:rsidRPr="001D267D" w:rsidRDefault="001D267D">
      <w:pPr>
        <w:pStyle w:val="FootnoteText"/>
        <w:rPr>
          <w:lang w:val="it-IT"/>
        </w:rPr>
      </w:pPr>
      <w:r>
        <w:rPr>
          <w:rStyle w:val="FootnoteReference"/>
        </w:rPr>
        <w:footnoteRef/>
      </w:r>
      <w:r w:rsidRPr="001B2A74">
        <w:rPr>
          <w:lang w:val="it-IT"/>
        </w:rPr>
        <w:t xml:space="preserve"> </w:t>
      </w:r>
      <w:r w:rsidR="00CE0E27">
        <w:fldChar w:fldCharType="begin"/>
      </w:r>
      <w:r w:rsidR="00CE0E27" w:rsidRPr="00EF6320">
        <w:rPr>
          <w:lang w:val="it-IT"/>
        </w:rPr>
        <w:instrText>HYPERLINK "https://www.fao.org/documents/card/en/c/CB8001EN"</w:instrText>
      </w:r>
      <w:r w:rsidR="00CE0E27">
        <w:fldChar w:fldCharType="separate"/>
      </w:r>
      <w:r w:rsidRPr="001B2A74">
        <w:rPr>
          <w:rStyle w:val="Hyperlink"/>
          <w:sz w:val="20"/>
          <w:lang w:val="it-IT"/>
        </w:rPr>
        <w:t>https://www.fao.org/documents/card/en/c/CB8001EN</w:t>
      </w:r>
      <w:r w:rsidR="00CE0E27">
        <w:rPr>
          <w:rStyle w:val="Hyperlink"/>
          <w:sz w:val="20"/>
          <w:lang w:val="it-IT"/>
        </w:rPr>
        <w:fldChar w:fldCharType="end"/>
      </w:r>
    </w:p>
  </w:footnote>
  <w:footnote w:id="3">
    <w:p w14:paraId="3C746ADB" w14:textId="77777777" w:rsidR="00C42F71" w:rsidRPr="00C42F71" w:rsidRDefault="00C42F71" w:rsidP="00C42F71">
      <w:pPr>
        <w:spacing w:line="276" w:lineRule="auto"/>
        <w:rPr>
          <w:sz w:val="24"/>
          <w:szCs w:val="24"/>
        </w:rPr>
      </w:pPr>
      <w:r>
        <w:rPr>
          <w:rStyle w:val="FootnoteReference"/>
        </w:rPr>
        <w:footnoteRef/>
      </w:r>
      <w:r>
        <w:t xml:space="preserve"> </w:t>
      </w:r>
      <w:r w:rsidRPr="00C42F71">
        <w:rPr>
          <w:sz w:val="20"/>
          <w:lang w:eastAsia="en-GB"/>
        </w:rPr>
        <w:t xml:space="preserve">In fact, microbiological analyses carried out on samples of target spices demonstrated a high number of bacteria and the presence of </w:t>
      </w:r>
      <w:proofErr w:type="spellStart"/>
      <w:r w:rsidRPr="00C42F71">
        <w:rPr>
          <w:sz w:val="20"/>
          <w:lang w:eastAsia="en-GB"/>
        </w:rPr>
        <w:t>moulds</w:t>
      </w:r>
      <w:proofErr w:type="spellEnd"/>
      <w:r w:rsidRPr="00C42F71">
        <w:rPr>
          <w:sz w:val="20"/>
          <w:lang w:eastAsia="en-GB"/>
        </w:rPr>
        <w:t xml:space="preserve"> (probably due to a lack of adoption of GMP in processing and storage phases) and they are not suitable for European market.</w:t>
      </w:r>
    </w:p>
    <w:p w14:paraId="1E15FD4F" w14:textId="37832021" w:rsidR="00C42F71" w:rsidRPr="00EF6320" w:rsidRDefault="00C42F71">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5314" w14:textId="507C18B0" w:rsidR="00A138D7" w:rsidRPr="006203F1" w:rsidRDefault="00566851" w:rsidP="001D267D">
    <w:pPr>
      <w:pStyle w:val="Header"/>
      <w:tabs>
        <w:tab w:val="clear" w:pos="4320"/>
        <w:tab w:val="center" w:pos="3600"/>
      </w:tabs>
      <w:spacing w:after="280" w:line="180" w:lineRule="exact"/>
      <w:rPr>
        <w:i/>
        <w:iCs/>
        <w:sz w:val="18"/>
        <w:lang w:val="it-IT"/>
      </w:rPr>
    </w:pPr>
    <w:r>
      <w:rPr>
        <w:noProof/>
        <w:sz w:val="18"/>
        <w:lang w:val="it-IT" w:eastAsia="zh-TW"/>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054229CE"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0E2F27">
      <w:rPr>
        <w:rStyle w:val="PageNumber"/>
        <w:sz w:val="18"/>
      </w:rPr>
      <w:fldChar w:fldCharType="begin"/>
    </w:r>
    <w:r w:rsidR="00A56CDE" w:rsidRPr="007B0B49">
      <w:rPr>
        <w:rStyle w:val="PageNumber"/>
        <w:sz w:val="18"/>
        <w:lang w:val="it-IT"/>
      </w:rPr>
      <w:instrText xml:space="preserve">PAGE  </w:instrText>
    </w:r>
    <w:r w:rsidR="00A56CDE" w:rsidRPr="000E2F27">
      <w:rPr>
        <w:rStyle w:val="PageNumber"/>
        <w:sz w:val="18"/>
      </w:rPr>
      <w:fldChar w:fldCharType="separate"/>
    </w:r>
    <w:r w:rsidR="00944744" w:rsidRPr="00EF6320">
      <w:rPr>
        <w:rStyle w:val="PageNumber"/>
        <w:noProof/>
        <w:sz w:val="18"/>
        <w:lang w:val="it-IT"/>
      </w:rPr>
      <w:t>8</w:t>
    </w:r>
    <w:r w:rsidR="00A56CDE" w:rsidRPr="000E2F27">
      <w:rPr>
        <w:rStyle w:val="PageNumber"/>
        <w:sz w:val="18"/>
      </w:rPr>
      <w:fldChar w:fldCharType="end"/>
    </w:r>
    <w:r w:rsidR="00A56CDE" w:rsidRPr="007B0B49">
      <w:rPr>
        <w:rStyle w:val="PageNumber"/>
        <w:sz w:val="18"/>
        <w:lang w:val="it-IT"/>
      </w:rPr>
      <w:tab/>
    </w:r>
    <w:r w:rsidR="001D267D" w:rsidRPr="006203F1">
      <w:rPr>
        <w:i/>
        <w:iCs/>
        <w:sz w:val="18"/>
        <w:lang w:val="it-IT"/>
      </w:rPr>
      <w:t>P. Pinelli</w:t>
    </w:r>
    <w:r w:rsidR="001D267D">
      <w:rPr>
        <w:rStyle w:val="PageNumber"/>
        <w:i/>
        <w:iCs/>
        <w:sz w:val="18"/>
        <w:lang w:val="it-IT"/>
      </w:rPr>
      <w:t>, D. Tacconi and</w:t>
    </w:r>
    <w:r w:rsidR="006203F1" w:rsidRPr="006203F1">
      <w:rPr>
        <w:rStyle w:val="PageNumber"/>
        <w:i/>
        <w:iCs/>
        <w:sz w:val="18"/>
        <w:lang w:val="it-IT"/>
      </w:rPr>
      <w:t xml:space="preserve"> </w:t>
    </w:r>
    <w:r w:rsidR="007B0B49" w:rsidRPr="006203F1">
      <w:rPr>
        <w:i/>
        <w:iCs/>
        <w:sz w:val="18"/>
        <w:lang w:val="it-IT"/>
      </w:rPr>
      <w:t xml:space="preserve">L. </w:t>
    </w:r>
    <w:proofErr w:type="spellStart"/>
    <w:r w:rsidR="006203F1" w:rsidRPr="006203F1">
      <w:rPr>
        <w:i/>
        <w:iCs/>
        <w:sz w:val="18"/>
        <w:lang w:val="it-IT"/>
      </w:rPr>
      <w:t>Borsacchi</w:t>
    </w:r>
    <w:proofErr w:type="spellEnd"/>
    <w:r w:rsidR="006203F1" w:rsidRPr="006203F1">
      <w:rPr>
        <w:i/>
        <w:iCs/>
        <w:sz w:val="18"/>
        <w:lang w:val="it-IT"/>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3CC7" w14:textId="563F0C61" w:rsidR="00A138D7" w:rsidRPr="004B3E4B" w:rsidRDefault="00566851" w:rsidP="001D267D">
    <w:pPr>
      <w:pStyle w:val="Header"/>
      <w:tabs>
        <w:tab w:val="clear" w:pos="4320"/>
        <w:tab w:val="clear" w:pos="8640"/>
        <w:tab w:val="center" w:pos="3600"/>
        <w:tab w:val="right" w:pos="7200"/>
      </w:tabs>
      <w:spacing w:after="280" w:line="180" w:lineRule="exact"/>
      <w:rPr>
        <w:rStyle w:val="PageNumber"/>
        <w:i/>
        <w:noProof/>
        <w:sz w:val="18"/>
        <w:lang w:val="en-SG" w:eastAsia="en-SG"/>
      </w:rPr>
    </w:pPr>
    <w:r>
      <w:rPr>
        <w:noProof/>
        <w:lang w:val="it-IT" w:eastAsia="zh-TW"/>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70D8D718"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476E8C">
      <w:tab/>
    </w:r>
    <w:r w:rsidR="001D267D" w:rsidRPr="001D267D">
      <w:rPr>
        <w:i/>
        <w:noProof/>
        <w:sz w:val="18"/>
        <w:lang w:val="en-SG" w:eastAsia="en-SG"/>
      </w:rPr>
      <w:t>Sustainability of rural supply chains in Nepal: selection, characterization and labelling of spices for the local market</w:t>
    </w:r>
    <w:r w:rsidR="00476E8C" w:rsidRPr="000E2F27">
      <w:rPr>
        <w:i/>
        <w:noProof/>
        <w:sz w:val="18"/>
        <w:lang w:val="en-SG" w:eastAsia="en-SG"/>
      </w:rPr>
      <w:tab/>
    </w:r>
    <w:r w:rsidR="00476E8C" w:rsidRPr="000E2F27">
      <w:rPr>
        <w:rStyle w:val="PageNumber"/>
        <w:sz w:val="18"/>
      </w:rPr>
      <w:fldChar w:fldCharType="begin"/>
    </w:r>
    <w:r w:rsidR="00476E8C" w:rsidRPr="000E2F27">
      <w:rPr>
        <w:rStyle w:val="PageNumber"/>
        <w:sz w:val="18"/>
      </w:rPr>
      <w:instrText xml:space="preserve">PAGE  </w:instrText>
    </w:r>
    <w:r w:rsidR="00476E8C" w:rsidRPr="000E2F27">
      <w:rPr>
        <w:rStyle w:val="PageNumber"/>
        <w:sz w:val="18"/>
      </w:rPr>
      <w:fldChar w:fldCharType="separate"/>
    </w:r>
    <w:r w:rsidR="00944744">
      <w:rPr>
        <w:rStyle w:val="PageNumber"/>
        <w:noProof/>
        <w:sz w:val="18"/>
      </w:rPr>
      <w:t>7</w:t>
    </w:r>
    <w:r w:rsidR="00476E8C" w:rsidRPr="000E2F27">
      <w:rPr>
        <w:rStyle w:val="PageNumber"/>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8310" w14:textId="77777777" w:rsidR="00CF74EC" w:rsidRDefault="00566851">
    <w:pPr>
      <w:pStyle w:val="Header"/>
    </w:pPr>
    <w:r>
      <w:rPr>
        <w:noProof/>
        <w:lang w:val="it-IT" w:eastAsia="zh-TW"/>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 name="Group 1"/>
                      <wpg:cNvGrpSpPr>
                        <a:grpSpLocks/>
                      </wpg:cNvGrpSpPr>
                      <wpg:grpSpPr bwMode="auto">
                        <a:xfrm>
                          <a:off x="0" y="0"/>
                          <a:ext cx="6929408" cy="415144"/>
                          <a:chOff x="496" y="843"/>
                          <a:chExt cx="10910" cy="654"/>
                        </a:xfrm>
                      </wpg:grpSpPr>
                      <wpg:grpSp>
                        <wpg:cNvPr id="4" name="Group 3"/>
                        <wpg:cNvGrpSpPr>
                          <a:grpSpLocks/>
                        </wpg:cNvGrpSpPr>
                        <wpg:grpSpPr bwMode="auto">
                          <a:xfrm>
                            <a:off x="10766" y="845"/>
                            <a:ext cx="640" cy="652"/>
                            <a:chOff x="10777" y="845"/>
                            <a:chExt cx="640" cy="652"/>
                          </a:xfrm>
                        </wpg:grpSpPr>
                        <wps:wsp>
                          <wps:cNvPr id="5"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6"/>
                        <wpg:cNvGrpSpPr>
                          <a:grpSpLocks/>
                        </wpg:cNvGrpSpPr>
                        <wpg:grpSpPr bwMode="auto">
                          <a:xfrm flipH="1">
                            <a:off x="496" y="843"/>
                            <a:ext cx="640" cy="652"/>
                            <a:chOff x="10777" y="845"/>
                            <a:chExt cx="640" cy="652"/>
                          </a:xfrm>
                        </wpg:grpSpPr>
                        <wps:wsp>
                          <wps:cNvPr id="8"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0" name="Group 13"/>
                      <wpg:cNvGrpSpPr>
                        <a:grpSpLocks/>
                      </wpg:cNvGrpSpPr>
                      <wpg:grpSpPr bwMode="auto">
                        <a:xfrm flipV="1">
                          <a:off x="10886" y="9198429"/>
                          <a:ext cx="6929120" cy="414655"/>
                          <a:chOff x="496" y="843"/>
                          <a:chExt cx="10910" cy="654"/>
                        </a:xfrm>
                      </wpg:grpSpPr>
                      <wpg:grpSp>
                        <wpg:cNvPr id="11" name="Group 3"/>
                        <wpg:cNvGrpSpPr>
                          <a:grpSpLocks/>
                        </wpg:cNvGrpSpPr>
                        <wpg:grpSpPr bwMode="auto">
                          <a:xfrm>
                            <a:off x="10766" y="845"/>
                            <a:ext cx="640" cy="652"/>
                            <a:chOff x="10777" y="845"/>
                            <a:chExt cx="640" cy="652"/>
                          </a:xfrm>
                        </wpg:grpSpPr>
                        <wps:wsp>
                          <wps:cNvPr id="1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4" name="Group 6"/>
                        <wpg:cNvGrpSpPr>
                          <a:grpSpLocks/>
                        </wpg:cNvGrpSpPr>
                        <wpg:grpSpPr bwMode="auto">
                          <a:xfrm flipH="1">
                            <a:off x="496" y="843"/>
                            <a:ext cx="640" cy="652"/>
                            <a:chOff x="10777" y="845"/>
                            <a:chExt cx="640" cy="652"/>
                          </a:xfrm>
                        </wpg:grpSpPr>
                        <wps:wsp>
                          <wps:cNvPr id="15"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189E271"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C65578"/>
    <w:multiLevelType w:val="hybridMultilevel"/>
    <w:tmpl w:val="770D7FA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2"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3" w15:restartNumberingAfterBreak="0">
    <w:nsid w:val="14E54B43"/>
    <w:multiLevelType w:val="hybridMultilevel"/>
    <w:tmpl w:val="1E4C9150"/>
    <w:lvl w:ilvl="0" w:tplc="BA7A7A58">
      <w:start w:val="25"/>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5" w15:restartNumberingAfterBreak="0">
    <w:nsid w:val="202B3D84"/>
    <w:multiLevelType w:val="multilevel"/>
    <w:tmpl w:val="740C71C4"/>
    <w:lvl w:ilvl="0">
      <w:start w:val="1"/>
      <w:numFmt w:val="decimal"/>
      <w:lvlRestart w:val="0"/>
      <w:pStyle w:val="Heading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Heading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Heading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3680BE6"/>
    <w:multiLevelType w:val="hybridMultilevel"/>
    <w:tmpl w:val="A95E19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29702A"/>
    <w:multiLevelType w:val="multilevel"/>
    <w:tmpl w:val="B4E2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0" w15:restartNumberingAfterBreak="0">
    <w:nsid w:val="3442163F"/>
    <w:multiLevelType w:val="hybridMultilevel"/>
    <w:tmpl w:val="3222A146"/>
    <w:lvl w:ilvl="0" w:tplc="57943ED8">
      <w:start w:val="1"/>
      <w:numFmt w:val="lowerLetter"/>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2" w15:restartNumberingAfterBreak="0">
    <w:nsid w:val="42324BFC"/>
    <w:multiLevelType w:val="hybridMultilevel"/>
    <w:tmpl w:val="82D81A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F831C8D"/>
    <w:multiLevelType w:val="singleLevel"/>
    <w:tmpl w:val="35F8F1CA"/>
    <w:lvl w:ilvl="0">
      <w:start w:val="1"/>
      <w:numFmt w:val="bullet"/>
      <w:pStyle w:val="List"/>
      <w:lvlText w:val=""/>
      <w:lvlJc w:val="left"/>
      <w:pPr>
        <w:tabs>
          <w:tab w:val="num" w:pos="360"/>
        </w:tabs>
        <w:ind w:left="360" w:hanging="360"/>
      </w:pPr>
      <w:rPr>
        <w:rFonts w:ascii="Symbol" w:hAnsi="Symbol" w:hint="default"/>
      </w:rPr>
    </w:lvl>
  </w:abstractNum>
  <w:abstractNum w:abstractNumId="14"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15" w15:restartNumberingAfterBreak="0">
    <w:nsid w:val="5C23799C"/>
    <w:multiLevelType w:val="hybridMultilevel"/>
    <w:tmpl w:val="6958D9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18" w15:restartNumberingAfterBreak="0">
    <w:nsid w:val="7D852077"/>
    <w:multiLevelType w:val="hybridMultilevel"/>
    <w:tmpl w:val="5044C4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16cid:durableId="1088695631">
    <w:abstractNumId w:val="14"/>
  </w:num>
  <w:num w:numId="2" w16cid:durableId="1441292013">
    <w:abstractNumId w:val="13"/>
  </w:num>
  <w:num w:numId="3" w16cid:durableId="502934354">
    <w:abstractNumId w:val="4"/>
  </w:num>
  <w:num w:numId="4" w16cid:durableId="1951738966">
    <w:abstractNumId w:val="19"/>
  </w:num>
  <w:num w:numId="5" w16cid:durableId="803736281">
    <w:abstractNumId w:val="5"/>
  </w:num>
  <w:num w:numId="6" w16cid:durableId="444811797">
    <w:abstractNumId w:val="2"/>
  </w:num>
  <w:num w:numId="7" w16cid:durableId="901598678">
    <w:abstractNumId w:val="7"/>
  </w:num>
  <w:num w:numId="8" w16cid:durableId="14543237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57587553">
    <w:abstractNumId w:val="1"/>
  </w:num>
  <w:num w:numId="10" w16cid:durableId="1010180792">
    <w:abstractNumId w:val="16"/>
  </w:num>
  <w:num w:numId="11" w16cid:durableId="1892181421">
    <w:abstractNumId w:val="6"/>
  </w:num>
  <w:num w:numId="12" w16cid:durableId="1772243014">
    <w:abstractNumId w:val="18"/>
  </w:num>
  <w:num w:numId="13" w16cid:durableId="1609701926">
    <w:abstractNumId w:val="12"/>
  </w:num>
  <w:num w:numId="14" w16cid:durableId="1048453160">
    <w:abstractNumId w:val="0"/>
  </w:num>
  <w:num w:numId="15" w16cid:durableId="1736273553">
    <w:abstractNumId w:val="3"/>
  </w:num>
  <w:num w:numId="16" w16cid:durableId="1900355971">
    <w:abstractNumId w:val="15"/>
  </w:num>
  <w:num w:numId="17" w16cid:durableId="491339258">
    <w:abstractNumId w:val="8"/>
  </w:num>
  <w:num w:numId="18" w16cid:durableId="165039795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alignBordersAndEdges/>
  <w:bordersDoNotSurroundFooter/>
  <w:activeWritingStyle w:appName="MSWord" w:lang="en-US" w:vendorID="8" w:dllVersion="513" w:checkStyle="1"/>
  <w:proofState w:spelling="clean"/>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50"/>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1"/>
    <w:rsid w:val="00002565"/>
    <w:rsid w:val="00006F22"/>
    <w:rsid w:val="00011663"/>
    <w:rsid w:val="00013FAC"/>
    <w:rsid w:val="000207D2"/>
    <w:rsid w:val="00034334"/>
    <w:rsid w:val="000343A6"/>
    <w:rsid w:val="000358C0"/>
    <w:rsid w:val="00041C51"/>
    <w:rsid w:val="00054B55"/>
    <w:rsid w:val="00055617"/>
    <w:rsid w:val="00062998"/>
    <w:rsid w:val="0007387C"/>
    <w:rsid w:val="0007584D"/>
    <w:rsid w:val="000771BE"/>
    <w:rsid w:val="00095D4A"/>
    <w:rsid w:val="00096B47"/>
    <w:rsid w:val="0009720B"/>
    <w:rsid w:val="000A0084"/>
    <w:rsid w:val="000A2ADA"/>
    <w:rsid w:val="000A596C"/>
    <w:rsid w:val="000C0F3F"/>
    <w:rsid w:val="000C2037"/>
    <w:rsid w:val="000D5C93"/>
    <w:rsid w:val="000D7748"/>
    <w:rsid w:val="000E2F27"/>
    <w:rsid w:val="000E528C"/>
    <w:rsid w:val="000F254D"/>
    <w:rsid w:val="000F5341"/>
    <w:rsid w:val="001002D8"/>
    <w:rsid w:val="00107A8A"/>
    <w:rsid w:val="00115B90"/>
    <w:rsid w:val="00122983"/>
    <w:rsid w:val="00125DB4"/>
    <w:rsid w:val="00132754"/>
    <w:rsid w:val="001334DD"/>
    <w:rsid w:val="001429F4"/>
    <w:rsid w:val="00151DC5"/>
    <w:rsid w:val="001540CF"/>
    <w:rsid w:val="0016280B"/>
    <w:rsid w:val="001646F6"/>
    <w:rsid w:val="00180BB3"/>
    <w:rsid w:val="00194854"/>
    <w:rsid w:val="00197107"/>
    <w:rsid w:val="00197312"/>
    <w:rsid w:val="001A2707"/>
    <w:rsid w:val="001A52A5"/>
    <w:rsid w:val="001B1B69"/>
    <w:rsid w:val="001B2A74"/>
    <w:rsid w:val="001B43AB"/>
    <w:rsid w:val="001C41D2"/>
    <w:rsid w:val="001D184B"/>
    <w:rsid w:val="001D267D"/>
    <w:rsid w:val="001D43D4"/>
    <w:rsid w:val="001D480B"/>
    <w:rsid w:val="001D7A89"/>
    <w:rsid w:val="001E38A2"/>
    <w:rsid w:val="001E44C7"/>
    <w:rsid w:val="00200467"/>
    <w:rsid w:val="00201FCF"/>
    <w:rsid w:val="00205C1E"/>
    <w:rsid w:val="0020681C"/>
    <w:rsid w:val="00214440"/>
    <w:rsid w:val="00215D25"/>
    <w:rsid w:val="00221FC2"/>
    <w:rsid w:val="00231470"/>
    <w:rsid w:val="002415C4"/>
    <w:rsid w:val="00245C8C"/>
    <w:rsid w:val="0024706C"/>
    <w:rsid w:val="00247384"/>
    <w:rsid w:val="00251C05"/>
    <w:rsid w:val="002524D4"/>
    <w:rsid w:val="00256E13"/>
    <w:rsid w:val="00257D41"/>
    <w:rsid w:val="0026025E"/>
    <w:rsid w:val="00260E32"/>
    <w:rsid w:val="002632F1"/>
    <w:rsid w:val="0026349E"/>
    <w:rsid w:val="00263A55"/>
    <w:rsid w:val="00265B71"/>
    <w:rsid w:val="002660BC"/>
    <w:rsid w:val="00272064"/>
    <w:rsid w:val="0027247F"/>
    <w:rsid w:val="00273548"/>
    <w:rsid w:val="00276C2E"/>
    <w:rsid w:val="002807E5"/>
    <w:rsid w:val="00281505"/>
    <w:rsid w:val="00281F6D"/>
    <w:rsid w:val="00282157"/>
    <w:rsid w:val="00287387"/>
    <w:rsid w:val="00287F3D"/>
    <w:rsid w:val="002946A4"/>
    <w:rsid w:val="00296ECD"/>
    <w:rsid w:val="002A2910"/>
    <w:rsid w:val="002A3A83"/>
    <w:rsid w:val="002A45C3"/>
    <w:rsid w:val="002A6CDC"/>
    <w:rsid w:val="002C06E7"/>
    <w:rsid w:val="002C3CED"/>
    <w:rsid w:val="002C5CB4"/>
    <w:rsid w:val="002D29FD"/>
    <w:rsid w:val="002D3231"/>
    <w:rsid w:val="002D414C"/>
    <w:rsid w:val="002E34B6"/>
    <w:rsid w:val="002E4DAC"/>
    <w:rsid w:val="002E4DE6"/>
    <w:rsid w:val="002E6684"/>
    <w:rsid w:val="002F01ED"/>
    <w:rsid w:val="002F457F"/>
    <w:rsid w:val="002F7330"/>
    <w:rsid w:val="003069D3"/>
    <w:rsid w:val="003111B2"/>
    <w:rsid w:val="00313BB9"/>
    <w:rsid w:val="00323789"/>
    <w:rsid w:val="00324DA4"/>
    <w:rsid w:val="0033032F"/>
    <w:rsid w:val="003311CB"/>
    <w:rsid w:val="00332921"/>
    <w:rsid w:val="00335F68"/>
    <w:rsid w:val="003360BF"/>
    <w:rsid w:val="0033631D"/>
    <w:rsid w:val="00341D1E"/>
    <w:rsid w:val="003436C5"/>
    <w:rsid w:val="00350322"/>
    <w:rsid w:val="00351633"/>
    <w:rsid w:val="00354949"/>
    <w:rsid w:val="003609D7"/>
    <w:rsid w:val="00360A3F"/>
    <w:rsid w:val="00362D5B"/>
    <w:rsid w:val="00362DC1"/>
    <w:rsid w:val="00364272"/>
    <w:rsid w:val="003719E6"/>
    <w:rsid w:val="00372272"/>
    <w:rsid w:val="00373C13"/>
    <w:rsid w:val="003812D5"/>
    <w:rsid w:val="00381EFD"/>
    <w:rsid w:val="0038280F"/>
    <w:rsid w:val="003A4089"/>
    <w:rsid w:val="003B2BC3"/>
    <w:rsid w:val="003B392B"/>
    <w:rsid w:val="003C0291"/>
    <w:rsid w:val="003D1BA7"/>
    <w:rsid w:val="003E156F"/>
    <w:rsid w:val="003E39EE"/>
    <w:rsid w:val="003F21E5"/>
    <w:rsid w:val="003F331F"/>
    <w:rsid w:val="00400544"/>
    <w:rsid w:val="00402E4D"/>
    <w:rsid w:val="00403A9D"/>
    <w:rsid w:val="00412D22"/>
    <w:rsid w:val="004136C5"/>
    <w:rsid w:val="00416BA3"/>
    <w:rsid w:val="00417671"/>
    <w:rsid w:val="004178FA"/>
    <w:rsid w:val="00417DA2"/>
    <w:rsid w:val="00421B9B"/>
    <w:rsid w:val="004225DE"/>
    <w:rsid w:val="004226E9"/>
    <w:rsid w:val="00425A66"/>
    <w:rsid w:val="00430738"/>
    <w:rsid w:val="00445735"/>
    <w:rsid w:val="004479AA"/>
    <w:rsid w:val="00452DE7"/>
    <w:rsid w:val="00453F74"/>
    <w:rsid w:val="00454F0F"/>
    <w:rsid w:val="004554B8"/>
    <w:rsid w:val="00462CBA"/>
    <w:rsid w:val="00464BF3"/>
    <w:rsid w:val="00465A30"/>
    <w:rsid w:val="00466742"/>
    <w:rsid w:val="00474C6A"/>
    <w:rsid w:val="00476E8C"/>
    <w:rsid w:val="00482B2F"/>
    <w:rsid w:val="0048706B"/>
    <w:rsid w:val="00493208"/>
    <w:rsid w:val="004950C7"/>
    <w:rsid w:val="004A6ABE"/>
    <w:rsid w:val="004B3E4B"/>
    <w:rsid w:val="004B6E53"/>
    <w:rsid w:val="004C0B1B"/>
    <w:rsid w:val="004C7AE9"/>
    <w:rsid w:val="004D03EE"/>
    <w:rsid w:val="004D7CBE"/>
    <w:rsid w:val="004D7CC9"/>
    <w:rsid w:val="004E54C3"/>
    <w:rsid w:val="004E5BEC"/>
    <w:rsid w:val="004E6C44"/>
    <w:rsid w:val="004F3F3C"/>
    <w:rsid w:val="004F6371"/>
    <w:rsid w:val="005052EC"/>
    <w:rsid w:val="0050550F"/>
    <w:rsid w:val="0050749D"/>
    <w:rsid w:val="00516571"/>
    <w:rsid w:val="005275B0"/>
    <w:rsid w:val="005308EB"/>
    <w:rsid w:val="00531E50"/>
    <w:rsid w:val="005327E5"/>
    <w:rsid w:val="005501B1"/>
    <w:rsid w:val="00553BA1"/>
    <w:rsid w:val="005567E0"/>
    <w:rsid w:val="0056238C"/>
    <w:rsid w:val="00566851"/>
    <w:rsid w:val="00576B88"/>
    <w:rsid w:val="00577E65"/>
    <w:rsid w:val="00582659"/>
    <w:rsid w:val="00594E12"/>
    <w:rsid w:val="00596504"/>
    <w:rsid w:val="005A62E1"/>
    <w:rsid w:val="005B22D7"/>
    <w:rsid w:val="005B238B"/>
    <w:rsid w:val="005B70BE"/>
    <w:rsid w:val="005B7822"/>
    <w:rsid w:val="005C400D"/>
    <w:rsid w:val="005C4AA9"/>
    <w:rsid w:val="005C503A"/>
    <w:rsid w:val="005D2441"/>
    <w:rsid w:val="005D2BB9"/>
    <w:rsid w:val="005E39E7"/>
    <w:rsid w:val="005E4032"/>
    <w:rsid w:val="005F12D1"/>
    <w:rsid w:val="005F21EB"/>
    <w:rsid w:val="005F6C68"/>
    <w:rsid w:val="00601C9D"/>
    <w:rsid w:val="00607D09"/>
    <w:rsid w:val="00614275"/>
    <w:rsid w:val="00616655"/>
    <w:rsid w:val="00616FBE"/>
    <w:rsid w:val="00617AE9"/>
    <w:rsid w:val="006203F1"/>
    <w:rsid w:val="00620DA5"/>
    <w:rsid w:val="00622050"/>
    <w:rsid w:val="006232D0"/>
    <w:rsid w:val="00625793"/>
    <w:rsid w:val="00626616"/>
    <w:rsid w:val="006334AA"/>
    <w:rsid w:val="00633639"/>
    <w:rsid w:val="00636E2F"/>
    <w:rsid w:val="0064475B"/>
    <w:rsid w:val="006461BF"/>
    <w:rsid w:val="00647807"/>
    <w:rsid w:val="0066551F"/>
    <w:rsid w:val="00680158"/>
    <w:rsid w:val="006913D2"/>
    <w:rsid w:val="006957D8"/>
    <w:rsid w:val="006A5F51"/>
    <w:rsid w:val="006A7075"/>
    <w:rsid w:val="006B2F24"/>
    <w:rsid w:val="006B43E4"/>
    <w:rsid w:val="006B7B6A"/>
    <w:rsid w:val="006C12C8"/>
    <w:rsid w:val="006C6338"/>
    <w:rsid w:val="006C7CB5"/>
    <w:rsid w:val="006D38AE"/>
    <w:rsid w:val="006D47CB"/>
    <w:rsid w:val="006D5BDA"/>
    <w:rsid w:val="006D7E12"/>
    <w:rsid w:val="006F38DA"/>
    <w:rsid w:val="006F55CA"/>
    <w:rsid w:val="00701A95"/>
    <w:rsid w:val="00706B35"/>
    <w:rsid w:val="00707D3A"/>
    <w:rsid w:val="00716E2D"/>
    <w:rsid w:val="00717EF2"/>
    <w:rsid w:val="00734E09"/>
    <w:rsid w:val="00740C3C"/>
    <w:rsid w:val="007410FD"/>
    <w:rsid w:val="00744DF4"/>
    <w:rsid w:val="007456FD"/>
    <w:rsid w:val="00745D4D"/>
    <w:rsid w:val="00746831"/>
    <w:rsid w:val="00746EEB"/>
    <w:rsid w:val="007543F6"/>
    <w:rsid w:val="00757B23"/>
    <w:rsid w:val="007639DD"/>
    <w:rsid w:val="00770002"/>
    <w:rsid w:val="007733CE"/>
    <w:rsid w:val="007740B5"/>
    <w:rsid w:val="007743D3"/>
    <w:rsid w:val="007808F3"/>
    <w:rsid w:val="00784F76"/>
    <w:rsid w:val="007854CD"/>
    <w:rsid w:val="00787225"/>
    <w:rsid w:val="00791B0C"/>
    <w:rsid w:val="007960EE"/>
    <w:rsid w:val="007A6C4F"/>
    <w:rsid w:val="007A7E8D"/>
    <w:rsid w:val="007B0738"/>
    <w:rsid w:val="007B0B49"/>
    <w:rsid w:val="007B567F"/>
    <w:rsid w:val="007C048A"/>
    <w:rsid w:val="007D0E64"/>
    <w:rsid w:val="007D4C47"/>
    <w:rsid w:val="007E2A4C"/>
    <w:rsid w:val="007E7371"/>
    <w:rsid w:val="007F2C96"/>
    <w:rsid w:val="007F33D4"/>
    <w:rsid w:val="007F7EDC"/>
    <w:rsid w:val="00810F92"/>
    <w:rsid w:val="00811C43"/>
    <w:rsid w:val="00813091"/>
    <w:rsid w:val="00813818"/>
    <w:rsid w:val="00816EFB"/>
    <w:rsid w:val="00820F66"/>
    <w:rsid w:val="008235E8"/>
    <w:rsid w:val="008349D8"/>
    <w:rsid w:val="00836890"/>
    <w:rsid w:val="00842480"/>
    <w:rsid w:val="00855A7B"/>
    <w:rsid w:val="00864C5F"/>
    <w:rsid w:val="00867EB1"/>
    <w:rsid w:val="00870B2F"/>
    <w:rsid w:val="008743F1"/>
    <w:rsid w:val="00880FFC"/>
    <w:rsid w:val="00883ADA"/>
    <w:rsid w:val="00885E21"/>
    <w:rsid w:val="00886930"/>
    <w:rsid w:val="00890039"/>
    <w:rsid w:val="008950D5"/>
    <w:rsid w:val="008A3CBB"/>
    <w:rsid w:val="008A6BEC"/>
    <w:rsid w:val="008B058F"/>
    <w:rsid w:val="008B0E64"/>
    <w:rsid w:val="008B4D69"/>
    <w:rsid w:val="008B5AAC"/>
    <w:rsid w:val="008C1A0D"/>
    <w:rsid w:val="008C4818"/>
    <w:rsid w:val="008C685C"/>
    <w:rsid w:val="008C751D"/>
    <w:rsid w:val="008D59D4"/>
    <w:rsid w:val="008F2AE1"/>
    <w:rsid w:val="008F43D1"/>
    <w:rsid w:val="008F6B46"/>
    <w:rsid w:val="00904894"/>
    <w:rsid w:val="009128B3"/>
    <w:rsid w:val="00913BEA"/>
    <w:rsid w:val="00917F2A"/>
    <w:rsid w:val="00922EDF"/>
    <w:rsid w:val="00925C93"/>
    <w:rsid w:val="00926432"/>
    <w:rsid w:val="0093138F"/>
    <w:rsid w:val="0093219A"/>
    <w:rsid w:val="00932A8F"/>
    <w:rsid w:val="00933404"/>
    <w:rsid w:val="00943340"/>
    <w:rsid w:val="00944744"/>
    <w:rsid w:val="00947FA5"/>
    <w:rsid w:val="0095003F"/>
    <w:rsid w:val="00962F68"/>
    <w:rsid w:val="00963B6E"/>
    <w:rsid w:val="0096745D"/>
    <w:rsid w:val="0097219A"/>
    <w:rsid w:val="00981AD2"/>
    <w:rsid w:val="00982020"/>
    <w:rsid w:val="009848F2"/>
    <w:rsid w:val="009938B8"/>
    <w:rsid w:val="00994A05"/>
    <w:rsid w:val="00994D6B"/>
    <w:rsid w:val="009A4835"/>
    <w:rsid w:val="009B02A3"/>
    <w:rsid w:val="009C3BB2"/>
    <w:rsid w:val="009C4022"/>
    <w:rsid w:val="009C6B67"/>
    <w:rsid w:val="009D0521"/>
    <w:rsid w:val="009D0E30"/>
    <w:rsid w:val="009D3A6F"/>
    <w:rsid w:val="009D479A"/>
    <w:rsid w:val="009D6661"/>
    <w:rsid w:val="009D7165"/>
    <w:rsid w:val="009E0C30"/>
    <w:rsid w:val="009E23F3"/>
    <w:rsid w:val="009E690F"/>
    <w:rsid w:val="009F09F1"/>
    <w:rsid w:val="009F68F7"/>
    <w:rsid w:val="00A1065E"/>
    <w:rsid w:val="00A110F9"/>
    <w:rsid w:val="00A1240E"/>
    <w:rsid w:val="00A12967"/>
    <w:rsid w:val="00A138D7"/>
    <w:rsid w:val="00A168C4"/>
    <w:rsid w:val="00A17B32"/>
    <w:rsid w:val="00A341E3"/>
    <w:rsid w:val="00A36643"/>
    <w:rsid w:val="00A370E2"/>
    <w:rsid w:val="00A45249"/>
    <w:rsid w:val="00A45CB2"/>
    <w:rsid w:val="00A468DC"/>
    <w:rsid w:val="00A46E86"/>
    <w:rsid w:val="00A53732"/>
    <w:rsid w:val="00A552C4"/>
    <w:rsid w:val="00A56CDE"/>
    <w:rsid w:val="00A606ED"/>
    <w:rsid w:val="00A61854"/>
    <w:rsid w:val="00A65486"/>
    <w:rsid w:val="00A667EE"/>
    <w:rsid w:val="00A77727"/>
    <w:rsid w:val="00A80BE1"/>
    <w:rsid w:val="00A935E5"/>
    <w:rsid w:val="00A97918"/>
    <w:rsid w:val="00AA26B8"/>
    <w:rsid w:val="00AA44B5"/>
    <w:rsid w:val="00AA71B1"/>
    <w:rsid w:val="00AB3AE7"/>
    <w:rsid w:val="00AC4C0B"/>
    <w:rsid w:val="00AD1669"/>
    <w:rsid w:val="00AD2AE9"/>
    <w:rsid w:val="00AD37AB"/>
    <w:rsid w:val="00AE1F85"/>
    <w:rsid w:val="00AE50A9"/>
    <w:rsid w:val="00AF1114"/>
    <w:rsid w:val="00AF3380"/>
    <w:rsid w:val="00AF7D8E"/>
    <w:rsid w:val="00B033BC"/>
    <w:rsid w:val="00B0708D"/>
    <w:rsid w:val="00B07E02"/>
    <w:rsid w:val="00B10CED"/>
    <w:rsid w:val="00B214D7"/>
    <w:rsid w:val="00B33380"/>
    <w:rsid w:val="00B41DBE"/>
    <w:rsid w:val="00B453CE"/>
    <w:rsid w:val="00B469F2"/>
    <w:rsid w:val="00B53A9E"/>
    <w:rsid w:val="00B6419A"/>
    <w:rsid w:val="00B817CF"/>
    <w:rsid w:val="00B91E24"/>
    <w:rsid w:val="00B95E3F"/>
    <w:rsid w:val="00BB0078"/>
    <w:rsid w:val="00BB5183"/>
    <w:rsid w:val="00BC3E12"/>
    <w:rsid w:val="00BD4DA7"/>
    <w:rsid w:val="00BD5DF7"/>
    <w:rsid w:val="00BD69B6"/>
    <w:rsid w:val="00BE731C"/>
    <w:rsid w:val="00BF1316"/>
    <w:rsid w:val="00BF1E90"/>
    <w:rsid w:val="00C05871"/>
    <w:rsid w:val="00C07A8C"/>
    <w:rsid w:val="00C15C34"/>
    <w:rsid w:val="00C22525"/>
    <w:rsid w:val="00C25E10"/>
    <w:rsid w:val="00C32A69"/>
    <w:rsid w:val="00C42F71"/>
    <w:rsid w:val="00C43441"/>
    <w:rsid w:val="00C44969"/>
    <w:rsid w:val="00C47221"/>
    <w:rsid w:val="00C56538"/>
    <w:rsid w:val="00C5684B"/>
    <w:rsid w:val="00C72DFB"/>
    <w:rsid w:val="00C764D5"/>
    <w:rsid w:val="00C82890"/>
    <w:rsid w:val="00C84C2F"/>
    <w:rsid w:val="00C87367"/>
    <w:rsid w:val="00C92014"/>
    <w:rsid w:val="00CA001C"/>
    <w:rsid w:val="00CA1199"/>
    <w:rsid w:val="00CA21DA"/>
    <w:rsid w:val="00CA7FFA"/>
    <w:rsid w:val="00CB58DC"/>
    <w:rsid w:val="00CC03AA"/>
    <w:rsid w:val="00CC04A2"/>
    <w:rsid w:val="00CC07F8"/>
    <w:rsid w:val="00CC3E0D"/>
    <w:rsid w:val="00CC4E04"/>
    <w:rsid w:val="00CD18DF"/>
    <w:rsid w:val="00CD5605"/>
    <w:rsid w:val="00CD694A"/>
    <w:rsid w:val="00CD74E8"/>
    <w:rsid w:val="00CE0383"/>
    <w:rsid w:val="00CE0E27"/>
    <w:rsid w:val="00CE217F"/>
    <w:rsid w:val="00CF0530"/>
    <w:rsid w:val="00CF0E98"/>
    <w:rsid w:val="00CF74EC"/>
    <w:rsid w:val="00D02EA3"/>
    <w:rsid w:val="00D07C01"/>
    <w:rsid w:val="00D13094"/>
    <w:rsid w:val="00D147A0"/>
    <w:rsid w:val="00D2037C"/>
    <w:rsid w:val="00D22B5A"/>
    <w:rsid w:val="00D23462"/>
    <w:rsid w:val="00D24030"/>
    <w:rsid w:val="00D33858"/>
    <w:rsid w:val="00D40645"/>
    <w:rsid w:val="00D42278"/>
    <w:rsid w:val="00D42803"/>
    <w:rsid w:val="00D50412"/>
    <w:rsid w:val="00D5468B"/>
    <w:rsid w:val="00D551B9"/>
    <w:rsid w:val="00D5596B"/>
    <w:rsid w:val="00D56539"/>
    <w:rsid w:val="00D566BC"/>
    <w:rsid w:val="00D57296"/>
    <w:rsid w:val="00D617D8"/>
    <w:rsid w:val="00D65CAD"/>
    <w:rsid w:val="00D66C5D"/>
    <w:rsid w:val="00D66ED0"/>
    <w:rsid w:val="00D84BE5"/>
    <w:rsid w:val="00D90731"/>
    <w:rsid w:val="00D97118"/>
    <w:rsid w:val="00DB4AE0"/>
    <w:rsid w:val="00DB7B7D"/>
    <w:rsid w:val="00DD3D5B"/>
    <w:rsid w:val="00DD4ED3"/>
    <w:rsid w:val="00DE293F"/>
    <w:rsid w:val="00DE6CE1"/>
    <w:rsid w:val="00DF0510"/>
    <w:rsid w:val="00DF13A1"/>
    <w:rsid w:val="00DF1E35"/>
    <w:rsid w:val="00DF2FB4"/>
    <w:rsid w:val="00E02792"/>
    <w:rsid w:val="00E0605E"/>
    <w:rsid w:val="00E12E41"/>
    <w:rsid w:val="00E23375"/>
    <w:rsid w:val="00E364ED"/>
    <w:rsid w:val="00E43F28"/>
    <w:rsid w:val="00E5025A"/>
    <w:rsid w:val="00E5199B"/>
    <w:rsid w:val="00E5642A"/>
    <w:rsid w:val="00E66E69"/>
    <w:rsid w:val="00E73C1A"/>
    <w:rsid w:val="00E75785"/>
    <w:rsid w:val="00E8137F"/>
    <w:rsid w:val="00E86BCA"/>
    <w:rsid w:val="00E9559E"/>
    <w:rsid w:val="00EB31D3"/>
    <w:rsid w:val="00EB6346"/>
    <w:rsid w:val="00EB6EB5"/>
    <w:rsid w:val="00EC0855"/>
    <w:rsid w:val="00ED3556"/>
    <w:rsid w:val="00ED389C"/>
    <w:rsid w:val="00ED3BDA"/>
    <w:rsid w:val="00EE3B7E"/>
    <w:rsid w:val="00EE6A5A"/>
    <w:rsid w:val="00EF0A98"/>
    <w:rsid w:val="00EF0FD1"/>
    <w:rsid w:val="00EF32B6"/>
    <w:rsid w:val="00EF6320"/>
    <w:rsid w:val="00EF750A"/>
    <w:rsid w:val="00F0511C"/>
    <w:rsid w:val="00F115BF"/>
    <w:rsid w:val="00F12BC6"/>
    <w:rsid w:val="00F13DE6"/>
    <w:rsid w:val="00F244BF"/>
    <w:rsid w:val="00F26CCF"/>
    <w:rsid w:val="00F27400"/>
    <w:rsid w:val="00F32081"/>
    <w:rsid w:val="00F43024"/>
    <w:rsid w:val="00F4384A"/>
    <w:rsid w:val="00F463C7"/>
    <w:rsid w:val="00F5081D"/>
    <w:rsid w:val="00F53165"/>
    <w:rsid w:val="00F55B19"/>
    <w:rsid w:val="00F605AB"/>
    <w:rsid w:val="00F61060"/>
    <w:rsid w:val="00F645D6"/>
    <w:rsid w:val="00F7418B"/>
    <w:rsid w:val="00F77123"/>
    <w:rsid w:val="00F87A09"/>
    <w:rsid w:val="00FA03BC"/>
    <w:rsid w:val="00FA394E"/>
    <w:rsid w:val="00FA6A4A"/>
    <w:rsid w:val="00FB037F"/>
    <w:rsid w:val="00FB126F"/>
    <w:rsid w:val="00FB3213"/>
    <w:rsid w:val="00FB55C5"/>
    <w:rsid w:val="00FB6DC9"/>
    <w:rsid w:val="00FB7056"/>
    <w:rsid w:val="00FC3A4D"/>
    <w:rsid w:val="00FE1FE0"/>
    <w:rsid w:val="00FE4DF1"/>
    <w:rsid w:val="00FF32FA"/>
    <w:rsid w:val="00FF3871"/>
    <w:rsid w:val="00FF481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22464"/>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0" w:lineRule="exact"/>
      <w:jc w:val="both"/>
    </w:pPr>
    <w:rPr>
      <w:sz w:val="22"/>
    </w:rPr>
  </w:style>
  <w:style w:type="paragraph" w:styleId="Heading1">
    <w:name w:val="heading 1"/>
    <w:basedOn w:val="Normal"/>
    <w:next w:val="Normal"/>
    <w:link w:val="Heading1Char"/>
    <w:qFormat/>
    <w:rsid w:val="00F61060"/>
    <w:pPr>
      <w:keepNext/>
      <w:numPr>
        <w:numId w:val="5"/>
      </w:numPr>
      <w:spacing w:before="420" w:after="240"/>
      <w:outlineLvl w:val="0"/>
    </w:pPr>
    <w:rPr>
      <w:rFonts w:cs="Arial"/>
      <w:b/>
      <w:bCs/>
      <w:kern w:val="32"/>
      <w:szCs w:val="32"/>
    </w:rPr>
  </w:style>
  <w:style w:type="paragraph" w:styleId="Heading2">
    <w:name w:val="heading 2"/>
    <w:basedOn w:val="Normal"/>
    <w:next w:val="Normal"/>
    <w:link w:val="Heading2Char"/>
    <w:qFormat/>
    <w:rsid w:val="00FA03BC"/>
    <w:pPr>
      <w:keepNext/>
      <w:numPr>
        <w:ilvl w:val="1"/>
        <w:numId w:val="5"/>
      </w:numPr>
      <w:spacing w:before="400" w:after="180"/>
      <w:ind w:right="720"/>
      <w:contextualSpacing/>
      <w:outlineLvl w:val="1"/>
    </w:pPr>
    <w:rPr>
      <w:rFonts w:cs="Arial"/>
      <w:b/>
      <w:bCs/>
      <w:i/>
      <w:iCs/>
      <w:szCs w:val="28"/>
    </w:rPr>
  </w:style>
  <w:style w:type="paragraph" w:styleId="Heading3">
    <w:name w:val="heading 3"/>
    <w:basedOn w:val="Normal"/>
    <w:next w:val="Normal"/>
    <w:link w:val="Heading3Char"/>
    <w:qFormat/>
    <w:rsid w:val="00200467"/>
    <w:pPr>
      <w:numPr>
        <w:ilvl w:val="2"/>
        <w:numId w:val="5"/>
      </w:numPr>
      <w:spacing w:before="320" w:after="180"/>
      <w:outlineLvl w:val="2"/>
    </w:pPr>
    <w:rPr>
      <w:i/>
      <w:szCs w:val="24"/>
    </w:rPr>
  </w:style>
  <w:style w:type="paragraph" w:styleId="Heading4">
    <w:name w:val="heading 4"/>
    <w:basedOn w:val="Normal"/>
    <w:next w:val="Normal"/>
    <w:qFormat/>
    <w:rsid w:val="00AF1114"/>
    <w:pPr>
      <w:keepNext/>
      <w:spacing w:before="240" w:after="60"/>
      <w:outlineLvl w:val="3"/>
    </w:pPr>
    <w:rPr>
      <w:bCs/>
      <w:i/>
      <w:szCs w:val="28"/>
    </w:rPr>
  </w:style>
  <w:style w:type="paragraph" w:styleId="Heading5">
    <w:name w:val="heading 5"/>
    <w:aliases w:val="Subparagraph"/>
    <w:basedOn w:val="Normal"/>
    <w:next w:val="Normal"/>
    <w:qFormat/>
    <w:pPr>
      <w:keepNext/>
      <w:widowControl w:val="0"/>
      <w:spacing w:before="240" w:after="160"/>
      <w:outlineLvl w:val="4"/>
    </w:pPr>
    <w:rPr>
      <w:b/>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pPr>
      <w:tabs>
        <w:tab w:val="left" w:pos="360"/>
      </w:tabs>
      <w:spacing w:line="260" w:lineRule="atLeast"/>
    </w:pPr>
    <w:rPr>
      <w:rFonts w:ascii="Courier New" w:hAnsi="Courier New"/>
      <w:sz w:val="20"/>
    </w:rPr>
  </w:style>
  <w:style w:type="paragraph" w:customStyle="1" w:styleId="ChapterTitle">
    <w:name w:val="Chapter Title"/>
    <w:basedOn w:val="Normal"/>
    <w:rsid w:val="00201FCF"/>
    <w:pPr>
      <w:spacing w:after="440"/>
      <w:ind w:left="720" w:right="720"/>
      <w:jc w:val="center"/>
    </w:pPr>
    <w:rPr>
      <w:b/>
    </w:rPr>
  </w:style>
  <w:style w:type="paragraph" w:customStyle="1" w:styleId="Text">
    <w:name w:val="Text"/>
    <w:basedOn w:val="Normal"/>
    <w:link w:val="TextChar"/>
  </w:style>
  <w:style w:type="paragraph" w:customStyle="1" w:styleId="ChapterNo">
    <w:name w:val="Chapter No"/>
    <w:basedOn w:val="Normal"/>
    <w:rsid w:val="00FB037F"/>
    <w:pPr>
      <w:spacing w:before="920" w:after="320"/>
      <w:jc w:val="center"/>
    </w:pPr>
    <w:rPr>
      <w:b/>
    </w:rPr>
  </w:style>
  <w:style w:type="paragraph" w:styleId="Header">
    <w:name w:val="header"/>
    <w:basedOn w:val="Normal"/>
    <w:semiHidden/>
    <w:pPr>
      <w:tabs>
        <w:tab w:val="center" w:pos="4320"/>
        <w:tab w:val="right" w:pos="8640"/>
      </w:tabs>
    </w:pPr>
    <w:rPr>
      <w:sz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tabs>
        <w:tab w:val="left" w:pos="360"/>
      </w:tabs>
    </w:pPr>
    <w:rPr>
      <w:sz w:val="18"/>
    </w:rPr>
  </w:style>
  <w:style w:type="paragraph" w:customStyle="1" w:styleId="P1title">
    <w:name w:val="P1_title"/>
    <w:basedOn w:val="PlainText"/>
    <w:pPr>
      <w:tabs>
        <w:tab w:val="clear" w:pos="360"/>
      </w:tabs>
      <w:spacing w:before="1000" w:after="480" w:line="240" w:lineRule="auto"/>
      <w:jc w:val="center"/>
    </w:pPr>
    <w:rPr>
      <w:rFonts w:ascii="Times New Roman" w:hAnsi="Times New Roman"/>
      <w:b/>
    </w:rPr>
  </w:style>
  <w:style w:type="character" w:styleId="FootnoteReference">
    <w:name w:val="footnote reference"/>
    <w:semiHidden/>
    <w:rPr>
      <w:vertAlign w:val="superscript"/>
    </w:rPr>
  </w:style>
  <w:style w:type="paragraph" w:styleId="BodyTextIndent">
    <w:name w:val="Body Text Indent"/>
    <w:basedOn w:val="Normal"/>
    <w:semiHidden/>
    <w:pPr>
      <w:spacing w:line="240" w:lineRule="atLeast"/>
      <w:ind w:left="288" w:hanging="288"/>
    </w:pPr>
    <w:rPr>
      <w:sz w:val="18"/>
    </w:rPr>
  </w:style>
  <w:style w:type="character" w:customStyle="1" w:styleId="MTEquationSection">
    <w:name w:val="MTEquationSection"/>
    <w:rPr>
      <w:vanish/>
      <w:color w:val="FF0000"/>
    </w:rPr>
  </w:style>
  <w:style w:type="paragraph" w:styleId="BodyText">
    <w:name w:val="Body Text"/>
    <w:basedOn w:val="Normal"/>
    <w:semiHidden/>
    <w:pPr>
      <w:autoSpaceDE w:val="0"/>
      <w:autoSpaceDN w:val="0"/>
      <w:ind w:firstLine="300"/>
    </w:pPr>
    <w:rPr>
      <w:sz w:val="20"/>
    </w:rPr>
  </w:style>
  <w:style w:type="paragraph" w:customStyle="1" w:styleId="Reference">
    <w:name w:val="Reference"/>
    <w:basedOn w:val="Normal"/>
    <w:pPr>
      <w:numPr>
        <w:numId w:val="4"/>
      </w:numPr>
      <w:tabs>
        <w:tab w:val="left" w:pos="346"/>
      </w:tabs>
      <w:spacing w:line="240" w:lineRule="exact"/>
    </w:pPr>
    <w:rPr>
      <w:sz w:val="18"/>
    </w:rPr>
  </w:style>
  <w:style w:type="paragraph" w:customStyle="1" w:styleId="FigureCaption">
    <w:name w:val="Figure Caption"/>
    <w:basedOn w:val="Normal"/>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
    <w:next w:val="Normal"/>
    <w:autoRedefine/>
    <w:pPr>
      <w:tabs>
        <w:tab w:val="center" w:pos="3600"/>
        <w:tab w:val="right" w:pos="7200"/>
      </w:tabs>
      <w:autoSpaceDE w:val="0"/>
      <w:autoSpaceDN w:val="0"/>
      <w:spacing w:before="120" w:after="120" w:line="240" w:lineRule="auto"/>
    </w:pPr>
  </w:style>
  <w:style w:type="paragraph" w:customStyle="1" w:styleId="BodyText0">
    <w:name w:val="Body Text 0"/>
    <w:basedOn w:val="BodyText"/>
    <w:next w:val="BodyText"/>
    <w:pPr>
      <w:ind w:firstLine="0"/>
    </w:pPr>
  </w:style>
  <w:style w:type="paragraph" w:customStyle="1" w:styleId="Picture">
    <w:name w:val="Picture"/>
    <w:basedOn w:val="Normal"/>
    <w:next w:val="Normal"/>
    <w:pPr>
      <w:keepNext/>
      <w:autoSpaceDE w:val="0"/>
      <w:autoSpaceDN w:val="0"/>
      <w:spacing w:before="160" w:after="160"/>
      <w:jc w:val="center"/>
    </w:pPr>
    <w:rPr>
      <w:sz w:val="20"/>
    </w:rPr>
  </w:style>
  <w:style w:type="paragraph" w:styleId="Caption">
    <w:name w:val="caption"/>
    <w:basedOn w:val="Normal"/>
    <w:next w:val="Normal"/>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List">
    <w:name w:val="List"/>
    <w:aliases w:val="BList"/>
    <w:basedOn w:val="Normal"/>
    <w:semiHidden/>
    <w:pPr>
      <w:numPr>
        <w:numId w:val="2"/>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DocumentMap">
    <w:name w:val="Document Map"/>
    <w:basedOn w:val="Normal"/>
    <w:semiHidden/>
    <w:pPr>
      <w:shd w:val="clear" w:color="auto" w:fill="000080"/>
    </w:pPr>
    <w:rPr>
      <w:rFonts w:ascii="Tahoma" w:hAnsi="Tahoma"/>
    </w:rPr>
  </w:style>
  <w:style w:type="paragraph" w:customStyle="1" w:styleId="Author">
    <w:name w:val="Author"/>
    <w:basedOn w:val="Normal"/>
    <w:pPr>
      <w:spacing w:after="100"/>
      <w:jc w:val="center"/>
    </w:pPr>
    <w:rPr>
      <w:snapToGrid w:val="0"/>
      <w:sz w:val="20"/>
    </w:rPr>
  </w:style>
  <w:style w:type="paragraph" w:customStyle="1" w:styleId="Affiliation">
    <w:name w:val="Affiliation"/>
    <w:basedOn w:val="Normal"/>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
    <w:next w:val="Normal"/>
    <w:pPr>
      <w:widowControl w:val="0"/>
    </w:pPr>
    <w:rPr>
      <w:snapToGrid w:val="0"/>
      <w:sz w:val="20"/>
      <w:lang w:val="x-none"/>
    </w:rPr>
  </w:style>
  <w:style w:type="paragraph" w:styleId="BodyText2">
    <w:name w:val="Body Text 2"/>
    <w:basedOn w:val="Normal"/>
    <w:semiHidden/>
  </w:style>
  <w:style w:type="paragraph" w:customStyle="1" w:styleId="Theorem">
    <w:name w:val="Theorem"/>
    <w:basedOn w:val="Text"/>
    <w:pPr>
      <w:spacing w:before="200" w:after="200"/>
    </w:pPr>
  </w:style>
  <w:style w:type="paragraph" w:customStyle="1" w:styleId="NList">
    <w:name w:val="NList"/>
    <w:basedOn w:val="List"/>
    <w:pPr>
      <w:numPr>
        <w:numId w:val="3"/>
      </w:numPr>
    </w:pPr>
  </w:style>
  <w:style w:type="paragraph" w:customStyle="1" w:styleId="AList">
    <w:name w:val="AList"/>
    <w:basedOn w:val="Normal"/>
    <w:pPr>
      <w:numPr>
        <w:numId w:val="1"/>
      </w:numPr>
      <w:ind w:left="720"/>
    </w:pPr>
  </w:style>
  <w:style w:type="character" w:customStyle="1" w:styleId="Heading1Char">
    <w:name w:val="Heading 1 Char"/>
    <w:link w:val="Heading1"/>
    <w:rsid w:val="00F61060"/>
    <w:rPr>
      <w:rFonts w:cs="Arial"/>
      <w:b/>
      <w:bCs/>
      <w:kern w:val="32"/>
      <w:sz w:val="22"/>
      <w:szCs w:val="32"/>
    </w:rPr>
  </w:style>
  <w:style w:type="character" w:customStyle="1" w:styleId="Heading2Char">
    <w:name w:val="Heading 2 Char"/>
    <w:link w:val="Heading2"/>
    <w:rsid w:val="00FA03BC"/>
    <w:rPr>
      <w:rFonts w:cs="Arial"/>
      <w:b/>
      <w:bCs/>
      <w:i/>
      <w:iCs/>
      <w:sz w:val="22"/>
      <w:szCs w:val="28"/>
    </w:rPr>
  </w:style>
  <w:style w:type="character" w:customStyle="1" w:styleId="Heading3Char">
    <w:name w:val="Heading 3 Char"/>
    <w:link w:val="Heading3"/>
    <w:rsid w:val="00200467"/>
    <w:rPr>
      <w:i/>
      <w:sz w:val="22"/>
      <w:szCs w:val="24"/>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
    <w:link w:val="ReferencesCharChar"/>
    <w:autoRedefine/>
    <w:rsid w:val="002F7330"/>
    <w:pPr>
      <w:spacing w:line="240" w:lineRule="exact"/>
      <w:ind w:left="461" w:hanging="461"/>
    </w:pPr>
    <w:rPr>
      <w:sz w:val="18"/>
      <w:szCs w:val="24"/>
    </w:rPr>
  </w:style>
  <w:style w:type="paragraph" w:customStyle="1" w:styleId="bulletlist">
    <w:name w:val="bullet list"/>
    <w:basedOn w:val="Normal"/>
    <w:rsid w:val="002F7330"/>
    <w:pPr>
      <w:numPr>
        <w:numId w:val="7"/>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
    <w:rsid w:val="002F7330"/>
    <w:pPr>
      <w:spacing w:line="480" w:lineRule="auto"/>
      <w:jc w:val="center"/>
    </w:pPr>
    <w:rPr>
      <w:szCs w:val="24"/>
    </w:rPr>
  </w:style>
  <w:style w:type="character" w:customStyle="1" w:styleId="FootnoteTextChar">
    <w:name w:val="Footnote Text Char"/>
    <w:link w:val="FootnoteText"/>
    <w:semiHidden/>
    <w:rsid w:val="002F7330"/>
    <w:rPr>
      <w:sz w:val="18"/>
    </w:rPr>
  </w:style>
  <w:style w:type="paragraph" w:customStyle="1" w:styleId="alpalist">
    <w:name w:val="alpa list"/>
    <w:basedOn w:val="Text"/>
    <w:rsid w:val="002F7330"/>
    <w:pPr>
      <w:numPr>
        <w:numId w:val="6"/>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8"/>
      </w:numPr>
      <w:spacing w:before="120" w:after="120" w:line="280" w:lineRule="exact"/>
      <w:contextualSpacing/>
      <w:jc w:val="both"/>
    </w:pPr>
    <w:rPr>
      <w:sz w:val="22"/>
    </w:rPr>
  </w:style>
  <w:style w:type="paragraph" w:customStyle="1" w:styleId="Arabiclist">
    <w:name w:val="Arabic list"/>
    <w:basedOn w:val="Normal"/>
    <w:rsid w:val="002F7330"/>
    <w:pPr>
      <w:numPr>
        <w:numId w:val="9"/>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Hyperlink">
    <w:name w:val="Hyperlink"/>
    <w:uiPriority w:val="99"/>
    <w:unhideWhenUsed/>
    <w:rsid w:val="005B238B"/>
    <w:rPr>
      <w:color w:val="0000FF"/>
      <w:u w:val="single"/>
    </w:rPr>
  </w:style>
  <w:style w:type="character" w:styleId="LineNumber">
    <w:name w:val="line number"/>
    <w:basedOn w:val="DefaultParagraphFont"/>
    <w:rsid w:val="00B6419A"/>
  </w:style>
  <w:style w:type="paragraph" w:customStyle="1" w:styleId="AppendixHead">
    <w:name w:val="Appendix Head"/>
    <w:basedOn w:val="Normal"/>
    <w:next w:val="Normal"/>
    <w:rsid w:val="00200467"/>
    <w:pPr>
      <w:numPr>
        <w:numId w:val="10"/>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
    <w:rsid w:val="00CC3E0D"/>
    <w:pPr>
      <w:numPr>
        <w:ilvl w:val="1"/>
      </w:numPr>
      <w:ind w:left="504" w:hanging="504"/>
      <w:outlineLvl w:val="1"/>
    </w:pPr>
  </w:style>
  <w:style w:type="paragraph" w:customStyle="1" w:styleId="Appendix2">
    <w:name w:val="Appendix 2"/>
    <w:basedOn w:val="Appendix1"/>
    <w:next w:val="Normal"/>
    <w:rsid w:val="00200467"/>
    <w:pPr>
      <w:numPr>
        <w:ilvl w:val="2"/>
      </w:numPr>
      <w:spacing w:before="360"/>
      <w:outlineLvl w:val="2"/>
    </w:pPr>
    <w:rPr>
      <w:i/>
    </w:rPr>
  </w:style>
  <w:style w:type="paragraph" w:styleId="BalloonText">
    <w:name w:val="Balloon Text"/>
    <w:basedOn w:val="Normal"/>
    <w:link w:val="BalloonTextChar"/>
    <w:uiPriority w:val="99"/>
    <w:semiHidden/>
    <w:unhideWhenUsed/>
    <w:rsid w:val="00FB6DC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B6DC9"/>
    <w:rPr>
      <w:rFonts w:ascii="Tahoma" w:hAnsi="Tahoma" w:cs="Tahoma"/>
      <w:sz w:val="16"/>
      <w:szCs w:val="16"/>
    </w:rPr>
  </w:style>
  <w:style w:type="paragraph" w:styleId="NormalWeb">
    <w:name w:val="Normal (Web)"/>
    <w:basedOn w:val="Normal"/>
    <w:uiPriority w:val="99"/>
    <w:semiHidden/>
    <w:unhideWhenUsed/>
    <w:rsid w:val="00EB6EB5"/>
    <w:pPr>
      <w:spacing w:before="100" w:beforeAutospacing="1" w:after="100" w:afterAutospacing="1" w:line="240" w:lineRule="auto"/>
      <w:jc w:val="left"/>
    </w:pPr>
    <w:rPr>
      <w:sz w:val="24"/>
      <w:szCs w:val="24"/>
      <w:lang w:val="it-IT" w:eastAsia="it-IT"/>
    </w:rPr>
  </w:style>
  <w:style w:type="character" w:customStyle="1" w:styleId="UnresolvedMention1">
    <w:name w:val="Unresolved Mention1"/>
    <w:basedOn w:val="DefaultParagraphFont"/>
    <w:uiPriority w:val="99"/>
    <w:semiHidden/>
    <w:unhideWhenUsed/>
    <w:rsid w:val="00EB6EB5"/>
    <w:rPr>
      <w:color w:val="605E5C"/>
      <w:shd w:val="clear" w:color="auto" w:fill="E1DFDD"/>
    </w:rPr>
  </w:style>
  <w:style w:type="character" w:customStyle="1" w:styleId="apple-converted-space">
    <w:name w:val="apple-converted-space"/>
    <w:basedOn w:val="DefaultParagraphFont"/>
    <w:rsid w:val="002D29FD"/>
  </w:style>
  <w:style w:type="character" w:styleId="FollowedHyperlink">
    <w:name w:val="FollowedHyperlink"/>
    <w:basedOn w:val="DefaultParagraphFont"/>
    <w:uiPriority w:val="99"/>
    <w:semiHidden/>
    <w:unhideWhenUsed/>
    <w:rsid w:val="00A12967"/>
    <w:rPr>
      <w:color w:val="954F72" w:themeColor="followedHyperlink"/>
      <w:u w:val="single"/>
    </w:rPr>
  </w:style>
  <w:style w:type="table" w:styleId="TableGrid">
    <w:name w:val="Table Grid"/>
    <w:basedOn w:val="TableNormal"/>
    <w:uiPriority w:val="39"/>
    <w:rsid w:val="00FF32FA"/>
    <w:rPr>
      <w:rFonts w:asciiTheme="minorHAnsi" w:eastAsia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er-FigureTable">
    <w:name w:val="Paper - Figure &amp; Table"/>
    <w:basedOn w:val="Normal"/>
    <w:qFormat/>
    <w:rsid w:val="00FF32FA"/>
    <w:pPr>
      <w:spacing w:before="120" w:after="120" w:line="336" w:lineRule="auto"/>
      <w:jc w:val="center"/>
    </w:pPr>
    <w:rPr>
      <w:rFonts w:ascii="Droid Serif" w:eastAsiaTheme="minorHAnsi" w:hAnsi="Droid Serif" w:cstheme="minorBidi"/>
      <w:i/>
      <w:color w:val="595959" w:themeColor="text1" w:themeTint="A6"/>
      <w:szCs w:val="24"/>
    </w:rPr>
  </w:style>
  <w:style w:type="table" w:styleId="PlainTable2">
    <w:name w:val="Plain Table 2"/>
    <w:basedOn w:val="TableNormal"/>
    <w:uiPriority w:val="42"/>
    <w:rsid w:val="0058265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1D43D4"/>
    <w:pPr>
      <w:ind w:left="720"/>
      <w:contextualSpacing/>
    </w:pPr>
  </w:style>
  <w:style w:type="paragraph" w:customStyle="1" w:styleId="Default">
    <w:name w:val="Default"/>
    <w:rsid w:val="003C0291"/>
    <w:pPr>
      <w:autoSpaceDE w:val="0"/>
      <w:autoSpaceDN w:val="0"/>
      <w:adjustRightInd w:val="0"/>
    </w:pPr>
    <w:rPr>
      <w:rFonts w:ascii="Arial" w:hAnsi="Arial" w:cs="Arial"/>
      <w:color w:val="000000"/>
      <w:sz w:val="24"/>
      <w:szCs w:val="24"/>
      <w:lang w:val="en-GB"/>
    </w:rPr>
  </w:style>
  <w:style w:type="character" w:styleId="CommentReference">
    <w:name w:val="annotation reference"/>
    <w:basedOn w:val="DefaultParagraphFont"/>
    <w:uiPriority w:val="99"/>
    <w:semiHidden/>
    <w:unhideWhenUsed/>
    <w:rsid w:val="00E0605E"/>
    <w:rPr>
      <w:sz w:val="16"/>
      <w:szCs w:val="16"/>
    </w:rPr>
  </w:style>
  <w:style w:type="paragraph" w:styleId="CommentText">
    <w:name w:val="annotation text"/>
    <w:basedOn w:val="Normal"/>
    <w:link w:val="CommentTextChar"/>
    <w:uiPriority w:val="99"/>
    <w:unhideWhenUsed/>
    <w:rsid w:val="00E0605E"/>
    <w:pPr>
      <w:spacing w:line="240" w:lineRule="auto"/>
    </w:pPr>
    <w:rPr>
      <w:sz w:val="20"/>
    </w:rPr>
  </w:style>
  <w:style w:type="character" w:customStyle="1" w:styleId="CommentTextChar">
    <w:name w:val="Comment Text Char"/>
    <w:basedOn w:val="DefaultParagraphFont"/>
    <w:link w:val="CommentText"/>
    <w:uiPriority w:val="99"/>
    <w:rsid w:val="00E0605E"/>
  </w:style>
  <w:style w:type="paragraph" w:styleId="CommentSubject">
    <w:name w:val="annotation subject"/>
    <w:basedOn w:val="CommentText"/>
    <w:next w:val="CommentText"/>
    <w:link w:val="CommentSubjectChar"/>
    <w:uiPriority w:val="99"/>
    <w:semiHidden/>
    <w:unhideWhenUsed/>
    <w:rsid w:val="00E0605E"/>
    <w:rPr>
      <w:b/>
      <w:bCs/>
    </w:rPr>
  </w:style>
  <w:style w:type="character" w:customStyle="1" w:styleId="CommentSubjectChar">
    <w:name w:val="Comment Subject Char"/>
    <w:basedOn w:val="CommentTextChar"/>
    <w:link w:val="CommentSubject"/>
    <w:uiPriority w:val="99"/>
    <w:semiHidden/>
    <w:rsid w:val="00E0605E"/>
    <w:rPr>
      <w:b/>
      <w:bCs/>
    </w:rPr>
  </w:style>
  <w:style w:type="character" w:customStyle="1" w:styleId="cit-title">
    <w:name w:val="cit-title"/>
    <w:basedOn w:val="DefaultParagraphFont"/>
    <w:rsid w:val="00095D4A"/>
  </w:style>
  <w:style w:type="character" w:customStyle="1" w:styleId="markedcontent">
    <w:name w:val="markedcontent"/>
    <w:basedOn w:val="DefaultParagraphFont"/>
    <w:rsid w:val="00A606ED"/>
  </w:style>
  <w:style w:type="character" w:styleId="Emphasis">
    <w:name w:val="Emphasis"/>
    <w:basedOn w:val="DefaultParagraphFont"/>
    <w:uiPriority w:val="20"/>
    <w:qFormat/>
    <w:rsid w:val="004932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2725">
      <w:bodyDiv w:val="1"/>
      <w:marLeft w:val="0"/>
      <w:marRight w:val="0"/>
      <w:marTop w:val="0"/>
      <w:marBottom w:val="0"/>
      <w:divBdr>
        <w:top w:val="none" w:sz="0" w:space="0" w:color="auto"/>
        <w:left w:val="none" w:sz="0" w:space="0" w:color="auto"/>
        <w:bottom w:val="none" w:sz="0" w:space="0" w:color="auto"/>
        <w:right w:val="none" w:sz="0" w:space="0" w:color="auto"/>
      </w:divBdr>
    </w:div>
    <w:div w:id="105735105">
      <w:bodyDiv w:val="1"/>
      <w:marLeft w:val="0"/>
      <w:marRight w:val="0"/>
      <w:marTop w:val="0"/>
      <w:marBottom w:val="0"/>
      <w:divBdr>
        <w:top w:val="none" w:sz="0" w:space="0" w:color="auto"/>
        <w:left w:val="none" w:sz="0" w:space="0" w:color="auto"/>
        <w:bottom w:val="none" w:sz="0" w:space="0" w:color="auto"/>
        <w:right w:val="none" w:sz="0" w:space="0" w:color="auto"/>
      </w:divBdr>
    </w:div>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456681561">
      <w:bodyDiv w:val="1"/>
      <w:marLeft w:val="0"/>
      <w:marRight w:val="0"/>
      <w:marTop w:val="0"/>
      <w:marBottom w:val="0"/>
      <w:divBdr>
        <w:top w:val="none" w:sz="0" w:space="0" w:color="auto"/>
        <w:left w:val="none" w:sz="0" w:space="0" w:color="auto"/>
        <w:bottom w:val="none" w:sz="0" w:space="0" w:color="auto"/>
        <w:right w:val="none" w:sz="0" w:space="0" w:color="auto"/>
      </w:divBdr>
      <w:divsChild>
        <w:div w:id="68162589">
          <w:marLeft w:val="0"/>
          <w:marRight w:val="0"/>
          <w:marTop w:val="0"/>
          <w:marBottom w:val="0"/>
          <w:divBdr>
            <w:top w:val="none" w:sz="0" w:space="0" w:color="auto"/>
            <w:left w:val="none" w:sz="0" w:space="0" w:color="auto"/>
            <w:bottom w:val="none" w:sz="0" w:space="0" w:color="auto"/>
            <w:right w:val="none" w:sz="0" w:space="0" w:color="auto"/>
          </w:divBdr>
        </w:div>
      </w:divsChild>
    </w:div>
    <w:div w:id="1157719932">
      <w:bodyDiv w:val="1"/>
      <w:marLeft w:val="0"/>
      <w:marRight w:val="0"/>
      <w:marTop w:val="0"/>
      <w:marBottom w:val="0"/>
      <w:divBdr>
        <w:top w:val="none" w:sz="0" w:space="0" w:color="auto"/>
        <w:left w:val="none" w:sz="0" w:space="0" w:color="auto"/>
        <w:bottom w:val="none" w:sz="0" w:space="0" w:color="auto"/>
        <w:right w:val="none" w:sz="0" w:space="0" w:color="auto"/>
      </w:divBdr>
    </w:div>
    <w:div w:id="1222521625">
      <w:bodyDiv w:val="1"/>
      <w:marLeft w:val="0"/>
      <w:marRight w:val="0"/>
      <w:marTop w:val="0"/>
      <w:marBottom w:val="0"/>
      <w:divBdr>
        <w:top w:val="none" w:sz="0" w:space="0" w:color="auto"/>
        <w:left w:val="none" w:sz="0" w:space="0" w:color="auto"/>
        <w:bottom w:val="none" w:sz="0" w:space="0" w:color="auto"/>
        <w:right w:val="none" w:sz="0" w:space="0" w:color="auto"/>
      </w:divBdr>
    </w:div>
    <w:div w:id="1268008044">
      <w:bodyDiv w:val="1"/>
      <w:marLeft w:val="0"/>
      <w:marRight w:val="0"/>
      <w:marTop w:val="0"/>
      <w:marBottom w:val="0"/>
      <w:divBdr>
        <w:top w:val="none" w:sz="0" w:space="0" w:color="auto"/>
        <w:left w:val="none" w:sz="0" w:space="0" w:color="auto"/>
        <w:bottom w:val="none" w:sz="0" w:space="0" w:color="auto"/>
        <w:right w:val="none" w:sz="0" w:space="0" w:color="auto"/>
      </w:divBdr>
    </w:div>
    <w:div w:id="1278101882">
      <w:bodyDiv w:val="1"/>
      <w:marLeft w:val="0"/>
      <w:marRight w:val="0"/>
      <w:marTop w:val="0"/>
      <w:marBottom w:val="0"/>
      <w:divBdr>
        <w:top w:val="none" w:sz="0" w:space="0" w:color="auto"/>
        <w:left w:val="none" w:sz="0" w:space="0" w:color="auto"/>
        <w:bottom w:val="none" w:sz="0" w:space="0" w:color="auto"/>
        <w:right w:val="none" w:sz="0" w:space="0" w:color="auto"/>
      </w:divBdr>
      <w:divsChild>
        <w:div w:id="1965042272">
          <w:marLeft w:val="0"/>
          <w:marRight w:val="0"/>
          <w:marTop w:val="0"/>
          <w:marBottom w:val="0"/>
          <w:divBdr>
            <w:top w:val="none" w:sz="0" w:space="0" w:color="auto"/>
            <w:left w:val="none" w:sz="0" w:space="0" w:color="auto"/>
            <w:bottom w:val="none" w:sz="0" w:space="0" w:color="auto"/>
            <w:right w:val="none" w:sz="0" w:space="0" w:color="auto"/>
          </w:divBdr>
        </w:div>
      </w:divsChild>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35277">
      <w:bodyDiv w:val="1"/>
      <w:marLeft w:val="0"/>
      <w:marRight w:val="0"/>
      <w:marTop w:val="0"/>
      <w:marBottom w:val="0"/>
      <w:divBdr>
        <w:top w:val="none" w:sz="0" w:space="0" w:color="auto"/>
        <w:left w:val="none" w:sz="0" w:space="0" w:color="auto"/>
        <w:bottom w:val="none" w:sz="0" w:space="0" w:color="auto"/>
        <w:right w:val="none" w:sz="0" w:space="0" w:color="auto"/>
      </w:divBdr>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image" Target="media/image3.png"/><Relationship Id="rId18" Type="http://schemas.openxmlformats.org/officeDocument/2006/relationships/hyperlink" Target="https://cbs.gov.np/"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fao.org/documents/card/en/c/CB8001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said.gov/nepal/agriculture-and-food-securit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esearchgate.net/journal/Journal-of-Medicinal-Plant-Research-1996-0875" TargetMode="External"/><Relationship Id="rId23" Type="http://schemas.openxmlformats.org/officeDocument/2006/relationships/footer" Target="footer1.xml"/><Relationship Id="rId10" Type="http://schemas.openxmlformats.org/officeDocument/2006/relationships/hyperlink" Target="mailto:patrizia.pinelli@unifi.it" TargetMode="External"/><Relationship Id="rId19" Type="http://schemas.openxmlformats.org/officeDocument/2006/relationships/hyperlink" Target="https://www.mof.gov.np/" TargetMode="External"/><Relationship Id="rId4" Type="http://schemas.openxmlformats.org/officeDocument/2006/relationships/settings" Target="settings.xml"/><Relationship Id="rId9" Type="http://schemas.openxmlformats.org/officeDocument/2006/relationships/hyperlink" Target="mailto:&#231;vittoria.vineis@arcolab.org" TargetMode="External"/><Relationship Id="rId14" Type="http://schemas.openxmlformats.org/officeDocument/2006/relationships/hyperlink" Target="http://citeseerx.ist.psu.edu/viewdoc/download?doi=10.1.1.1076.1691&amp;rep=rep1&amp;type=pdf"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usaid.gov/nepal/agriculture-and-food-secur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3C034-B83E-40AA-B44C-C3F866030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ws-rv961x669_word</Template>
  <TotalTime>0</TotalTime>
  <Pages>8</Pages>
  <Words>2525</Words>
  <Characters>14399</Characters>
  <Application>Microsoft Office Word</Application>
  <DocSecurity>0</DocSecurity>
  <Lines>119</Lines>
  <Paragraphs>33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Manager/>
  <Company/>
  <LinksUpToDate>false</LinksUpToDate>
  <CharactersWithSpaces>16891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patrizia pinelli</cp:lastModifiedBy>
  <cp:revision>4</cp:revision>
  <cp:lastPrinted>2015-09-03T03:20:00Z</cp:lastPrinted>
  <dcterms:created xsi:type="dcterms:W3CDTF">2022-06-23T15:01:00Z</dcterms:created>
  <dcterms:modified xsi:type="dcterms:W3CDTF">2022-06-23T15:56:00Z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