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54" w:rsidRDefault="006A3890">
      <w:pPr>
        <w:pBdr>
          <w:top w:val="nil"/>
          <w:left w:val="nil"/>
          <w:bottom w:val="nil"/>
          <w:right w:val="nil"/>
          <w:between w:val="nil"/>
        </w:pBdr>
        <w:tabs>
          <w:tab w:val="left" w:pos="5812"/>
          <w:tab w:val="left" w:pos="5954"/>
          <w:tab w:val="left" w:pos="6096"/>
          <w:tab w:val="left" w:pos="6237"/>
        </w:tabs>
        <w:spacing w:line="240" w:lineRule="auto"/>
        <w:ind w:right="-28"/>
        <w:jc w:val="left"/>
        <w:rPr>
          <w:b/>
          <w:color w:val="FF0000"/>
          <w:sz w:val="28"/>
          <w:szCs w:val="28"/>
        </w:rPr>
      </w:pPr>
      <w:r>
        <w:rPr>
          <w:b/>
          <w:color w:val="000000"/>
          <w:sz w:val="28"/>
          <w:szCs w:val="28"/>
        </w:rPr>
        <w:t xml:space="preserve">Chapter N </w:t>
      </w:r>
    </w:p>
    <w:p w:rsidR="00DA3254" w:rsidRPr="00DA3254" w:rsidRDefault="00DA3254">
      <w:pPr>
        <w:pBdr>
          <w:top w:val="nil"/>
          <w:left w:val="nil"/>
          <w:bottom w:val="nil"/>
          <w:right w:val="nil"/>
          <w:between w:val="nil"/>
        </w:pBdr>
        <w:tabs>
          <w:tab w:val="left" w:pos="5812"/>
          <w:tab w:val="left" w:pos="5954"/>
          <w:tab w:val="left" w:pos="6096"/>
          <w:tab w:val="left" w:pos="6237"/>
        </w:tabs>
        <w:spacing w:line="240" w:lineRule="auto"/>
        <w:ind w:right="-28"/>
        <w:jc w:val="left"/>
        <w:rPr>
          <w:b/>
          <w:color w:val="FF0000"/>
          <w:sz w:val="28"/>
          <w:szCs w:val="28"/>
        </w:rPr>
      </w:pPr>
      <w:bookmarkStart w:id="0" w:name="_GoBack"/>
      <w:bookmarkEnd w:id="0"/>
    </w:p>
    <w:p w:rsidR="00F25E58" w:rsidRDefault="006A3890">
      <w:pPr>
        <w:pBdr>
          <w:top w:val="nil"/>
          <w:left w:val="nil"/>
          <w:bottom w:val="nil"/>
          <w:right w:val="nil"/>
          <w:between w:val="nil"/>
        </w:pBdr>
        <w:tabs>
          <w:tab w:val="left" w:pos="5812"/>
          <w:tab w:val="left" w:pos="5954"/>
          <w:tab w:val="left" w:pos="6096"/>
          <w:tab w:val="left" w:pos="6237"/>
        </w:tabs>
        <w:spacing w:line="240" w:lineRule="auto"/>
        <w:ind w:right="-28"/>
        <w:jc w:val="center"/>
        <w:rPr>
          <w:b/>
          <w:color w:val="000000"/>
          <w:sz w:val="28"/>
          <w:szCs w:val="28"/>
        </w:rPr>
      </w:pPr>
      <w:r>
        <w:rPr>
          <w:b/>
          <w:color w:val="000000"/>
          <w:sz w:val="28"/>
          <w:szCs w:val="28"/>
        </w:rPr>
        <w:t xml:space="preserve">Sweet chestnut fractions from sustainable circular process for the control of </w:t>
      </w:r>
      <w:proofErr w:type="spellStart"/>
      <w:r>
        <w:rPr>
          <w:b/>
          <w:color w:val="000000"/>
          <w:sz w:val="28"/>
          <w:szCs w:val="28"/>
        </w:rPr>
        <w:t>phytopathogenic</w:t>
      </w:r>
      <w:proofErr w:type="spellEnd"/>
      <w:r>
        <w:rPr>
          <w:b/>
          <w:color w:val="000000"/>
          <w:sz w:val="28"/>
          <w:szCs w:val="28"/>
        </w:rPr>
        <w:t xml:space="preserve"> oomycetes</w:t>
      </w:r>
    </w:p>
    <w:p w:rsidR="00F25E58" w:rsidRDefault="00F25E58">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rsidR="00F25E58" w:rsidRPr="005F0EB7" w:rsidRDefault="006A3890">
      <w:pPr>
        <w:pBdr>
          <w:top w:val="nil"/>
          <w:left w:val="nil"/>
          <w:bottom w:val="nil"/>
          <w:right w:val="nil"/>
          <w:between w:val="nil"/>
        </w:pBdr>
        <w:spacing w:after="100" w:line="276" w:lineRule="auto"/>
        <w:jc w:val="center"/>
        <w:rPr>
          <w:color w:val="000000"/>
          <w:sz w:val="32"/>
          <w:szCs w:val="32"/>
          <w:lang w:val="it-IT"/>
        </w:rPr>
      </w:pPr>
      <w:r w:rsidRPr="005F0EB7">
        <w:rPr>
          <w:color w:val="000000"/>
          <w:sz w:val="24"/>
          <w:szCs w:val="24"/>
          <w:lang w:val="it-IT"/>
        </w:rPr>
        <w:t>Gabriele Simone</w:t>
      </w:r>
      <w:r w:rsidRPr="005F0EB7">
        <w:rPr>
          <w:color w:val="000000"/>
          <w:sz w:val="24"/>
          <w:szCs w:val="24"/>
          <w:vertAlign w:val="superscript"/>
          <w:lang w:val="it-IT"/>
        </w:rPr>
        <w:t>1</w:t>
      </w:r>
      <w:r w:rsidRPr="005F0EB7">
        <w:rPr>
          <w:color w:val="000000"/>
          <w:sz w:val="24"/>
          <w:szCs w:val="24"/>
          <w:lang w:val="it-IT"/>
        </w:rPr>
        <w:t>, Margherita Campo</w:t>
      </w:r>
      <w:r w:rsidRPr="005F0EB7">
        <w:rPr>
          <w:color w:val="000000"/>
          <w:sz w:val="24"/>
          <w:szCs w:val="24"/>
          <w:vertAlign w:val="superscript"/>
          <w:lang w:val="it-IT"/>
        </w:rPr>
        <w:t>2</w:t>
      </w:r>
      <w:r w:rsidRPr="005F0EB7">
        <w:rPr>
          <w:color w:val="000000"/>
          <w:sz w:val="24"/>
          <w:szCs w:val="24"/>
          <w:lang w:val="it-IT"/>
        </w:rPr>
        <w:t>, Silvia Urciuoli</w:t>
      </w:r>
      <w:r w:rsidRPr="005F0EB7">
        <w:rPr>
          <w:color w:val="000000"/>
          <w:sz w:val="24"/>
          <w:szCs w:val="24"/>
          <w:vertAlign w:val="superscript"/>
          <w:lang w:val="it-IT"/>
        </w:rPr>
        <w:t>2</w:t>
      </w:r>
      <w:r w:rsidRPr="005F0EB7">
        <w:rPr>
          <w:color w:val="000000"/>
          <w:sz w:val="24"/>
          <w:szCs w:val="24"/>
          <w:lang w:val="it-IT"/>
        </w:rPr>
        <w:t>, Annalisa Romani</w:t>
      </w:r>
      <w:r w:rsidRPr="005F0EB7">
        <w:rPr>
          <w:b/>
          <w:color w:val="000000"/>
          <w:sz w:val="24"/>
          <w:szCs w:val="24"/>
          <w:vertAlign w:val="superscript"/>
          <w:lang w:val="it-IT"/>
        </w:rPr>
        <w:t>†</w:t>
      </w:r>
    </w:p>
    <w:p w:rsidR="00F25E58" w:rsidRDefault="006A3890">
      <w:pPr>
        <w:pBdr>
          <w:top w:val="nil"/>
          <w:left w:val="nil"/>
          <w:bottom w:val="nil"/>
          <w:right w:val="nil"/>
          <w:between w:val="nil"/>
        </w:pBdr>
        <w:spacing w:after="240" w:line="276" w:lineRule="auto"/>
        <w:jc w:val="center"/>
        <w:rPr>
          <w:i/>
          <w:color w:val="000000"/>
          <w:sz w:val="20"/>
          <w:szCs w:val="20"/>
        </w:rPr>
      </w:pPr>
      <w:r>
        <w:rPr>
          <w:i/>
          <w:color w:val="000000"/>
          <w:sz w:val="20"/>
          <w:szCs w:val="20"/>
          <w:vertAlign w:val="superscript"/>
        </w:rPr>
        <w:t>1</w:t>
      </w:r>
      <w:r>
        <w:rPr>
          <w:i/>
          <w:color w:val="000000"/>
          <w:sz w:val="20"/>
          <w:szCs w:val="20"/>
        </w:rPr>
        <w:t xml:space="preserve">INSTM - National Interuniversity Consortium of Materials Science and Technology, Via Giuseppe </w:t>
      </w:r>
      <w:proofErr w:type="spellStart"/>
      <w:r>
        <w:rPr>
          <w:i/>
          <w:color w:val="000000"/>
          <w:sz w:val="20"/>
          <w:szCs w:val="20"/>
        </w:rPr>
        <w:t>Giusti</w:t>
      </w:r>
      <w:proofErr w:type="spellEnd"/>
      <w:r>
        <w:rPr>
          <w:i/>
          <w:color w:val="000000"/>
          <w:sz w:val="20"/>
          <w:szCs w:val="20"/>
        </w:rPr>
        <w:t>, 9, 50121 Florence, Italy</w:t>
      </w:r>
    </w:p>
    <w:p w:rsidR="00F25E58" w:rsidRDefault="006A3890">
      <w:pPr>
        <w:spacing w:line="276" w:lineRule="auto"/>
        <w:jc w:val="center"/>
        <w:rPr>
          <w:i/>
          <w:color w:val="000000"/>
          <w:sz w:val="20"/>
          <w:szCs w:val="20"/>
        </w:rPr>
      </w:pPr>
      <w:proofErr w:type="gramStart"/>
      <w:r>
        <w:rPr>
          <w:i/>
          <w:color w:val="000000"/>
          <w:sz w:val="20"/>
          <w:szCs w:val="20"/>
          <w:vertAlign w:val="superscript"/>
        </w:rPr>
        <w:t>2</w:t>
      </w:r>
      <w:proofErr w:type="gramEnd"/>
      <w:r>
        <w:rPr>
          <w:i/>
          <w:color w:val="000000"/>
          <w:sz w:val="20"/>
          <w:szCs w:val="20"/>
        </w:rPr>
        <w:t xml:space="preserve"> </w:t>
      </w:r>
      <w:proofErr w:type="spellStart"/>
      <w:r>
        <w:rPr>
          <w:i/>
          <w:color w:val="000000"/>
          <w:sz w:val="20"/>
          <w:szCs w:val="20"/>
        </w:rPr>
        <w:t>DiSIA-Phytolab</w:t>
      </w:r>
      <w:proofErr w:type="spellEnd"/>
      <w:r>
        <w:rPr>
          <w:i/>
          <w:color w:val="000000"/>
          <w:sz w:val="20"/>
          <w:szCs w:val="20"/>
        </w:rPr>
        <w:t xml:space="preserve"> – University of Florence, </w:t>
      </w:r>
      <w:proofErr w:type="spellStart"/>
      <w:r>
        <w:rPr>
          <w:i/>
          <w:color w:val="000000"/>
          <w:sz w:val="20"/>
          <w:szCs w:val="20"/>
        </w:rPr>
        <w:t>V.le</w:t>
      </w:r>
      <w:proofErr w:type="spellEnd"/>
      <w:r>
        <w:rPr>
          <w:i/>
          <w:color w:val="000000"/>
          <w:sz w:val="20"/>
          <w:szCs w:val="20"/>
        </w:rPr>
        <w:t xml:space="preserve"> </w:t>
      </w:r>
      <w:r>
        <w:rPr>
          <w:i/>
          <w:sz w:val="20"/>
          <w:szCs w:val="20"/>
        </w:rPr>
        <w:t xml:space="preserve">G.B. </w:t>
      </w:r>
      <w:r>
        <w:rPr>
          <w:i/>
          <w:color w:val="000000"/>
          <w:sz w:val="20"/>
          <w:szCs w:val="20"/>
        </w:rPr>
        <w:t>Morgagni, 59, 50134 Florence, Italy</w:t>
      </w:r>
    </w:p>
    <w:p w:rsidR="00F25E58" w:rsidRDefault="00F25E58">
      <w:pPr>
        <w:spacing w:line="276" w:lineRule="auto"/>
        <w:jc w:val="center"/>
        <w:rPr>
          <w:i/>
          <w:sz w:val="20"/>
          <w:szCs w:val="20"/>
        </w:rPr>
      </w:pPr>
    </w:p>
    <w:p w:rsidR="00F25E58" w:rsidRDefault="006A3890">
      <w:pPr>
        <w:pBdr>
          <w:top w:val="nil"/>
          <w:left w:val="nil"/>
          <w:bottom w:val="nil"/>
          <w:right w:val="nil"/>
          <w:between w:val="nil"/>
        </w:pBdr>
        <w:spacing w:after="240" w:line="276" w:lineRule="auto"/>
        <w:jc w:val="center"/>
        <w:rPr>
          <w:i/>
          <w:color w:val="000000"/>
          <w:sz w:val="20"/>
          <w:szCs w:val="20"/>
        </w:rPr>
      </w:pPr>
      <w:r>
        <w:rPr>
          <w:i/>
          <w:color w:val="000000"/>
          <w:sz w:val="20"/>
          <w:szCs w:val="20"/>
          <w:vertAlign w:val="superscript"/>
        </w:rPr>
        <w:t>1</w:t>
      </w:r>
      <w:r>
        <w:rPr>
          <w:i/>
          <w:color w:val="000000"/>
          <w:sz w:val="20"/>
          <w:szCs w:val="20"/>
        </w:rPr>
        <w:t xml:space="preserve">gabriele.s@hotmail.it, ORCID 0000-0003-1962-9477; </w:t>
      </w:r>
      <w:r>
        <w:rPr>
          <w:i/>
          <w:color w:val="000000"/>
          <w:sz w:val="20"/>
          <w:szCs w:val="20"/>
          <w:vertAlign w:val="superscript"/>
        </w:rPr>
        <w:t>2</w:t>
      </w:r>
      <w:r>
        <w:rPr>
          <w:i/>
          <w:color w:val="000000"/>
          <w:sz w:val="20"/>
          <w:szCs w:val="20"/>
        </w:rPr>
        <w:t>margherita.campo@unifi.it, ORCID 0000-0002-5790-2262;</w:t>
      </w:r>
      <w:r>
        <w:rPr>
          <w:i/>
          <w:color w:val="000000"/>
          <w:sz w:val="20"/>
          <w:szCs w:val="20"/>
          <w:vertAlign w:val="superscript"/>
        </w:rPr>
        <w:t xml:space="preserve"> 2</w:t>
      </w:r>
      <w:r>
        <w:rPr>
          <w:i/>
          <w:color w:val="000000"/>
          <w:sz w:val="20"/>
          <w:szCs w:val="20"/>
        </w:rPr>
        <w:t>silvia.urciuoli@unifi.it, ORCID 0000-0001-8139-3229</w:t>
      </w:r>
    </w:p>
    <w:p w:rsidR="00F25E58" w:rsidRDefault="006A3890">
      <w:pPr>
        <w:pBdr>
          <w:top w:val="nil"/>
          <w:left w:val="nil"/>
          <w:bottom w:val="nil"/>
          <w:right w:val="nil"/>
          <w:between w:val="nil"/>
        </w:pBdr>
        <w:spacing w:after="240" w:line="276" w:lineRule="auto"/>
        <w:rPr>
          <w:b/>
          <w:color w:val="000000"/>
        </w:rPr>
      </w:pPr>
      <w:r>
        <w:rPr>
          <w:i/>
          <w:color w:val="000000"/>
          <w:sz w:val="20"/>
          <w:szCs w:val="20"/>
        </w:rPr>
        <w:t>Corresponding author: Margherita Campo, margherita.campo@unifi.it</w:t>
      </w:r>
      <w:r>
        <w:rPr>
          <w:noProof/>
          <w:lang w:val="it-IT"/>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0" cy="19050"/>
                <wp:effectExtent l="0" t="0" r="0" b="0"/>
                <wp:wrapNone/>
                <wp:docPr id="60" name=""/>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6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F25E58" w:rsidRDefault="006A3890">
      <w:pPr>
        <w:pBdr>
          <w:top w:val="single" w:sz="8" w:space="2" w:color="000000"/>
          <w:left w:val="nil"/>
          <w:bottom w:val="single" w:sz="8" w:space="2" w:color="000000"/>
          <w:right w:val="nil"/>
          <w:between w:val="nil"/>
        </w:pBdr>
        <w:tabs>
          <w:tab w:val="right" w:pos="6480"/>
          <w:tab w:val="left" w:pos="6379"/>
        </w:tabs>
        <w:spacing w:line="276" w:lineRule="auto"/>
        <w:ind w:right="-30"/>
        <w:rPr>
          <w:b/>
          <w:color w:val="000000"/>
        </w:rPr>
      </w:pPr>
      <w:r>
        <w:rPr>
          <w:b/>
          <w:color w:val="000000"/>
        </w:rPr>
        <w:t>Abstract.</w:t>
      </w:r>
      <w:r>
        <w:rPr>
          <w:color w:val="000000"/>
        </w:rPr>
        <w:t xml:space="preserve"> </w:t>
      </w:r>
      <w:r>
        <w:rPr>
          <w:color w:val="000000"/>
          <w:sz w:val="20"/>
          <w:szCs w:val="20"/>
        </w:rPr>
        <w:t>O</w:t>
      </w:r>
      <w:r>
        <w:rPr>
          <w:color w:val="000000"/>
        </w:rPr>
        <w:t xml:space="preserve">ne natural, sustainable extract of </w:t>
      </w:r>
      <w:proofErr w:type="spellStart"/>
      <w:r>
        <w:rPr>
          <w:i/>
          <w:color w:val="000000"/>
        </w:rPr>
        <w:t>Castanea</w:t>
      </w:r>
      <w:proofErr w:type="spellEnd"/>
      <w:r>
        <w:rPr>
          <w:i/>
          <w:color w:val="000000"/>
        </w:rPr>
        <w:t xml:space="preserve"> sativa</w:t>
      </w:r>
      <w:r>
        <w:rPr>
          <w:color w:val="000000"/>
        </w:rPr>
        <w:t xml:space="preserve"> Mill. </w:t>
      </w:r>
      <w:proofErr w:type="gramStart"/>
      <w:r>
        <w:rPr>
          <w:color w:val="000000"/>
        </w:rPr>
        <w:t>was</w:t>
      </w:r>
      <w:proofErr w:type="gramEnd"/>
      <w:r>
        <w:rPr>
          <w:color w:val="000000"/>
        </w:rPr>
        <w:t xml:space="preserve"> tested for </w:t>
      </w:r>
      <w:r>
        <w:rPr>
          <w:i/>
          <w:color w:val="000000"/>
        </w:rPr>
        <w:t>in vitro</w:t>
      </w:r>
      <w:r>
        <w:rPr>
          <w:color w:val="000000"/>
        </w:rPr>
        <w:t xml:space="preserve"> antimicrobial activity against three </w:t>
      </w:r>
      <w:proofErr w:type="spellStart"/>
      <w:r>
        <w:rPr>
          <w:color w:val="000000"/>
        </w:rPr>
        <w:t>phytopathogenic</w:t>
      </w:r>
      <w:proofErr w:type="spellEnd"/>
      <w:r>
        <w:rPr>
          <w:color w:val="000000"/>
        </w:rPr>
        <w:t xml:space="preserve"> oomycetes of agronomic interest: </w:t>
      </w:r>
      <w:r>
        <w:rPr>
          <w:i/>
          <w:color w:val="000000"/>
        </w:rPr>
        <w:t xml:space="preserve">Pythium </w:t>
      </w:r>
      <w:proofErr w:type="spellStart"/>
      <w:r>
        <w:rPr>
          <w:i/>
          <w:color w:val="000000"/>
        </w:rPr>
        <w:t>dissotocum</w:t>
      </w:r>
      <w:proofErr w:type="spellEnd"/>
      <w:r>
        <w:rPr>
          <w:color w:val="000000"/>
        </w:rPr>
        <w:t xml:space="preserve">, </w:t>
      </w:r>
      <w:r>
        <w:rPr>
          <w:i/>
          <w:color w:val="000000"/>
        </w:rPr>
        <w:t xml:space="preserve">P. </w:t>
      </w:r>
      <w:proofErr w:type="spellStart"/>
      <w:r>
        <w:rPr>
          <w:i/>
          <w:color w:val="000000"/>
        </w:rPr>
        <w:t>sylvaticum</w:t>
      </w:r>
      <w:proofErr w:type="spellEnd"/>
      <w:r>
        <w:rPr>
          <w:color w:val="000000"/>
        </w:rPr>
        <w:t xml:space="preserve"> and </w:t>
      </w:r>
      <w:r>
        <w:rPr>
          <w:i/>
          <w:color w:val="000000"/>
        </w:rPr>
        <w:t xml:space="preserve">P. </w:t>
      </w:r>
      <w:proofErr w:type="spellStart"/>
      <w:r>
        <w:rPr>
          <w:i/>
          <w:color w:val="000000"/>
        </w:rPr>
        <w:t>ultimum</w:t>
      </w:r>
      <w:proofErr w:type="spellEnd"/>
      <w:r>
        <w:rPr>
          <w:color w:val="000000"/>
        </w:rPr>
        <w:t xml:space="preserve">. The extract </w:t>
      </w:r>
      <w:proofErr w:type="gramStart"/>
      <w:r>
        <w:rPr>
          <w:color w:val="000000"/>
        </w:rPr>
        <w:t>is obtained</w:t>
      </w:r>
      <w:proofErr w:type="gramEnd"/>
      <w:r>
        <w:rPr>
          <w:color w:val="000000"/>
        </w:rPr>
        <w:t xml:space="preserve"> from chestnut culture waste by hot water extraction and membrane fractionation/concentration. The HPLC-DAD-MS chemical characterization of bioactive secondary metabolites highlighted the presence of </w:t>
      </w:r>
      <w:proofErr w:type="spellStart"/>
      <w:proofErr w:type="gramStart"/>
      <w:r>
        <w:rPr>
          <w:color w:val="000000"/>
        </w:rPr>
        <w:t>gallic</w:t>
      </w:r>
      <w:proofErr w:type="spellEnd"/>
      <w:proofErr w:type="gramEnd"/>
      <w:r>
        <w:rPr>
          <w:color w:val="000000"/>
        </w:rPr>
        <w:t xml:space="preserve"> and </w:t>
      </w:r>
      <w:proofErr w:type="spellStart"/>
      <w:r>
        <w:rPr>
          <w:color w:val="000000"/>
        </w:rPr>
        <w:t>ellagic</w:t>
      </w:r>
      <w:proofErr w:type="spellEnd"/>
      <w:r>
        <w:rPr>
          <w:color w:val="000000"/>
        </w:rPr>
        <w:t xml:space="preserve"> hydrolysable tannins (26.0% </w:t>
      </w:r>
      <w:r>
        <w:rPr>
          <w:i/>
          <w:color w:val="000000"/>
        </w:rPr>
        <w:t>vs</w:t>
      </w:r>
      <w:r>
        <w:rPr>
          <w:color w:val="000000"/>
        </w:rPr>
        <w:t xml:space="preserve"> weight of powder), with a prevalence of </w:t>
      </w:r>
      <w:proofErr w:type="spellStart"/>
      <w:r>
        <w:rPr>
          <w:color w:val="000000"/>
        </w:rPr>
        <w:t>vescalagin</w:t>
      </w:r>
      <w:proofErr w:type="spellEnd"/>
      <w:r>
        <w:rPr>
          <w:color w:val="000000"/>
        </w:rPr>
        <w:t xml:space="preserve"> and </w:t>
      </w:r>
      <w:proofErr w:type="spellStart"/>
      <w:r>
        <w:rPr>
          <w:color w:val="000000"/>
        </w:rPr>
        <w:t>castalagin</w:t>
      </w:r>
      <w:proofErr w:type="spellEnd"/>
      <w:r>
        <w:rPr>
          <w:color w:val="000000"/>
        </w:rPr>
        <w:t xml:space="preserve"> (4.8% and 9.8%). The extract showed a good inhibition of the mycelial growth, in particular for </w:t>
      </w:r>
      <w:r>
        <w:rPr>
          <w:i/>
          <w:color w:val="000000"/>
        </w:rPr>
        <w:t xml:space="preserve">P. </w:t>
      </w:r>
      <w:proofErr w:type="spellStart"/>
      <w:r>
        <w:rPr>
          <w:i/>
          <w:color w:val="000000"/>
        </w:rPr>
        <w:t>sylvaticum</w:t>
      </w:r>
      <w:proofErr w:type="spellEnd"/>
      <w:r>
        <w:rPr>
          <w:color w:val="000000"/>
        </w:rPr>
        <w:t xml:space="preserve">, for which an inhibition of 79.4% with 0.1% w/V extract </w:t>
      </w:r>
      <w:proofErr w:type="gramStart"/>
      <w:r>
        <w:rPr>
          <w:color w:val="000000"/>
        </w:rPr>
        <w:t>was observed</w:t>
      </w:r>
      <w:proofErr w:type="gramEnd"/>
      <w:r>
        <w:rPr>
          <w:color w:val="000000"/>
        </w:rPr>
        <w:t xml:space="preserve">. For </w:t>
      </w:r>
      <w:r>
        <w:rPr>
          <w:i/>
          <w:color w:val="000000"/>
        </w:rPr>
        <w:t xml:space="preserve">P. </w:t>
      </w:r>
      <w:proofErr w:type="spellStart"/>
      <w:r>
        <w:rPr>
          <w:i/>
          <w:color w:val="000000"/>
        </w:rPr>
        <w:t>dissotocum</w:t>
      </w:r>
      <w:proofErr w:type="spellEnd"/>
      <w:r>
        <w:rPr>
          <w:i/>
          <w:color w:val="000000"/>
        </w:rPr>
        <w:t xml:space="preserve"> </w:t>
      </w:r>
      <w:r>
        <w:rPr>
          <w:color w:val="000000"/>
        </w:rPr>
        <w:t xml:space="preserve">and </w:t>
      </w:r>
      <w:proofErr w:type="gramStart"/>
      <w:r>
        <w:rPr>
          <w:i/>
          <w:color w:val="000000"/>
        </w:rPr>
        <w:t>P.</w:t>
      </w:r>
      <w:proofErr w:type="gramEnd"/>
      <w:r>
        <w:rPr>
          <w:i/>
          <w:color w:val="000000"/>
        </w:rPr>
        <w:t xml:space="preserve"> </w:t>
      </w:r>
      <w:proofErr w:type="spellStart"/>
      <w:r>
        <w:rPr>
          <w:i/>
          <w:color w:val="000000"/>
        </w:rPr>
        <w:t>ultimum</w:t>
      </w:r>
      <w:proofErr w:type="spellEnd"/>
      <w:r>
        <w:rPr>
          <w:color w:val="000000"/>
        </w:rPr>
        <w:t xml:space="preserve"> the inhibition was 57.1% and 56.5% respectively, at 0.1% extract. Furthermore, in all tests a different phenotype (more lax mycelium) </w:t>
      </w:r>
      <w:proofErr w:type="gramStart"/>
      <w:r>
        <w:rPr>
          <w:color w:val="000000"/>
        </w:rPr>
        <w:t>was observed</w:t>
      </w:r>
      <w:proofErr w:type="gramEnd"/>
      <w:r>
        <w:rPr>
          <w:color w:val="000000"/>
        </w:rPr>
        <w:t>. These evidences</w:t>
      </w:r>
      <w:r>
        <w:t xml:space="preserve"> </w:t>
      </w:r>
      <w:r>
        <w:rPr>
          <w:color w:val="000000"/>
        </w:rPr>
        <w:t xml:space="preserve">could open perspectives for using sweet chestnut tannins for the contrast of </w:t>
      </w:r>
      <w:proofErr w:type="spellStart"/>
      <w:r>
        <w:rPr>
          <w:color w:val="000000"/>
        </w:rPr>
        <w:t>phytopathogenic</w:t>
      </w:r>
      <w:proofErr w:type="spellEnd"/>
      <w:r>
        <w:rPr>
          <w:color w:val="000000"/>
        </w:rPr>
        <w:t xml:space="preserve"> </w:t>
      </w:r>
      <w:r>
        <w:rPr>
          <w:i/>
          <w:color w:val="000000"/>
        </w:rPr>
        <w:t>Pythium</w:t>
      </w:r>
      <w:r>
        <w:rPr>
          <w:color w:val="000000"/>
        </w:rPr>
        <w:t>, e.g. in sowing substrates or for crops bio-</w:t>
      </w:r>
      <w:proofErr w:type="spellStart"/>
      <w:r>
        <w:rPr>
          <w:color w:val="000000"/>
        </w:rPr>
        <w:t>defence</w:t>
      </w:r>
      <w:proofErr w:type="spellEnd"/>
      <w:r>
        <w:rPr>
          <w:color w:val="000000"/>
        </w:rPr>
        <w:t xml:space="preserve">, or even in substrates for hydroponic crops, given the dependence of </w:t>
      </w:r>
      <w:r>
        <w:rPr>
          <w:i/>
          <w:color w:val="000000"/>
        </w:rPr>
        <w:t>Pythium</w:t>
      </w:r>
      <w:r>
        <w:rPr>
          <w:color w:val="000000"/>
        </w:rPr>
        <w:t xml:space="preserve"> spp. on aquatic environments. This study is in line with the growing interest towards eco-sustainable solutions for reducing chemical inputs in agriculture. </w:t>
      </w:r>
    </w:p>
    <w:p w:rsidR="00F25E58" w:rsidRDefault="00F25E58">
      <w:pPr>
        <w:pBdr>
          <w:top w:val="single" w:sz="8" w:space="2" w:color="000000"/>
          <w:left w:val="nil"/>
          <w:bottom w:val="single" w:sz="8" w:space="2" w:color="000000"/>
          <w:right w:val="nil"/>
          <w:between w:val="nil"/>
        </w:pBdr>
        <w:tabs>
          <w:tab w:val="right" w:pos="6480"/>
          <w:tab w:val="left" w:pos="6379"/>
        </w:tabs>
        <w:spacing w:line="276" w:lineRule="auto"/>
        <w:ind w:right="-30"/>
      </w:pPr>
    </w:p>
    <w:p w:rsidR="00F25E58" w:rsidRDefault="006A3890">
      <w:pPr>
        <w:pBdr>
          <w:top w:val="single" w:sz="8" w:space="2" w:color="000000"/>
          <w:left w:val="nil"/>
          <w:bottom w:val="single" w:sz="8" w:space="2" w:color="000000"/>
          <w:right w:val="nil"/>
          <w:between w:val="nil"/>
        </w:pBdr>
        <w:tabs>
          <w:tab w:val="right" w:pos="6480"/>
          <w:tab w:val="left" w:pos="6379"/>
        </w:tabs>
        <w:spacing w:line="276" w:lineRule="auto"/>
        <w:ind w:right="-30"/>
        <w:rPr>
          <w:color w:val="000000"/>
        </w:rPr>
      </w:pPr>
      <w:r>
        <w:rPr>
          <w:b/>
          <w:color w:val="000000"/>
        </w:rPr>
        <w:t>Keywords.</w:t>
      </w:r>
      <w:r>
        <w:rPr>
          <w:color w:val="000000"/>
        </w:rPr>
        <w:t xml:space="preserve"> </w:t>
      </w:r>
      <w:proofErr w:type="spellStart"/>
      <w:r>
        <w:rPr>
          <w:i/>
          <w:color w:val="000000"/>
        </w:rPr>
        <w:t>Castanea</w:t>
      </w:r>
      <w:proofErr w:type="spellEnd"/>
      <w:r>
        <w:rPr>
          <w:i/>
          <w:color w:val="000000"/>
        </w:rPr>
        <w:t xml:space="preserve"> sativa</w:t>
      </w:r>
      <w:r>
        <w:rPr>
          <w:color w:val="000000"/>
        </w:rPr>
        <w:t xml:space="preserve"> </w:t>
      </w:r>
      <w:proofErr w:type="gramStart"/>
      <w:r>
        <w:rPr>
          <w:color w:val="000000"/>
        </w:rPr>
        <w:t>Mill.,</w:t>
      </w:r>
      <w:proofErr w:type="gramEnd"/>
      <w:r>
        <w:rPr>
          <w:color w:val="000000"/>
        </w:rPr>
        <w:t xml:space="preserve"> HPLC-DAD-MS, hydrolysable tannins, antimicrobial activity, </w:t>
      </w:r>
      <w:r>
        <w:rPr>
          <w:i/>
          <w:color w:val="000000"/>
        </w:rPr>
        <w:t>Pythium</w:t>
      </w:r>
      <w:r>
        <w:rPr>
          <w:color w:val="000000"/>
        </w:rPr>
        <w:t xml:space="preserve"> spp., oomycete</w:t>
      </w:r>
      <w:r>
        <w:rPr>
          <w:noProof/>
          <w:lang w:val="it-IT"/>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0" cy="19050"/>
                <wp:effectExtent l="0" t="0" r="0" b="0"/>
                <wp:wrapNone/>
                <wp:docPr id="58" name=""/>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0" cy="19050"/>
                <wp:effectExtent b="0" l="0" r="0" t="0"/>
                <wp:wrapNone/>
                <wp:docPr id="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roofErr w:type="gramStart"/>
      <w:r>
        <w:rPr>
          <w:b/>
          <w:color w:val="000000"/>
          <w:sz w:val="24"/>
          <w:szCs w:val="24"/>
        </w:rPr>
        <w:lastRenderedPageBreak/>
        <w:t>1</w:t>
      </w:r>
      <w:proofErr w:type="gramEnd"/>
      <w:r>
        <w:rPr>
          <w:b/>
          <w:color w:val="000000"/>
          <w:sz w:val="24"/>
          <w:szCs w:val="24"/>
        </w:rPr>
        <w:t xml:space="preserve"> Introduction</w:t>
      </w:r>
    </w:p>
    <w:p w:rsidR="006A3890"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Sweet chestnut growing in Italy has ancient origins and in many areas it played, and continues to play, an important role in defining the characteristics of landscape and territory. To date, the land occupied by chestnut trees in Italy is about 800,000 ha across all regions, but in recent years socio-economic changes and the spread of pathologies caused a decrease of the activities with a corresponding increase in imports from abroad, in particular of fruits for food purposes (</w:t>
      </w:r>
      <w:proofErr w:type="spellStart"/>
      <w:r>
        <w:rPr>
          <w:color w:val="000000"/>
          <w:sz w:val="24"/>
          <w:szCs w:val="24"/>
        </w:rPr>
        <w:t>Castellini</w:t>
      </w:r>
      <w:proofErr w:type="spellEnd"/>
      <w:r>
        <w:rPr>
          <w:color w:val="000000"/>
          <w:sz w:val="24"/>
          <w:szCs w:val="24"/>
        </w:rPr>
        <w:t xml:space="preserve"> </w:t>
      </w:r>
      <w:r>
        <w:rPr>
          <w:i/>
          <w:color w:val="000000"/>
          <w:sz w:val="24"/>
          <w:szCs w:val="24"/>
        </w:rPr>
        <w:t>et al</w:t>
      </w:r>
      <w:r>
        <w:rPr>
          <w:color w:val="000000"/>
          <w:sz w:val="24"/>
          <w:szCs w:val="24"/>
        </w:rPr>
        <w:t>., 2009).</w:t>
      </w:r>
      <w:r>
        <w:rPr>
          <w:color w:val="000000"/>
          <w:sz w:val="20"/>
          <w:szCs w:val="20"/>
        </w:rPr>
        <w:t xml:space="preserve"> </w:t>
      </w:r>
      <w:r>
        <w:rPr>
          <w:color w:val="000000"/>
          <w:sz w:val="24"/>
          <w:szCs w:val="24"/>
        </w:rPr>
        <w:t xml:space="preserve">The enhancement of chestnut growing in the current context </w:t>
      </w:r>
      <w:r>
        <w:rPr>
          <w:sz w:val="24"/>
          <w:szCs w:val="24"/>
        </w:rPr>
        <w:t>requires</w:t>
      </w:r>
      <w:r>
        <w:rPr>
          <w:color w:val="000000"/>
          <w:sz w:val="24"/>
          <w:szCs w:val="24"/>
        </w:rPr>
        <w:t xml:space="preserve"> the application of modern and innovative strategies that involve the supply chains traditionally associated with that of chestnut and their integration with new supply chains, in order to promote the recovery at a productive, economic and social level. The recovery of waste and by-products of both food and wood production activities, and their use to obtain new products applicable in multiple sectors according to circular economy models, can guarantee the evolution of the sector towards greater environmental and economic sustainability and allow the connection between companies and realities operating in different sectors (Romani et al., 2020). </w:t>
      </w:r>
      <w:proofErr w:type="gramStart"/>
      <w:r>
        <w:rPr>
          <w:color w:val="000000"/>
          <w:sz w:val="24"/>
          <w:szCs w:val="24"/>
        </w:rPr>
        <w:t>The presence of considerable amounts of hydrolysable tannins with antioxidant and antimicrobial properties in the woody tissues of sweet chestnut, suggests the possibility of using the waste to produce natural extracts rich in bioactive compounds, to be used as semi-finished or finished products with high added value for applications in sectors such as textiles/tanning, agronomics, cosmetics, feed, food/nutraceuticals and wine (</w:t>
      </w:r>
      <w:proofErr w:type="spellStart"/>
      <w:r>
        <w:rPr>
          <w:color w:val="000000"/>
          <w:sz w:val="24"/>
          <w:szCs w:val="24"/>
        </w:rPr>
        <w:t>Pagliaro</w:t>
      </w:r>
      <w:proofErr w:type="spellEnd"/>
      <w:r>
        <w:rPr>
          <w:color w:val="000000"/>
          <w:sz w:val="24"/>
          <w:szCs w:val="24"/>
        </w:rPr>
        <w:t xml:space="preserve"> et al., 2021; </w:t>
      </w:r>
      <w:proofErr w:type="spellStart"/>
      <w:r>
        <w:rPr>
          <w:color w:val="000000"/>
          <w:sz w:val="24"/>
          <w:szCs w:val="24"/>
        </w:rPr>
        <w:t>Pizzi</w:t>
      </w:r>
      <w:proofErr w:type="spellEnd"/>
      <w:r>
        <w:rPr>
          <w:color w:val="000000"/>
          <w:sz w:val="24"/>
          <w:szCs w:val="24"/>
        </w:rPr>
        <w:t>, 2021; Romani et al., 2021).</w:t>
      </w:r>
      <w:proofErr w:type="gramEnd"/>
      <w:r>
        <w:rPr>
          <w:color w:val="000000"/>
          <w:sz w:val="24"/>
          <w:szCs w:val="24"/>
        </w:rPr>
        <w:t xml:space="preserve"> The sweet chestnut dry extract investigated in this work is an industrial fraction obtained by green methodologies in the plant of </w:t>
      </w:r>
      <w:proofErr w:type="spellStart"/>
      <w:r>
        <w:rPr>
          <w:color w:val="000000"/>
          <w:sz w:val="24"/>
          <w:szCs w:val="24"/>
        </w:rPr>
        <w:t>Gruppo</w:t>
      </w:r>
      <w:proofErr w:type="spellEnd"/>
      <w:r>
        <w:rPr>
          <w:color w:val="000000"/>
          <w:sz w:val="24"/>
          <w:szCs w:val="24"/>
        </w:rPr>
        <w:t xml:space="preserve"> Mauro </w:t>
      </w:r>
      <w:proofErr w:type="spellStart"/>
      <w:r>
        <w:rPr>
          <w:color w:val="000000"/>
          <w:sz w:val="24"/>
          <w:szCs w:val="24"/>
        </w:rPr>
        <w:t>Saviola</w:t>
      </w:r>
      <w:proofErr w:type="spellEnd"/>
      <w:r>
        <w:rPr>
          <w:color w:val="000000"/>
          <w:sz w:val="24"/>
          <w:szCs w:val="24"/>
        </w:rPr>
        <w:t xml:space="preserve"> in </w:t>
      </w:r>
      <w:proofErr w:type="spellStart"/>
      <w:r>
        <w:rPr>
          <w:color w:val="000000"/>
          <w:sz w:val="24"/>
          <w:szCs w:val="24"/>
        </w:rPr>
        <w:t>Radicofani</w:t>
      </w:r>
      <w:proofErr w:type="spellEnd"/>
      <w:r>
        <w:rPr>
          <w:color w:val="000000"/>
          <w:sz w:val="24"/>
          <w:szCs w:val="24"/>
        </w:rPr>
        <w:t xml:space="preserve"> (Si), allowing the sustainable re-use of wood chips yielded as a by-product during the processing of wood. As previously described (Campo et al., 2016; </w:t>
      </w:r>
      <w:proofErr w:type="spellStart"/>
      <w:r>
        <w:rPr>
          <w:color w:val="000000"/>
          <w:sz w:val="24"/>
          <w:szCs w:val="24"/>
        </w:rPr>
        <w:t>Lucarini</w:t>
      </w:r>
      <w:proofErr w:type="spellEnd"/>
      <w:r>
        <w:rPr>
          <w:color w:val="000000"/>
          <w:sz w:val="24"/>
          <w:szCs w:val="24"/>
        </w:rPr>
        <w:t xml:space="preserve"> et al., 2018), after hot water extraction the raw extract is purified and concentrated by a series of filtration steps on membranes with different molecular cut-offs, to obtain fractions enriched in different bioactive hydrolysable tannins. The two commercial standardized products are a liquid purified and concentrated fraction and the spray-dried powder obtained from this latter, that is the dry </w:t>
      </w:r>
      <w:r>
        <w:rPr>
          <w:color w:val="000000"/>
          <w:sz w:val="24"/>
          <w:szCs w:val="24"/>
        </w:rPr>
        <w:lastRenderedPageBreak/>
        <w:t xml:space="preserve">extract object of the present study in which some of the possible agronomic applications </w:t>
      </w:r>
      <w:proofErr w:type="gramStart"/>
      <w:r>
        <w:rPr>
          <w:color w:val="000000"/>
          <w:sz w:val="24"/>
          <w:szCs w:val="24"/>
        </w:rPr>
        <w:t>were evaluated</w:t>
      </w:r>
      <w:proofErr w:type="gramEnd"/>
      <w:r>
        <w:rPr>
          <w:color w:val="000000"/>
          <w:sz w:val="24"/>
          <w:szCs w:val="24"/>
        </w:rPr>
        <w:t xml:space="preserve">. More in detail, </w:t>
      </w:r>
      <w:proofErr w:type="spellStart"/>
      <w:r>
        <w:rPr>
          <w:color w:val="000000"/>
          <w:sz w:val="24"/>
          <w:szCs w:val="24"/>
        </w:rPr>
        <w:t>quali</w:t>
      </w:r>
      <w:proofErr w:type="spellEnd"/>
      <w:r>
        <w:rPr>
          <w:color w:val="000000"/>
          <w:sz w:val="24"/>
          <w:szCs w:val="24"/>
        </w:rPr>
        <w:t xml:space="preserve">-quantitative HPLC-DAD-MS analysis </w:t>
      </w:r>
      <w:proofErr w:type="gramStart"/>
      <w:r>
        <w:rPr>
          <w:color w:val="000000"/>
          <w:sz w:val="24"/>
          <w:szCs w:val="24"/>
        </w:rPr>
        <w:t>was performed</w:t>
      </w:r>
      <w:proofErr w:type="gramEnd"/>
      <w:r>
        <w:rPr>
          <w:color w:val="000000"/>
          <w:sz w:val="24"/>
          <w:szCs w:val="24"/>
        </w:rPr>
        <w:t xml:space="preserve"> for the chemical characterization of the hydrolysable tannins in the dry extract, before testing it for </w:t>
      </w:r>
      <w:r>
        <w:rPr>
          <w:i/>
          <w:color w:val="000000"/>
          <w:sz w:val="24"/>
          <w:szCs w:val="24"/>
        </w:rPr>
        <w:t>in vitro</w:t>
      </w:r>
      <w:r>
        <w:rPr>
          <w:color w:val="000000"/>
          <w:sz w:val="24"/>
          <w:szCs w:val="24"/>
        </w:rPr>
        <w:t xml:space="preserve"> antimicrobial activity against three </w:t>
      </w:r>
      <w:proofErr w:type="spellStart"/>
      <w:r>
        <w:rPr>
          <w:color w:val="000000"/>
          <w:sz w:val="24"/>
          <w:szCs w:val="24"/>
        </w:rPr>
        <w:t>phytopathogenic</w:t>
      </w:r>
      <w:proofErr w:type="spellEnd"/>
      <w:r>
        <w:rPr>
          <w:color w:val="000000"/>
          <w:sz w:val="24"/>
          <w:szCs w:val="24"/>
        </w:rPr>
        <w:t xml:space="preserve"> oomycetes of agronomic interest: </w:t>
      </w:r>
      <w:r>
        <w:rPr>
          <w:i/>
          <w:color w:val="000000"/>
          <w:sz w:val="24"/>
          <w:szCs w:val="24"/>
        </w:rPr>
        <w:t xml:space="preserve">Pythium </w:t>
      </w:r>
      <w:proofErr w:type="spellStart"/>
      <w:r>
        <w:rPr>
          <w:i/>
          <w:color w:val="000000"/>
          <w:sz w:val="24"/>
          <w:szCs w:val="24"/>
        </w:rPr>
        <w:t>dissotocum</w:t>
      </w:r>
      <w:proofErr w:type="spellEnd"/>
      <w:r>
        <w:rPr>
          <w:color w:val="000000"/>
          <w:sz w:val="24"/>
          <w:szCs w:val="24"/>
        </w:rPr>
        <w:t xml:space="preserve">, </w:t>
      </w:r>
      <w:r>
        <w:rPr>
          <w:i/>
          <w:color w:val="000000"/>
          <w:sz w:val="24"/>
          <w:szCs w:val="24"/>
        </w:rPr>
        <w:t xml:space="preserve">P. </w:t>
      </w:r>
      <w:proofErr w:type="spellStart"/>
      <w:r>
        <w:rPr>
          <w:i/>
          <w:color w:val="000000"/>
          <w:sz w:val="24"/>
          <w:szCs w:val="24"/>
        </w:rPr>
        <w:t>sylvaticum</w:t>
      </w:r>
      <w:proofErr w:type="spellEnd"/>
      <w:r>
        <w:rPr>
          <w:color w:val="000000"/>
          <w:sz w:val="24"/>
          <w:szCs w:val="24"/>
        </w:rPr>
        <w:t xml:space="preserve"> and </w:t>
      </w:r>
      <w:r>
        <w:rPr>
          <w:i/>
          <w:color w:val="000000"/>
          <w:sz w:val="24"/>
          <w:szCs w:val="24"/>
        </w:rPr>
        <w:t xml:space="preserve">P. </w:t>
      </w:r>
      <w:proofErr w:type="spellStart"/>
      <w:r>
        <w:rPr>
          <w:i/>
          <w:color w:val="000000"/>
          <w:sz w:val="24"/>
          <w:szCs w:val="24"/>
        </w:rPr>
        <w:t>ultimum</w:t>
      </w:r>
      <w:proofErr w:type="spellEnd"/>
      <w:r>
        <w:rPr>
          <w:color w:val="000000"/>
          <w:sz w:val="24"/>
          <w:szCs w:val="24"/>
        </w:rPr>
        <w:t>.</w:t>
      </w:r>
      <w:r>
        <w:rPr>
          <w:sz w:val="24"/>
          <w:szCs w:val="24"/>
        </w:rPr>
        <w:t xml:space="preserve"> </w:t>
      </w:r>
      <w:r>
        <w:rPr>
          <w:color w:val="000000"/>
          <w:sz w:val="24"/>
          <w:szCs w:val="24"/>
        </w:rPr>
        <w:t xml:space="preserve">A good inhibition of the mycelial growth was observed and a different phenotype (more lax mycelium) </w:t>
      </w:r>
      <w:r>
        <w:rPr>
          <w:sz w:val="24"/>
          <w:szCs w:val="24"/>
        </w:rPr>
        <w:t>with</w:t>
      </w:r>
      <w:r>
        <w:rPr>
          <w:color w:val="000000"/>
          <w:sz w:val="24"/>
          <w:szCs w:val="24"/>
        </w:rPr>
        <w:t xml:space="preserve"> doses of 0.1%-</w:t>
      </w:r>
      <w:proofErr w:type="gramStart"/>
      <w:r>
        <w:rPr>
          <w:color w:val="000000"/>
          <w:sz w:val="24"/>
          <w:szCs w:val="24"/>
        </w:rPr>
        <w:t>0.5%</w:t>
      </w:r>
      <w:proofErr w:type="gramEnd"/>
      <w:r>
        <w:rPr>
          <w:color w:val="000000"/>
          <w:sz w:val="24"/>
          <w:szCs w:val="24"/>
        </w:rPr>
        <w:t xml:space="preserve"> w/v, confirming the antimicrobial effect of sweet chestnut tannins towards the tested </w:t>
      </w:r>
      <w:r>
        <w:rPr>
          <w:i/>
          <w:color w:val="000000"/>
          <w:sz w:val="24"/>
          <w:szCs w:val="24"/>
        </w:rPr>
        <w:t>Pythium</w:t>
      </w:r>
      <w:r>
        <w:rPr>
          <w:color w:val="000000"/>
          <w:sz w:val="24"/>
          <w:szCs w:val="24"/>
        </w:rPr>
        <w:t>. Th</w:t>
      </w:r>
      <w:r>
        <w:rPr>
          <w:sz w:val="24"/>
          <w:szCs w:val="24"/>
        </w:rPr>
        <w:t>is</w:t>
      </w:r>
      <w:r>
        <w:rPr>
          <w:color w:val="000000"/>
          <w:sz w:val="24"/>
          <w:szCs w:val="24"/>
        </w:rPr>
        <w:t xml:space="preserve"> preliminary study </w:t>
      </w:r>
      <w:proofErr w:type="gramStart"/>
      <w:r>
        <w:rPr>
          <w:color w:val="000000"/>
          <w:sz w:val="24"/>
          <w:szCs w:val="24"/>
        </w:rPr>
        <w:t>will be followed</w:t>
      </w:r>
      <w:proofErr w:type="gramEnd"/>
      <w:r>
        <w:rPr>
          <w:color w:val="000000"/>
          <w:sz w:val="24"/>
          <w:szCs w:val="24"/>
        </w:rPr>
        <w:t xml:space="preserve"> by further </w:t>
      </w:r>
      <w:r>
        <w:rPr>
          <w:i/>
          <w:color w:val="000000"/>
          <w:sz w:val="24"/>
          <w:szCs w:val="24"/>
        </w:rPr>
        <w:t>in vitro</w:t>
      </w:r>
      <w:r>
        <w:rPr>
          <w:color w:val="000000"/>
          <w:sz w:val="24"/>
          <w:szCs w:val="24"/>
        </w:rPr>
        <w:t xml:space="preserve"> and </w:t>
      </w:r>
      <w:r>
        <w:rPr>
          <w:i/>
          <w:color w:val="000000"/>
          <w:sz w:val="24"/>
          <w:szCs w:val="24"/>
        </w:rPr>
        <w:t>in vivo</w:t>
      </w:r>
      <w:r>
        <w:rPr>
          <w:color w:val="000000"/>
          <w:sz w:val="24"/>
          <w:szCs w:val="24"/>
        </w:rPr>
        <w:t xml:space="preserve"> tests to assess possible new perspectives for sweet chestnut tannins based products in the contrast of </w:t>
      </w:r>
      <w:proofErr w:type="spellStart"/>
      <w:r>
        <w:rPr>
          <w:color w:val="000000"/>
          <w:sz w:val="24"/>
          <w:szCs w:val="24"/>
        </w:rPr>
        <w:t>phytopathogenic</w:t>
      </w:r>
      <w:proofErr w:type="spellEnd"/>
      <w:r>
        <w:rPr>
          <w:color w:val="000000"/>
          <w:sz w:val="24"/>
          <w:szCs w:val="24"/>
        </w:rPr>
        <w:t xml:space="preserve"> </w:t>
      </w:r>
      <w:r>
        <w:rPr>
          <w:i/>
          <w:color w:val="000000"/>
          <w:sz w:val="24"/>
          <w:szCs w:val="24"/>
        </w:rPr>
        <w:t>Pythium</w:t>
      </w:r>
      <w:r>
        <w:rPr>
          <w:color w:val="000000"/>
          <w:sz w:val="24"/>
          <w:szCs w:val="24"/>
        </w:rPr>
        <w:t>. The innovative applications could be particularly useful e.g. for sowing substrates for horticultural and ornamental plants or for crops bio-</w:t>
      </w:r>
      <w:proofErr w:type="spellStart"/>
      <w:r>
        <w:rPr>
          <w:color w:val="000000"/>
          <w:sz w:val="24"/>
          <w:szCs w:val="24"/>
        </w:rPr>
        <w:t>defence</w:t>
      </w:r>
      <w:proofErr w:type="spellEnd"/>
      <w:r>
        <w:rPr>
          <w:color w:val="000000"/>
          <w:sz w:val="24"/>
          <w:szCs w:val="24"/>
        </w:rPr>
        <w:t xml:space="preserve">, in line with the growing interest in eco-sustainable solutions for the reduction of chemical inputs in agriculture. A further area of study will concern the possible application of the extract in substrates for hydroponic crops, a sector in progressive diffusion, given the dependence of </w:t>
      </w:r>
      <w:r>
        <w:rPr>
          <w:i/>
          <w:color w:val="000000"/>
          <w:sz w:val="24"/>
          <w:szCs w:val="24"/>
        </w:rPr>
        <w:t>Pythium</w:t>
      </w:r>
      <w:r>
        <w:rPr>
          <w:color w:val="000000"/>
          <w:sz w:val="24"/>
          <w:szCs w:val="24"/>
        </w:rPr>
        <w:t xml:space="preserve"> spp. on aquatic environments.</w:t>
      </w:r>
    </w:p>
    <w:p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roofErr w:type="gramStart"/>
      <w:r>
        <w:rPr>
          <w:b/>
          <w:color w:val="000000"/>
          <w:sz w:val="24"/>
          <w:szCs w:val="24"/>
        </w:rPr>
        <w:t>2</w:t>
      </w:r>
      <w:proofErr w:type="gramEnd"/>
      <w:r>
        <w:rPr>
          <w:b/>
          <w:color w:val="000000"/>
          <w:sz w:val="24"/>
          <w:szCs w:val="24"/>
        </w:rPr>
        <w:t xml:space="preserve"> Materials and methods</w:t>
      </w:r>
    </w:p>
    <w:p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2.1 Chemicals</w:t>
      </w:r>
    </w:p>
    <w:p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color w:val="000000"/>
          <w:sz w:val="24"/>
          <w:szCs w:val="24"/>
        </w:rPr>
        <w:t xml:space="preserve">All solvents (HPLC grade) and formic acid (ACS reagent) </w:t>
      </w:r>
      <w:proofErr w:type="gramStart"/>
      <w:r>
        <w:rPr>
          <w:color w:val="000000"/>
          <w:sz w:val="24"/>
          <w:szCs w:val="24"/>
        </w:rPr>
        <w:t>were purchased</w:t>
      </w:r>
      <w:proofErr w:type="gramEnd"/>
      <w:r>
        <w:rPr>
          <w:color w:val="000000"/>
          <w:sz w:val="24"/>
          <w:szCs w:val="24"/>
        </w:rPr>
        <w:t xml:space="preserve"> from Sigma Aldrich Chemical Company Inc. (Milwaukee, Wisconsin, USA). Gallic and </w:t>
      </w:r>
      <w:proofErr w:type="spellStart"/>
      <w:r>
        <w:rPr>
          <w:color w:val="000000"/>
          <w:sz w:val="24"/>
          <w:szCs w:val="24"/>
        </w:rPr>
        <w:t>ellagic</w:t>
      </w:r>
      <w:proofErr w:type="spellEnd"/>
      <w:r>
        <w:rPr>
          <w:color w:val="000000"/>
          <w:sz w:val="24"/>
          <w:szCs w:val="24"/>
        </w:rPr>
        <w:t xml:space="preserve"> acids, of analytical grade, were purchased from </w:t>
      </w:r>
      <w:proofErr w:type="spellStart"/>
      <w:r>
        <w:rPr>
          <w:color w:val="000000"/>
          <w:sz w:val="24"/>
          <w:szCs w:val="24"/>
        </w:rPr>
        <w:t>Extrasynthèse</w:t>
      </w:r>
      <w:proofErr w:type="spellEnd"/>
      <w:r>
        <w:rPr>
          <w:color w:val="000000"/>
          <w:sz w:val="24"/>
          <w:szCs w:val="24"/>
        </w:rPr>
        <w:t xml:space="preserve"> S.A. (Lyon, Nord-</w:t>
      </w:r>
      <w:proofErr w:type="spellStart"/>
      <w:r>
        <w:rPr>
          <w:color w:val="000000"/>
          <w:sz w:val="24"/>
          <w:szCs w:val="24"/>
        </w:rPr>
        <w:t>Genay</w:t>
      </w:r>
      <w:proofErr w:type="spellEnd"/>
      <w:r>
        <w:rPr>
          <w:color w:val="000000"/>
          <w:sz w:val="24"/>
          <w:szCs w:val="24"/>
        </w:rPr>
        <w:t xml:space="preserve">, France). HPLC-grade water </w:t>
      </w:r>
      <w:proofErr w:type="gramStart"/>
      <w:r>
        <w:rPr>
          <w:color w:val="000000"/>
          <w:sz w:val="24"/>
          <w:szCs w:val="24"/>
        </w:rPr>
        <w:t>was obtained</w:t>
      </w:r>
      <w:proofErr w:type="gramEnd"/>
      <w:r>
        <w:rPr>
          <w:color w:val="000000"/>
          <w:sz w:val="24"/>
          <w:szCs w:val="24"/>
        </w:rPr>
        <w:t xml:space="preserve"> via double-distillation and purification with a </w:t>
      </w:r>
      <w:proofErr w:type="spellStart"/>
      <w:r>
        <w:rPr>
          <w:color w:val="000000"/>
          <w:sz w:val="24"/>
          <w:szCs w:val="24"/>
        </w:rPr>
        <w:t>Labconco</w:t>
      </w:r>
      <w:proofErr w:type="spellEnd"/>
      <w:r>
        <w:rPr>
          <w:color w:val="000000"/>
          <w:sz w:val="24"/>
          <w:szCs w:val="24"/>
        </w:rPr>
        <w:t xml:space="preserve"> Water Pro PS polishing station (</w:t>
      </w:r>
      <w:proofErr w:type="spellStart"/>
      <w:r>
        <w:rPr>
          <w:color w:val="000000"/>
          <w:sz w:val="24"/>
          <w:szCs w:val="24"/>
        </w:rPr>
        <w:t>Labconco</w:t>
      </w:r>
      <w:proofErr w:type="spellEnd"/>
      <w:r>
        <w:rPr>
          <w:color w:val="000000"/>
          <w:sz w:val="24"/>
          <w:szCs w:val="24"/>
        </w:rPr>
        <w:t xml:space="preserve"> Corporation, Kansas City, USA). </w:t>
      </w:r>
      <w:r>
        <w:rPr>
          <w:sz w:val="24"/>
          <w:szCs w:val="24"/>
        </w:rPr>
        <w:t xml:space="preserve">The PDA (Potato Dextrose Agar) </w:t>
      </w:r>
      <w:proofErr w:type="gramStart"/>
      <w:r>
        <w:rPr>
          <w:sz w:val="24"/>
          <w:szCs w:val="24"/>
        </w:rPr>
        <w:t>was purchased</w:t>
      </w:r>
      <w:proofErr w:type="gramEnd"/>
      <w:r>
        <w:rPr>
          <w:sz w:val="24"/>
          <w:szCs w:val="24"/>
        </w:rPr>
        <w:t xml:space="preserve"> from VWR International (Radnor, Pennsylvania, USA).</w:t>
      </w:r>
    </w:p>
    <w:p w:rsidR="00F25E58" w:rsidRDefault="00F25E58">
      <w:pPr>
        <w:pBdr>
          <w:top w:val="nil"/>
          <w:left w:val="nil"/>
          <w:bottom w:val="nil"/>
          <w:right w:val="nil"/>
          <w:between w:val="nil"/>
        </w:pBdr>
        <w:tabs>
          <w:tab w:val="right" w:pos="6480"/>
          <w:tab w:val="left" w:pos="6379"/>
        </w:tabs>
        <w:spacing w:line="276" w:lineRule="auto"/>
        <w:ind w:right="-30"/>
        <w:rPr>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2.2 Extract</w:t>
      </w:r>
    </w:p>
    <w:p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color w:val="000000"/>
          <w:sz w:val="24"/>
          <w:szCs w:val="24"/>
        </w:rPr>
        <w:t xml:space="preserve">The </w:t>
      </w:r>
      <w:r>
        <w:rPr>
          <w:sz w:val="24"/>
          <w:szCs w:val="24"/>
        </w:rPr>
        <w:t>s</w:t>
      </w:r>
      <w:r>
        <w:rPr>
          <w:color w:val="000000"/>
          <w:sz w:val="24"/>
          <w:szCs w:val="24"/>
        </w:rPr>
        <w:t xml:space="preserve">weet </w:t>
      </w:r>
      <w:r>
        <w:rPr>
          <w:sz w:val="24"/>
          <w:szCs w:val="24"/>
        </w:rPr>
        <w:t>c</w:t>
      </w:r>
      <w:r>
        <w:rPr>
          <w:color w:val="000000"/>
          <w:sz w:val="24"/>
          <w:szCs w:val="24"/>
        </w:rPr>
        <w:t xml:space="preserve">hestnut dry extract was a commercial fraction furnished by GRUPPO MAURO SAVIOLA </w:t>
      </w:r>
      <w:proofErr w:type="spellStart"/>
      <w:r>
        <w:rPr>
          <w:color w:val="000000"/>
          <w:sz w:val="24"/>
          <w:szCs w:val="24"/>
        </w:rPr>
        <w:t>Srl</w:t>
      </w:r>
      <w:proofErr w:type="spellEnd"/>
      <w:r>
        <w:rPr>
          <w:color w:val="000000"/>
          <w:sz w:val="24"/>
          <w:szCs w:val="24"/>
        </w:rPr>
        <w:t xml:space="preserve"> (</w:t>
      </w:r>
      <w:proofErr w:type="spellStart"/>
      <w:r>
        <w:rPr>
          <w:color w:val="000000"/>
          <w:sz w:val="24"/>
          <w:szCs w:val="24"/>
        </w:rPr>
        <w:t>Viadana</w:t>
      </w:r>
      <w:proofErr w:type="spellEnd"/>
      <w:r>
        <w:rPr>
          <w:color w:val="000000"/>
          <w:sz w:val="24"/>
          <w:szCs w:val="24"/>
        </w:rPr>
        <w:t xml:space="preserve">, MN, Italy). This fraction is </w:t>
      </w:r>
      <w:r>
        <w:rPr>
          <w:color w:val="000000"/>
          <w:sz w:val="24"/>
          <w:szCs w:val="24"/>
        </w:rPr>
        <w:lastRenderedPageBreak/>
        <w:t xml:space="preserve">obtained after ten circular and solvent free process streams by the industrial tannin extraction and concentration/purification plant operating in </w:t>
      </w:r>
      <w:proofErr w:type="spellStart"/>
      <w:r>
        <w:rPr>
          <w:color w:val="000000"/>
          <w:sz w:val="24"/>
          <w:szCs w:val="24"/>
        </w:rPr>
        <w:t>Radicofani</w:t>
      </w:r>
      <w:proofErr w:type="spellEnd"/>
      <w:r>
        <w:rPr>
          <w:color w:val="000000"/>
          <w:sz w:val="24"/>
          <w:szCs w:val="24"/>
        </w:rPr>
        <w:t xml:space="preserve"> (SI, Italy), previously described (Campo et al., 2016; </w:t>
      </w:r>
      <w:proofErr w:type="spellStart"/>
      <w:r>
        <w:rPr>
          <w:color w:val="000000"/>
          <w:sz w:val="24"/>
          <w:szCs w:val="24"/>
        </w:rPr>
        <w:t>Lucarini</w:t>
      </w:r>
      <w:proofErr w:type="spellEnd"/>
      <w:r>
        <w:rPr>
          <w:color w:val="000000"/>
          <w:sz w:val="24"/>
          <w:szCs w:val="24"/>
        </w:rPr>
        <w:t xml:space="preserve"> et al., 2018). </w:t>
      </w:r>
    </w:p>
    <w:p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r>
        <w:rPr>
          <w:b/>
          <w:color w:val="000000"/>
          <w:sz w:val="24"/>
          <w:szCs w:val="24"/>
        </w:rPr>
        <w:t>2.3 HPLC</w:t>
      </w:r>
      <w:r>
        <w:rPr>
          <w:b/>
          <w:sz w:val="24"/>
          <w:szCs w:val="24"/>
        </w:rPr>
        <w:t>-</w:t>
      </w:r>
      <w:r>
        <w:rPr>
          <w:b/>
          <w:color w:val="000000"/>
          <w:sz w:val="24"/>
          <w:szCs w:val="24"/>
        </w:rPr>
        <w:t>DAD-MS analysis</w:t>
      </w:r>
    </w:p>
    <w:p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 xml:space="preserve">The extract </w:t>
      </w:r>
      <w:proofErr w:type="gramStart"/>
      <w:r>
        <w:rPr>
          <w:color w:val="000000"/>
          <w:sz w:val="24"/>
          <w:szCs w:val="24"/>
        </w:rPr>
        <w:t>was analyzed</w:t>
      </w:r>
      <w:proofErr w:type="gramEnd"/>
      <w:r>
        <w:rPr>
          <w:color w:val="000000"/>
          <w:sz w:val="24"/>
          <w:szCs w:val="24"/>
        </w:rPr>
        <w:t xml:space="preserve"> </w:t>
      </w:r>
      <w:r>
        <w:rPr>
          <w:sz w:val="24"/>
          <w:szCs w:val="24"/>
        </w:rPr>
        <w:t>with</w:t>
      </w:r>
      <w:r>
        <w:rPr>
          <w:color w:val="000000"/>
          <w:sz w:val="24"/>
          <w:szCs w:val="24"/>
        </w:rPr>
        <w:t xml:space="preserve"> a HP-1260 liquid chromatograph equipped with a DAD detector and a MSD API-electrospray (Agilent Technologies, Santa Clara, CA) in negative ionization mode. A Luna, C18 250×4.60 mm, </w:t>
      </w:r>
      <w:proofErr w:type="gramStart"/>
      <w:r>
        <w:rPr>
          <w:color w:val="000000"/>
          <w:sz w:val="24"/>
          <w:szCs w:val="24"/>
        </w:rPr>
        <w:t>5</w:t>
      </w:r>
      <w:proofErr w:type="gramEnd"/>
      <w:r>
        <w:rPr>
          <w:color w:val="000000"/>
          <w:sz w:val="24"/>
          <w:szCs w:val="24"/>
        </w:rPr>
        <w:t xml:space="preserve"> </w:t>
      </w:r>
      <w:proofErr w:type="spellStart"/>
      <w:r>
        <w:rPr>
          <w:color w:val="000000"/>
          <w:sz w:val="24"/>
          <w:szCs w:val="24"/>
        </w:rPr>
        <w:t>μm</w:t>
      </w:r>
      <w:proofErr w:type="spellEnd"/>
      <w:r>
        <w:rPr>
          <w:color w:val="000000"/>
          <w:sz w:val="24"/>
          <w:szCs w:val="24"/>
        </w:rPr>
        <w:t xml:space="preserve"> column (</w:t>
      </w:r>
      <w:proofErr w:type="spellStart"/>
      <w:r>
        <w:rPr>
          <w:color w:val="000000"/>
          <w:sz w:val="24"/>
          <w:szCs w:val="24"/>
        </w:rPr>
        <w:t>Phenomenex</w:t>
      </w:r>
      <w:proofErr w:type="spellEnd"/>
      <w:r>
        <w:rPr>
          <w:color w:val="000000"/>
          <w:sz w:val="24"/>
          <w:szCs w:val="24"/>
        </w:rPr>
        <w:t xml:space="preserve">, Torrance, CA), at 26 °C was used. </w:t>
      </w:r>
      <w:r>
        <w:rPr>
          <w:sz w:val="24"/>
          <w:szCs w:val="24"/>
        </w:rPr>
        <w:t>E</w:t>
      </w:r>
      <w:r>
        <w:rPr>
          <w:color w:val="000000"/>
          <w:sz w:val="24"/>
          <w:szCs w:val="24"/>
        </w:rPr>
        <w:t>luents</w:t>
      </w:r>
      <w:r>
        <w:rPr>
          <w:sz w:val="24"/>
          <w:szCs w:val="24"/>
        </w:rPr>
        <w:t>:</w:t>
      </w:r>
      <w:r>
        <w:rPr>
          <w:color w:val="000000"/>
          <w:sz w:val="24"/>
          <w:szCs w:val="24"/>
        </w:rPr>
        <w:t xml:space="preserve"> </w:t>
      </w:r>
      <w:r>
        <w:rPr>
          <w:sz w:val="24"/>
          <w:szCs w:val="24"/>
        </w:rPr>
        <w:t>5%</w:t>
      </w:r>
      <w:r>
        <w:rPr>
          <w:color w:val="000000"/>
          <w:sz w:val="24"/>
          <w:szCs w:val="24"/>
        </w:rPr>
        <w:t xml:space="preserve"> HCOOH in water and CH</w:t>
      </w:r>
      <w:r>
        <w:rPr>
          <w:color w:val="000000"/>
          <w:sz w:val="24"/>
          <w:szCs w:val="24"/>
          <w:vertAlign w:val="subscript"/>
        </w:rPr>
        <w:t>3</w:t>
      </w:r>
      <w:r>
        <w:rPr>
          <w:color w:val="000000"/>
          <w:sz w:val="24"/>
          <w:szCs w:val="24"/>
        </w:rPr>
        <w:t>CN. A four-step linear solvent gradient from 100% H</w:t>
      </w:r>
      <w:r>
        <w:rPr>
          <w:color w:val="000000"/>
          <w:sz w:val="24"/>
          <w:szCs w:val="24"/>
          <w:vertAlign w:val="subscript"/>
        </w:rPr>
        <w:t>2</w:t>
      </w:r>
      <w:r>
        <w:rPr>
          <w:color w:val="000000"/>
          <w:sz w:val="24"/>
          <w:szCs w:val="24"/>
        </w:rPr>
        <w:t>O up to 100% CH</w:t>
      </w:r>
      <w:r>
        <w:rPr>
          <w:color w:val="000000"/>
          <w:sz w:val="24"/>
          <w:szCs w:val="24"/>
          <w:vertAlign w:val="subscript"/>
        </w:rPr>
        <w:t>3</w:t>
      </w:r>
      <w:r>
        <w:rPr>
          <w:color w:val="000000"/>
          <w:sz w:val="24"/>
          <w:szCs w:val="24"/>
        </w:rPr>
        <w:t xml:space="preserve">CN was performed over a 55 minutes period, as previously described (Campo et al., 2016; </w:t>
      </w:r>
      <w:proofErr w:type="spellStart"/>
      <w:r>
        <w:rPr>
          <w:color w:val="000000"/>
          <w:sz w:val="24"/>
          <w:szCs w:val="24"/>
        </w:rPr>
        <w:t>Lucarini</w:t>
      </w:r>
      <w:proofErr w:type="spellEnd"/>
      <w:r>
        <w:rPr>
          <w:color w:val="000000"/>
          <w:sz w:val="24"/>
          <w:szCs w:val="24"/>
        </w:rPr>
        <w:t xml:space="preserve"> et al., 2018). Mass spectrometer operating conditions: gas temperature 350 °C</w:t>
      </w:r>
      <w:r>
        <w:rPr>
          <w:sz w:val="24"/>
          <w:szCs w:val="24"/>
        </w:rPr>
        <w:t>,</w:t>
      </w:r>
      <w:r>
        <w:rPr>
          <w:color w:val="000000"/>
          <w:sz w:val="24"/>
          <w:szCs w:val="24"/>
        </w:rPr>
        <w:t xml:space="preserve"> flow rate 10.0 L/min, nebulizer pressure 30 psi, quadrupole temperature 30 °C and capillary voltage 3500 V. </w:t>
      </w:r>
      <w:proofErr w:type="spellStart"/>
      <w:r>
        <w:rPr>
          <w:sz w:val="24"/>
          <w:szCs w:val="24"/>
        </w:rPr>
        <w:t>F</w:t>
      </w:r>
      <w:r>
        <w:rPr>
          <w:color w:val="000000"/>
          <w:sz w:val="24"/>
          <w:szCs w:val="24"/>
        </w:rPr>
        <w:t>ragmentor</w:t>
      </w:r>
      <w:proofErr w:type="spellEnd"/>
      <w:r>
        <w:rPr>
          <w:color w:val="000000"/>
          <w:sz w:val="24"/>
          <w:szCs w:val="24"/>
        </w:rPr>
        <w:t xml:space="preserve"> 120 eV. Tannins were identified by comparing their retention times, UV-Vis and mass spectra with those of the </w:t>
      </w:r>
      <w:r>
        <w:rPr>
          <w:sz w:val="24"/>
          <w:szCs w:val="24"/>
        </w:rPr>
        <w:t>commercial</w:t>
      </w:r>
      <w:r>
        <w:rPr>
          <w:color w:val="000000"/>
          <w:sz w:val="24"/>
          <w:szCs w:val="24"/>
        </w:rPr>
        <w:t xml:space="preserve"> standards. </w:t>
      </w:r>
      <w:r>
        <w:rPr>
          <w:sz w:val="24"/>
          <w:szCs w:val="24"/>
        </w:rPr>
        <w:t>C</w:t>
      </w:r>
      <w:r>
        <w:rPr>
          <w:color w:val="000000"/>
          <w:sz w:val="24"/>
          <w:szCs w:val="24"/>
        </w:rPr>
        <w:t xml:space="preserve">ompounds </w:t>
      </w:r>
      <w:r>
        <w:rPr>
          <w:sz w:val="24"/>
          <w:szCs w:val="24"/>
        </w:rPr>
        <w:t>were</w:t>
      </w:r>
      <w:r>
        <w:rPr>
          <w:color w:val="000000"/>
          <w:sz w:val="24"/>
          <w:szCs w:val="24"/>
        </w:rPr>
        <w:t xml:space="preserve"> quantified using five-point regression curves (</w:t>
      </w:r>
      <w:r>
        <w:rPr>
          <w:sz w:val="24"/>
          <w:szCs w:val="24"/>
        </w:rPr>
        <w:t>r</w:t>
      </w:r>
      <w:r>
        <w:rPr>
          <w:sz w:val="24"/>
          <w:szCs w:val="24"/>
          <w:vertAlign w:val="superscript"/>
        </w:rPr>
        <w:t>2</w:t>
      </w:r>
      <w:sdt>
        <w:sdtPr>
          <w:tag w:val="goog_rdk_0"/>
          <w:id w:val="764117536"/>
        </w:sdtPr>
        <w:sdtEndPr/>
        <w:sdtContent>
          <w:r>
            <w:rPr>
              <w:rFonts w:ascii="Gungsuh" w:eastAsia="Gungsuh" w:hAnsi="Gungsuh" w:cs="Gungsuh"/>
              <w:sz w:val="24"/>
              <w:szCs w:val="24"/>
            </w:rPr>
            <w:t xml:space="preserve"> ≥0.9998)</w:t>
          </w:r>
        </w:sdtContent>
      </w:sdt>
      <w:r>
        <w:rPr>
          <w:color w:val="000000"/>
          <w:sz w:val="24"/>
          <w:szCs w:val="24"/>
        </w:rPr>
        <w:t xml:space="preserve"> </w:t>
      </w:r>
      <w:r>
        <w:rPr>
          <w:sz w:val="24"/>
          <w:szCs w:val="24"/>
        </w:rPr>
        <w:t xml:space="preserve">in </w:t>
      </w:r>
      <w:proofErr w:type="spellStart"/>
      <w:proofErr w:type="gramStart"/>
      <w:r>
        <w:rPr>
          <w:sz w:val="24"/>
          <w:szCs w:val="24"/>
        </w:rPr>
        <w:t>gallic</w:t>
      </w:r>
      <w:proofErr w:type="spellEnd"/>
      <w:proofErr w:type="gramEnd"/>
      <w:r>
        <w:rPr>
          <w:sz w:val="24"/>
          <w:szCs w:val="24"/>
        </w:rPr>
        <w:t xml:space="preserve"> and </w:t>
      </w:r>
      <w:proofErr w:type="spellStart"/>
      <w:r>
        <w:rPr>
          <w:sz w:val="24"/>
          <w:szCs w:val="24"/>
        </w:rPr>
        <w:t>ellagic</w:t>
      </w:r>
      <w:proofErr w:type="spellEnd"/>
      <w:r>
        <w:rPr>
          <w:sz w:val="24"/>
          <w:szCs w:val="24"/>
        </w:rPr>
        <w:t xml:space="preserve"> acid</w:t>
      </w:r>
      <w:r>
        <w:rPr>
          <w:color w:val="000000"/>
          <w:sz w:val="24"/>
          <w:szCs w:val="24"/>
        </w:rPr>
        <w:t xml:space="preserve">s. </w:t>
      </w:r>
      <w:r>
        <w:rPr>
          <w:sz w:val="24"/>
          <w:szCs w:val="24"/>
        </w:rPr>
        <w:t xml:space="preserve">Analyses </w:t>
      </w:r>
      <w:proofErr w:type="gramStart"/>
      <w:r>
        <w:rPr>
          <w:sz w:val="24"/>
          <w:szCs w:val="24"/>
        </w:rPr>
        <w:t xml:space="preserve">were </w:t>
      </w:r>
      <w:r w:rsidR="006E0FAC" w:rsidRPr="006E0FAC">
        <w:rPr>
          <w:sz w:val="24"/>
          <w:szCs w:val="24"/>
        </w:rPr>
        <w:t>carried out</w:t>
      </w:r>
      <w:proofErr w:type="gramEnd"/>
      <w:r w:rsidR="006E0FAC" w:rsidRPr="006E0FAC">
        <w:rPr>
          <w:sz w:val="24"/>
          <w:szCs w:val="24"/>
        </w:rPr>
        <w:t xml:space="preserve"> in triplicate and the results were recorded as mean values with standard deviations ≤ 5%.</w:t>
      </w:r>
    </w:p>
    <w:p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rsidR="00F25E58" w:rsidRDefault="006A3890">
      <w:pPr>
        <w:tabs>
          <w:tab w:val="right" w:pos="6480"/>
          <w:tab w:val="left" w:pos="6379"/>
        </w:tabs>
        <w:spacing w:line="276" w:lineRule="auto"/>
        <w:ind w:right="-30"/>
        <w:rPr>
          <w:b/>
          <w:sz w:val="24"/>
          <w:szCs w:val="24"/>
        </w:rPr>
      </w:pPr>
      <w:r>
        <w:rPr>
          <w:b/>
          <w:sz w:val="24"/>
          <w:szCs w:val="24"/>
        </w:rPr>
        <w:t xml:space="preserve">2.4 </w:t>
      </w:r>
      <w:r>
        <w:rPr>
          <w:b/>
          <w:i/>
          <w:sz w:val="24"/>
          <w:szCs w:val="24"/>
        </w:rPr>
        <w:t>In-vitro</w:t>
      </w:r>
      <w:r>
        <w:rPr>
          <w:b/>
          <w:sz w:val="24"/>
          <w:szCs w:val="24"/>
        </w:rPr>
        <w:t xml:space="preserve"> test</w:t>
      </w:r>
    </w:p>
    <w:p w:rsidR="00F25E58" w:rsidRDefault="006A3890">
      <w:pPr>
        <w:tabs>
          <w:tab w:val="right" w:pos="6480"/>
          <w:tab w:val="left" w:pos="6379"/>
        </w:tabs>
        <w:spacing w:line="276" w:lineRule="auto"/>
        <w:ind w:right="-30"/>
        <w:rPr>
          <w:sz w:val="24"/>
          <w:szCs w:val="24"/>
        </w:rPr>
      </w:pPr>
      <w:r>
        <w:rPr>
          <w:sz w:val="24"/>
          <w:szCs w:val="24"/>
        </w:rPr>
        <w:t xml:space="preserve">The species used for the </w:t>
      </w:r>
      <w:r>
        <w:rPr>
          <w:i/>
          <w:sz w:val="24"/>
          <w:szCs w:val="24"/>
        </w:rPr>
        <w:t>in-vitro</w:t>
      </w:r>
      <w:r>
        <w:rPr>
          <w:sz w:val="24"/>
          <w:szCs w:val="24"/>
        </w:rPr>
        <w:t xml:space="preserve"> test were </w:t>
      </w:r>
      <w:r>
        <w:rPr>
          <w:i/>
          <w:sz w:val="24"/>
          <w:szCs w:val="24"/>
        </w:rPr>
        <w:t xml:space="preserve">Pythium </w:t>
      </w:r>
      <w:proofErr w:type="spellStart"/>
      <w:r>
        <w:rPr>
          <w:i/>
          <w:sz w:val="24"/>
          <w:szCs w:val="24"/>
        </w:rPr>
        <w:t>dissotocum</w:t>
      </w:r>
      <w:proofErr w:type="spellEnd"/>
      <w:r>
        <w:rPr>
          <w:sz w:val="24"/>
          <w:szCs w:val="24"/>
        </w:rPr>
        <w:t xml:space="preserve"> Py_diss01,</w:t>
      </w:r>
      <w:r>
        <w:rPr>
          <w:i/>
          <w:sz w:val="24"/>
          <w:szCs w:val="24"/>
        </w:rPr>
        <w:t xml:space="preserve"> P. </w:t>
      </w:r>
      <w:proofErr w:type="spellStart"/>
      <w:r>
        <w:rPr>
          <w:i/>
          <w:sz w:val="24"/>
          <w:szCs w:val="24"/>
        </w:rPr>
        <w:t>sylvaticum</w:t>
      </w:r>
      <w:proofErr w:type="spellEnd"/>
      <w:r>
        <w:rPr>
          <w:sz w:val="24"/>
          <w:szCs w:val="24"/>
        </w:rPr>
        <w:t xml:space="preserve"> Py_sylv02 e </w:t>
      </w:r>
      <w:r>
        <w:rPr>
          <w:i/>
          <w:sz w:val="24"/>
          <w:szCs w:val="24"/>
        </w:rPr>
        <w:t xml:space="preserve">P. </w:t>
      </w:r>
      <w:proofErr w:type="spellStart"/>
      <w:r>
        <w:rPr>
          <w:i/>
          <w:sz w:val="24"/>
          <w:szCs w:val="24"/>
        </w:rPr>
        <w:t>ultimum</w:t>
      </w:r>
      <w:proofErr w:type="spellEnd"/>
      <w:r>
        <w:rPr>
          <w:sz w:val="24"/>
          <w:szCs w:val="24"/>
        </w:rPr>
        <w:t xml:space="preserve"> Py_ult36 (CREA-AA Bologna), maintained on PDA at 25°C in darkness. The substrate was prepared by adding the sweet chestnut extract to the PDA in the concentration of 0% (control), 0.01%, 0.05%, 0.1%, 0.5% and 1.0% w/v. The pH </w:t>
      </w:r>
      <w:proofErr w:type="gramStart"/>
      <w:r>
        <w:rPr>
          <w:sz w:val="24"/>
          <w:szCs w:val="24"/>
        </w:rPr>
        <w:t>was corrected</w:t>
      </w:r>
      <w:proofErr w:type="gramEnd"/>
      <w:r>
        <w:rPr>
          <w:sz w:val="24"/>
          <w:szCs w:val="24"/>
        </w:rPr>
        <w:t xml:space="preserve"> to 5.6 with a KOH solution. The plates (85mm) </w:t>
      </w:r>
      <w:proofErr w:type="gramStart"/>
      <w:r>
        <w:rPr>
          <w:sz w:val="24"/>
          <w:szCs w:val="24"/>
        </w:rPr>
        <w:t>were inoculated</w:t>
      </w:r>
      <w:proofErr w:type="gramEnd"/>
      <w:r>
        <w:rPr>
          <w:sz w:val="24"/>
          <w:szCs w:val="24"/>
        </w:rPr>
        <w:t xml:space="preserve"> in the center with a 5mm disc of mycelium obtained from an active growing colony and incubated at 25°C in the darkness. The two perpendicular colony diameters </w:t>
      </w:r>
      <w:proofErr w:type="gramStart"/>
      <w:r>
        <w:rPr>
          <w:sz w:val="24"/>
          <w:szCs w:val="24"/>
        </w:rPr>
        <w:t>were registered</w:t>
      </w:r>
      <w:proofErr w:type="gramEnd"/>
      <w:r>
        <w:rPr>
          <w:sz w:val="24"/>
          <w:szCs w:val="24"/>
        </w:rPr>
        <w:t xml:space="preserve"> every 4-6 hours until the plate edge was reached. The growth inhibition (</w:t>
      </w:r>
      <w:proofErr w:type="gramStart"/>
      <w:r>
        <w:rPr>
          <w:sz w:val="24"/>
          <w:szCs w:val="24"/>
        </w:rPr>
        <w:t>%</w:t>
      </w:r>
      <w:proofErr w:type="gramEnd"/>
      <w:r>
        <w:rPr>
          <w:sz w:val="24"/>
          <w:szCs w:val="24"/>
        </w:rPr>
        <w:t xml:space="preserve">) was calculated as follows: </w:t>
      </w:r>
    </w:p>
    <w:p w:rsidR="00F25E58" w:rsidRDefault="006A3890">
      <w:pPr>
        <w:tabs>
          <w:tab w:val="right" w:pos="6480"/>
          <w:tab w:val="left" w:pos="6379"/>
        </w:tabs>
        <w:spacing w:line="276" w:lineRule="auto"/>
        <w:ind w:right="-30"/>
        <w:rPr>
          <w:sz w:val="24"/>
          <w:szCs w:val="24"/>
        </w:rPr>
      </w:pPr>
      <w:r>
        <w:rPr>
          <w:sz w:val="24"/>
          <w:szCs w:val="24"/>
        </w:rPr>
        <w:t>[(</w:t>
      </w:r>
      <w:proofErr w:type="spellStart"/>
      <w:r>
        <w:rPr>
          <w:sz w:val="24"/>
          <w:szCs w:val="24"/>
        </w:rPr>
        <w:t>diam.ctrl</w:t>
      </w:r>
      <w:proofErr w:type="spellEnd"/>
      <w:r>
        <w:rPr>
          <w:sz w:val="24"/>
          <w:szCs w:val="24"/>
        </w:rPr>
        <w:t xml:space="preserve"> - </w:t>
      </w:r>
      <w:proofErr w:type="spellStart"/>
      <w:r>
        <w:rPr>
          <w:sz w:val="24"/>
          <w:szCs w:val="24"/>
        </w:rPr>
        <w:t>diam.treated</w:t>
      </w:r>
      <w:proofErr w:type="spellEnd"/>
      <w:r>
        <w:rPr>
          <w:sz w:val="24"/>
          <w:szCs w:val="24"/>
        </w:rPr>
        <w:t>)/</w:t>
      </w:r>
      <w:proofErr w:type="spellStart"/>
      <w:r>
        <w:rPr>
          <w:sz w:val="24"/>
          <w:szCs w:val="24"/>
        </w:rPr>
        <w:t>diam.ctrl</w:t>
      </w:r>
      <w:proofErr w:type="spellEnd"/>
      <w:r>
        <w:rPr>
          <w:sz w:val="24"/>
          <w:szCs w:val="24"/>
        </w:rPr>
        <w:t>]*100</w:t>
      </w:r>
    </w:p>
    <w:p w:rsidR="00F25E58" w:rsidRDefault="006A3890">
      <w:pPr>
        <w:tabs>
          <w:tab w:val="right" w:pos="6480"/>
          <w:tab w:val="left" w:pos="6379"/>
        </w:tabs>
        <w:spacing w:line="276" w:lineRule="auto"/>
        <w:ind w:right="-30"/>
        <w:rPr>
          <w:sz w:val="24"/>
          <w:szCs w:val="24"/>
        </w:rPr>
      </w:pPr>
      <w:r>
        <w:rPr>
          <w:sz w:val="24"/>
          <w:szCs w:val="24"/>
        </w:rPr>
        <w:lastRenderedPageBreak/>
        <w:t xml:space="preserve">The </w:t>
      </w:r>
      <w:proofErr w:type="gramStart"/>
      <w:r>
        <w:rPr>
          <w:sz w:val="24"/>
          <w:szCs w:val="24"/>
        </w:rPr>
        <w:t>final result</w:t>
      </w:r>
      <w:proofErr w:type="gramEnd"/>
      <w:r>
        <w:rPr>
          <w:sz w:val="24"/>
          <w:szCs w:val="24"/>
        </w:rPr>
        <w:t xml:space="preserve"> is obtained with the mean of 5 replicates and two repetitions of the same experiment. The statistical analysis </w:t>
      </w:r>
      <w:proofErr w:type="gramStart"/>
      <w:r>
        <w:rPr>
          <w:sz w:val="24"/>
          <w:szCs w:val="24"/>
        </w:rPr>
        <w:t>was made</w:t>
      </w:r>
      <w:proofErr w:type="gramEnd"/>
      <w:r>
        <w:rPr>
          <w:sz w:val="24"/>
          <w:szCs w:val="24"/>
        </w:rPr>
        <w:t xml:space="preserve"> with DSAASTAT through the variance analysis (ANOVA). The mean separation was made using Fisher's LSD prior the angular transformations of the percentage values and the statistical significance was evaluated with a p&lt;0</w:t>
      </w:r>
      <w:proofErr w:type="gramStart"/>
      <w:r>
        <w:rPr>
          <w:sz w:val="24"/>
          <w:szCs w:val="24"/>
        </w:rPr>
        <w:t>,01</w:t>
      </w:r>
      <w:proofErr w:type="gramEnd"/>
      <w:r>
        <w:rPr>
          <w:sz w:val="24"/>
          <w:szCs w:val="24"/>
        </w:rPr>
        <w:t xml:space="preserve">. </w:t>
      </w:r>
    </w:p>
    <w:p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roofErr w:type="gramStart"/>
      <w:r>
        <w:rPr>
          <w:b/>
          <w:color w:val="000000"/>
          <w:sz w:val="24"/>
          <w:szCs w:val="24"/>
        </w:rPr>
        <w:t>3</w:t>
      </w:r>
      <w:proofErr w:type="gramEnd"/>
      <w:r>
        <w:rPr>
          <w:b/>
          <w:color w:val="000000"/>
          <w:sz w:val="24"/>
          <w:szCs w:val="24"/>
        </w:rPr>
        <w:t xml:space="preserve"> Results and discussion</w:t>
      </w:r>
    </w:p>
    <w:p w:rsidR="00F25E58" w:rsidRDefault="00F25E58">
      <w:pPr>
        <w:pBdr>
          <w:top w:val="nil"/>
          <w:left w:val="nil"/>
          <w:bottom w:val="nil"/>
          <w:right w:val="nil"/>
          <w:between w:val="nil"/>
        </w:pBdr>
        <w:tabs>
          <w:tab w:val="right" w:pos="6480"/>
          <w:tab w:val="left" w:pos="6379"/>
        </w:tabs>
        <w:spacing w:line="276" w:lineRule="auto"/>
        <w:ind w:right="-30"/>
        <w:rPr>
          <w:b/>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sz w:val="24"/>
          <w:szCs w:val="24"/>
        </w:rPr>
      </w:pPr>
      <w:r>
        <w:rPr>
          <w:b/>
          <w:sz w:val="24"/>
          <w:szCs w:val="24"/>
        </w:rPr>
        <w:t>3.1 Chemical characterization of the tannin content</w:t>
      </w:r>
    </w:p>
    <w:p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 xml:space="preserve">The HPLC-DAD-MS </w:t>
      </w:r>
      <w:proofErr w:type="spellStart"/>
      <w:r>
        <w:rPr>
          <w:color w:val="000000"/>
          <w:sz w:val="24"/>
          <w:szCs w:val="24"/>
        </w:rPr>
        <w:t>quali</w:t>
      </w:r>
      <w:proofErr w:type="spellEnd"/>
      <w:r>
        <w:rPr>
          <w:color w:val="000000"/>
          <w:sz w:val="24"/>
          <w:szCs w:val="24"/>
        </w:rPr>
        <w:t xml:space="preserve">-quantitative chemical characterization of hydrolysable tannins in the sweet chestnut dry fraction </w:t>
      </w:r>
      <w:proofErr w:type="gramStart"/>
      <w:r>
        <w:rPr>
          <w:color w:val="000000"/>
          <w:sz w:val="24"/>
          <w:szCs w:val="24"/>
        </w:rPr>
        <w:t>is shown</w:t>
      </w:r>
      <w:proofErr w:type="gramEnd"/>
      <w:r>
        <w:rPr>
          <w:color w:val="000000"/>
          <w:sz w:val="24"/>
          <w:szCs w:val="24"/>
        </w:rPr>
        <w:t xml:space="preserve"> in Table 1. </w:t>
      </w:r>
    </w:p>
    <w:p w:rsidR="00F25E58" w:rsidRDefault="00F25E58">
      <w:pPr>
        <w:pBdr>
          <w:top w:val="nil"/>
          <w:left w:val="nil"/>
          <w:bottom w:val="nil"/>
          <w:right w:val="nil"/>
          <w:between w:val="nil"/>
        </w:pBdr>
        <w:tabs>
          <w:tab w:val="right" w:pos="6480"/>
          <w:tab w:val="left" w:pos="6379"/>
        </w:tabs>
        <w:spacing w:line="276" w:lineRule="auto"/>
        <w:ind w:right="-30"/>
        <w:jc w:val="left"/>
        <w:rPr>
          <w:b/>
          <w:color w:val="000000"/>
          <w:sz w:val="24"/>
          <w:szCs w:val="24"/>
        </w:rPr>
      </w:pPr>
    </w:p>
    <w:tbl>
      <w:tblPr>
        <w:tblStyle w:val="a1"/>
        <w:tblW w:w="6096" w:type="dxa"/>
        <w:jc w:val="center"/>
        <w:tblInd w:w="0" w:type="dxa"/>
        <w:tblLayout w:type="fixed"/>
        <w:tblLook w:val="0400" w:firstRow="0" w:lastRow="0" w:firstColumn="0" w:lastColumn="0" w:noHBand="0" w:noVBand="1"/>
      </w:tblPr>
      <w:tblGrid>
        <w:gridCol w:w="3761"/>
        <w:gridCol w:w="2335"/>
      </w:tblGrid>
      <w:tr w:rsidR="00F25E58" w:rsidTr="006E0FAC">
        <w:trPr>
          <w:trHeight w:val="315"/>
          <w:jc w:val="center"/>
        </w:trPr>
        <w:tc>
          <w:tcPr>
            <w:tcW w:w="6096" w:type="dxa"/>
            <w:gridSpan w:val="2"/>
            <w:tcBorders>
              <w:top w:val="nil"/>
              <w:left w:val="nil"/>
              <w:bottom w:val="single" w:sz="4" w:space="0" w:color="000000"/>
            </w:tcBorders>
            <w:shd w:val="clear" w:color="auto" w:fill="auto"/>
            <w:vAlign w:val="center"/>
          </w:tcPr>
          <w:p w:rsidR="00F25E58" w:rsidRDefault="006A3890">
            <w:pPr>
              <w:spacing w:line="240" w:lineRule="auto"/>
              <w:jc w:val="left"/>
              <w:rPr>
                <w:sz w:val="18"/>
                <w:szCs w:val="18"/>
              </w:rPr>
            </w:pPr>
            <w:r>
              <w:rPr>
                <w:sz w:val="18"/>
                <w:szCs w:val="18"/>
              </w:rPr>
              <w:t xml:space="preserve"> Table 1. </w:t>
            </w:r>
            <w:proofErr w:type="spellStart"/>
            <w:r>
              <w:rPr>
                <w:sz w:val="18"/>
                <w:szCs w:val="18"/>
              </w:rPr>
              <w:t>Quali</w:t>
            </w:r>
            <w:proofErr w:type="spellEnd"/>
            <w:r>
              <w:rPr>
                <w:sz w:val="18"/>
                <w:szCs w:val="18"/>
              </w:rPr>
              <w:t xml:space="preserve">-quantitative HPLC-DAD-MS characterization of the </w:t>
            </w:r>
            <w:proofErr w:type="spellStart"/>
            <w:r>
              <w:rPr>
                <w:sz w:val="18"/>
                <w:szCs w:val="18"/>
              </w:rPr>
              <w:t>hydrolyzable</w:t>
            </w:r>
            <w:proofErr w:type="spellEnd"/>
            <w:r>
              <w:rPr>
                <w:sz w:val="18"/>
                <w:szCs w:val="18"/>
              </w:rPr>
              <w:t xml:space="preserve"> tannins in sweet chestnut dry extract. Data expressed in mg compounds per g of extract.</w:t>
            </w:r>
          </w:p>
        </w:tc>
      </w:tr>
      <w:tr w:rsidR="00F25E58" w:rsidTr="006E0FAC">
        <w:trPr>
          <w:trHeight w:val="315"/>
          <w:jc w:val="center"/>
        </w:trPr>
        <w:tc>
          <w:tcPr>
            <w:tcW w:w="3761" w:type="dxa"/>
            <w:tcBorders>
              <w:top w:val="single" w:sz="4" w:space="0" w:color="000000"/>
              <w:left w:val="nil"/>
              <w:bottom w:val="single" w:sz="4" w:space="0" w:color="000000"/>
              <w:right w:val="nil"/>
            </w:tcBorders>
            <w:shd w:val="clear" w:color="auto" w:fill="auto"/>
            <w:vAlign w:val="center"/>
          </w:tcPr>
          <w:p w:rsidR="00F25E58" w:rsidRDefault="00F25E58">
            <w:pPr>
              <w:spacing w:line="240" w:lineRule="auto"/>
              <w:jc w:val="left"/>
              <w:rPr>
                <w:sz w:val="18"/>
                <w:szCs w:val="18"/>
              </w:rPr>
            </w:pPr>
          </w:p>
        </w:tc>
        <w:tc>
          <w:tcPr>
            <w:tcW w:w="2335"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mg/g</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Vescalin</w:t>
            </w:r>
            <w:proofErr w:type="spellEnd"/>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9.260</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Castalin</w:t>
            </w:r>
            <w:proofErr w:type="spellEnd"/>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8.126</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Pedunculagin</w:t>
            </w:r>
            <w:proofErr w:type="spellEnd"/>
            <w:r>
              <w:rPr>
                <w:color w:val="000000"/>
                <w:sz w:val="18"/>
                <w:szCs w:val="18"/>
              </w:rPr>
              <w:t xml:space="preserve"> I</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9.974</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3.811</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r>
              <w:rPr>
                <w:color w:val="000000"/>
                <w:sz w:val="18"/>
                <w:szCs w:val="18"/>
              </w:rPr>
              <w:t>Gallic acid</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16.157</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Vescalagin</w:t>
            </w:r>
            <w:proofErr w:type="spellEnd"/>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47.633</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r>
              <w:rPr>
                <w:color w:val="000000"/>
                <w:sz w:val="18"/>
                <w:szCs w:val="18"/>
              </w:rPr>
              <w:t xml:space="preserve">Dehydrated </w:t>
            </w:r>
            <w:proofErr w:type="spellStart"/>
            <w:r>
              <w:rPr>
                <w:color w:val="000000"/>
                <w:sz w:val="18"/>
                <w:szCs w:val="18"/>
              </w:rPr>
              <w:t>tergallic</w:t>
            </w:r>
            <w:proofErr w:type="spellEnd"/>
            <w:r>
              <w:rPr>
                <w:color w:val="000000"/>
                <w:sz w:val="18"/>
                <w:szCs w:val="18"/>
              </w:rPr>
              <w:t>-C-glucoside</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9.262</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Castalagin</w:t>
            </w:r>
            <w:proofErr w:type="spellEnd"/>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97.742</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Digalloyl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19.618</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Trigalloyl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20.566</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Tetragalloyl</w:t>
            </w:r>
            <w:proofErr w:type="spellEnd"/>
            <w:r>
              <w:rPr>
                <w:color w:val="000000"/>
                <w:sz w:val="18"/>
                <w:szCs w:val="18"/>
              </w:rPr>
              <w:t xml:space="preserve"> glucose</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7.703</w:t>
            </w:r>
          </w:p>
        </w:tc>
      </w:tr>
      <w:tr w:rsidR="00F25E58" w:rsidTr="006E0FAC">
        <w:trPr>
          <w:trHeight w:val="300"/>
          <w:jc w:val="center"/>
        </w:trPr>
        <w:tc>
          <w:tcPr>
            <w:tcW w:w="3761" w:type="dxa"/>
            <w:tcBorders>
              <w:top w:val="nil"/>
              <w:left w:val="nil"/>
              <w:bottom w:val="nil"/>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w:t>
            </w:r>
          </w:p>
        </w:tc>
        <w:tc>
          <w:tcPr>
            <w:tcW w:w="2335"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6.072</w:t>
            </w:r>
          </w:p>
        </w:tc>
      </w:tr>
      <w:tr w:rsidR="00F25E58" w:rsidTr="006E0FAC">
        <w:trPr>
          <w:trHeight w:val="300"/>
          <w:jc w:val="center"/>
        </w:trPr>
        <w:tc>
          <w:tcPr>
            <w:tcW w:w="3761" w:type="dxa"/>
            <w:tcBorders>
              <w:top w:val="nil"/>
              <w:left w:val="nil"/>
              <w:bottom w:val="single" w:sz="4" w:space="0" w:color="000000"/>
              <w:right w:val="nil"/>
            </w:tcBorders>
            <w:shd w:val="clear" w:color="auto" w:fill="auto"/>
            <w:vAlign w:val="center"/>
          </w:tcPr>
          <w:p w:rsidR="00F25E58" w:rsidRDefault="006A3890">
            <w:pPr>
              <w:spacing w:line="240" w:lineRule="auto"/>
              <w:jc w:val="left"/>
              <w:rPr>
                <w:color w:val="000000"/>
                <w:sz w:val="18"/>
                <w:szCs w:val="18"/>
              </w:rPr>
            </w:pPr>
            <w:proofErr w:type="spellStart"/>
            <w:r>
              <w:rPr>
                <w:color w:val="000000"/>
                <w:sz w:val="18"/>
                <w:szCs w:val="18"/>
              </w:rPr>
              <w:t>Pentagalloyl</w:t>
            </w:r>
            <w:proofErr w:type="spellEnd"/>
            <w:r>
              <w:rPr>
                <w:color w:val="000000"/>
                <w:sz w:val="18"/>
                <w:szCs w:val="18"/>
              </w:rPr>
              <w:t xml:space="preserve"> glucose</w:t>
            </w:r>
          </w:p>
        </w:tc>
        <w:tc>
          <w:tcPr>
            <w:tcW w:w="2335" w:type="dxa"/>
            <w:tcBorders>
              <w:top w:val="nil"/>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4.258</w:t>
            </w:r>
          </w:p>
        </w:tc>
      </w:tr>
      <w:tr w:rsidR="00F25E58" w:rsidTr="006E0FAC">
        <w:trPr>
          <w:trHeight w:val="315"/>
          <w:jc w:val="center"/>
        </w:trPr>
        <w:tc>
          <w:tcPr>
            <w:tcW w:w="3761" w:type="dxa"/>
            <w:tcBorders>
              <w:top w:val="single" w:sz="4" w:space="0" w:color="000000"/>
              <w:left w:val="nil"/>
              <w:bottom w:val="single" w:sz="8" w:space="0" w:color="000000"/>
              <w:right w:val="nil"/>
            </w:tcBorders>
            <w:shd w:val="clear" w:color="auto" w:fill="auto"/>
            <w:vAlign w:val="center"/>
          </w:tcPr>
          <w:p w:rsidR="00F25E58" w:rsidRDefault="006A3890">
            <w:pPr>
              <w:spacing w:line="240" w:lineRule="auto"/>
              <w:jc w:val="left"/>
              <w:rPr>
                <w:b/>
                <w:color w:val="000000"/>
                <w:sz w:val="18"/>
                <w:szCs w:val="18"/>
              </w:rPr>
            </w:pPr>
            <w:r>
              <w:rPr>
                <w:b/>
                <w:color w:val="000000"/>
                <w:sz w:val="18"/>
                <w:szCs w:val="18"/>
              </w:rPr>
              <w:t>Tot</w:t>
            </w:r>
          </w:p>
        </w:tc>
        <w:tc>
          <w:tcPr>
            <w:tcW w:w="2335" w:type="dxa"/>
            <w:tcBorders>
              <w:top w:val="single" w:sz="4" w:space="0" w:color="000000"/>
              <w:left w:val="nil"/>
              <w:bottom w:val="single" w:sz="8" w:space="0" w:color="000000"/>
              <w:right w:val="nil"/>
            </w:tcBorders>
            <w:shd w:val="clear" w:color="auto" w:fill="auto"/>
            <w:vAlign w:val="center"/>
          </w:tcPr>
          <w:p w:rsidR="00F25E58" w:rsidRDefault="006A3890">
            <w:pPr>
              <w:spacing w:line="240" w:lineRule="auto"/>
              <w:jc w:val="left"/>
              <w:rPr>
                <w:b/>
                <w:sz w:val="18"/>
                <w:szCs w:val="18"/>
              </w:rPr>
            </w:pPr>
            <w:r>
              <w:rPr>
                <w:b/>
                <w:sz w:val="18"/>
                <w:szCs w:val="18"/>
              </w:rPr>
              <w:t>260.180</w:t>
            </w:r>
          </w:p>
        </w:tc>
      </w:tr>
    </w:tbl>
    <w:p w:rsidR="00F25E58" w:rsidRDefault="00F25E58">
      <w:pPr>
        <w:pBdr>
          <w:top w:val="nil"/>
          <w:left w:val="nil"/>
          <w:bottom w:val="nil"/>
          <w:right w:val="nil"/>
          <w:between w:val="nil"/>
        </w:pBdr>
        <w:tabs>
          <w:tab w:val="right" w:pos="6480"/>
          <w:tab w:val="left" w:pos="6379"/>
        </w:tabs>
        <w:spacing w:line="276" w:lineRule="auto"/>
        <w:ind w:right="-30"/>
        <w:jc w:val="left"/>
        <w:rPr>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color w:val="000000"/>
          <w:sz w:val="24"/>
          <w:szCs w:val="24"/>
        </w:rPr>
      </w:pPr>
      <w:r>
        <w:rPr>
          <w:color w:val="000000"/>
          <w:sz w:val="24"/>
          <w:szCs w:val="24"/>
        </w:rPr>
        <w:t xml:space="preserve">Both </w:t>
      </w:r>
      <w:proofErr w:type="spellStart"/>
      <w:proofErr w:type="gramStart"/>
      <w:r>
        <w:rPr>
          <w:color w:val="000000"/>
          <w:sz w:val="24"/>
          <w:szCs w:val="24"/>
        </w:rPr>
        <w:t>gallic</w:t>
      </w:r>
      <w:proofErr w:type="spellEnd"/>
      <w:proofErr w:type="gramEnd"/>
      <w:r>
        <w:rPr>
          <w:color w:val="000000"/>
          <w:sz w:val="24"/>
          <w:szCs w:val="24"/>
        </w:rPr>
        <w:t xml:space="preserve"> and </w:t>
      </w:r>
      <w:proofErr w:type="spellStart"/>
      <w:r>
        <w:rPr>
          <w:color w:val="000000"/>
          <w:sz w:val="24"/>
          <w:szCs w:val="24"/>
        </w:rPr>
        <w:t>ellagic</w:t>
      </w:r>
      <w:proofErr w:type="spellEnd"/>
      <w:r>
        <w:rPr>
          <w:color w:val="000000"/>
          <w:sz w:val="24"/>
          <w:szCs w:val="24"/>
        </w:rPr>
        <w:t xml:space="preserve"> tannins were found, and the composition confirms the standardization and stability of the commercial natural extract, for which in-depth analy</w:t>
      </w:r>
      <w:r>
        <w:rPr>
          <w:sz w:val="24"/>
          <w:szCs w:val="24"/>
        </w:rPr>
        <w:t>s</w:t>
      </w:r>
      <w:r>
        <w:rPr>
          <w:color w:val="000000"/>
          <w:sz w:val="24"/>
          <w:szCs w:val="24"/>
        </w:rPr>
        <w:t xml:space="preserve">es were carried out on previous batches (Campo et al., 2016). The total tannin content in the powder is 26% weight, with a prevalence of </w:t>
      </w:r>
      <w:proofErr w:type="spellStart"/>
      <w:r>
        <w:rPr>
          <w:color w:val="000000"/>
          <w:sz w:val="24"/>
          <w:szCs w:val="24"/>
        </w:rPr>
        <w:t>gallic</w:t>
      </w:r>
      <w:proofErr w:type="spellEnd"/>
      <w:r>
        <w:rPr>
          <w:color w:val="000000"/>
          <w:sz w:val="24"/>
          <w:szCs w:val="24"/>
        </w:rPr>
        <w:t xml:space="preserve"> acid, </w:t>
      </w:r>
      <w:proofErr w:type="spellStart"/>
      <w:r>
        <w:rPr>
          <w:color w:val="000000"/>
          <w:sz w:val="24"/>
          <w:szCs w:val="24"/>
        </w:rPr>
        <w:t>vescalagin</w:t>
      </w:r>
      <w:proofErr w:type="spellEnd"/>
      <w:r>
        <w:rPr>
          <w:color w:val="000000"/>
          <w:sz w:val="24"/>
          <w:szCs w:val="24"/>
        </w:rPr>
        <w:t xml:space="preserve"> and </w:t>
      </w:r>
      <w:proofErr w:type="spellStart"/>
      <w:r>
        <w:rPr>
          <w:color w:val="000000"/>
          <w:sz w:val="24"/>
          <w:szCs w:val="24"/>
        </w:rPr>
        <w:t>castalagin</w:t>
      </w:r>
      <w:proofErr w:type="spellEnd"/>
      <w:r>
        <w:rPr>
          <w:color w:val="000000"/>
          <w:sz w:val="24"/>
          <w:szCs w:val="24"/>
        </w:rPr>
        <w:t xml:space="preserve">, representative compounds of the </w:t>
      </w:r>
      <w:r>
        <w:rPr>
          <w:color w:val="000000"/>
          <w:sz w:val="24"/>
          <w:szCs w:val="24"/>
        </w:rPr>
        <w:lastRenderedPageBreak/>
        <w:t xml:space="preserve">vegetal species under study (1.6%, 4.8% and 9.8% respectively). It is also interesting to note the </w:t>
      </w:r>
      <w:r>
        <w:rPr>
          <w:sz w:val="24"/>
          <w:szCs w:val="24"/>
        </w:rPr>
        <w:t>small</w:t>
      </w:r>
      <w:r>
        <w:rPr>
          <w:color w:val="000000"/>
          <w:sz w:val="24"/>
          <w:szCs w:val="24"/>
        </w:rPr>
        <w:t xml:space="preserve"> relative amounts of partial hydrolysis-derived compounds like </w:t>
      </w:r>
      <w:proofErr w:type="spellStart"/>
      <w:r>
        <w:rPr>
          <w:color w:val="000000"/>
          <w:sz w:val="24"/>
          <w:szCs w:val="24"/>
        </w:rPr>
        <w:t>vescalin</w:t>
      </w:r>
      <w:proofErr w:type="spellEnd"/>
      <w:r>
        <w:rPr>
          <w:color w:val="000000"/>
          <w:sz w:val="24"/>
          <w:szCs w:val="24"/>
        </w:rPr>
        <w:t xml:space="preserve">, </w:t>
      </w:r>
      <w:proofErr w:type="spellStart"/>
      <w:r>
        <w:rPr>
          <w:color w:val="000000"/>
          <w:sz w:val="24"/>
          <w:szCs w:val="24"/>
        </w:rPr>
        <w:t>castalin</w:t>
      </w:r>
      <w:proofErr w:type="spellEnd"/>
      <w:r>
        <w:rPr>
          <w:color w:val="000000"/>
          <w:sz w:val="24"/>
          <w:szCs w:val="24"/>
        </w:rPr>
        <w:t xml:space="preserve"> and </w:t>
      </w:r>
      <w:proofErr w:type="spellStart"/>
      <w:r>
        <w:rPr>
          <w:color w:val="000000"/>
          <w:sz w:val="24"/>
          <w:szCs w:val="24"/>
        </w:rPr>
        <w:t>pedunculagin</w:t>
      </w:r>
      <w:proofErr w:type="spellEnd"/>
      <w:r>
        <w:rPr>
          <w:color w:val="000000"/>
          <w:sz w:val="24"/>
          <w:szCs w:val="24"/>
        </w:rPr>
        <w:t xml:space="preserve">: despite the extraction conditions in high temperature water, high molecular weight tannins </w:t>
      </w:r>
      <w:proofErr w:type="gramStart"/>
      <w:r>
        <w:rPr>
          <w:color w:val="000000"/>
          <w:sz w:val="24"/>
          <w:szCs w:val="24"/>
        </w:rPr>
        <w:t>are mostly preserved</w:t>
      </w:r>
      <w:proofErr w:type="gramEnd"/>
      <w:r>
        <w:rPr>
          <w:color w:val="000000"/>
          <w:sz w:val="24"/>
          <w:szCs w:val="24"/>
        </w:rPr>
        <w:t xml:space="preserve"> during extraction. The extract was chemically stable as demonstrated by control HPLC-DAD-MS analysis after 6 and 12 months.</w:t>
      </w:r>
    </w:p>
    <w:p w:rsidR="00F25E58" w:rsidRDefault="00F25E58">
      <w:pPr>
        <w:pBdr>
          <w:top w:val="nil"/>
          <w:left w:val="nil"/>
          <w:bottom w:val="nil"/>
          <w:right w:val="nil"/>
          <w:between w:val="nil"/>
        </w:pBdr>
        <w:tabs>
          <w:tab w:val="right" w:pos="6480"/>
          <w:tab w:val="left" w:pos="6379"/>
        </w:tabs>
        <w:spacing w:line="276" w:lineRule="auto"/>
        <w:ind w:right="-30"/>
        <w:rPr>
          <w:sz w:val="24"/>
          <w:szCs w:val="24"/>
        </w:rPr>
      </w:pPr>
    </w:p>
    <w:p w:rsidR="00F25E58" w:rsidRDefault="006A3890">
      <w:pPr>
        <w:tabs>
          <w:tab w:val="right" w:pos="6480"/>
          <w:tab w:val="left" w:pos="6379"/>
        </w:tabs>
        <w:spacing w:line="276" w:lineRule="auto"/>
        <w:ind w:right="-30"/>
        <w:rPr>
          <w:b/>
          <w:sz w:val="24"/>
          <w:szCs w:val="24"/>
        </w:rPr>
      </w:pPr>
      <w:r>
        <w:rPr>
          <w:b/>
          <w:sz w:val="24"/>
          <w:szCs w:val="24"/>
        </w:rPr>
        <w:t xml:space="preserve">3.2 </w:t>
      </w:r>
      <w:r>
        <w:rPr>
          <w:b/>
          <w:i/>
          <w:sz w:val="24"/>
          <w:szCs w:val="24"/>
        </w:rPr>
        <w:t>In-vitro</w:t>
      </w:r>
      <w:r>
        <w:rPr>
          <w:b/>
          <w:sz w:val="24"/>
          <w:szCs w:val="24"/>
        </w:rPr>
        <w:t xml:space="preserve"> test</w:t>
      </w:r>
    </w:p>
    <w:p w:rsidR="00F25E58" w:rsidRDefault="006A3890">
      <w:pPr>
        <w:tabs>
          <w:tab w:val="right" w:pos="6480"/>
          <w:tab w:val="left" w:pos="6379"/>
        </w:tabs>
        <w:spacing w:line="276" w:lineRule="auto"/>
        <w:ind w:right="-30"/>
        <w:rPr>
          <w:sz w:val="24"/>
          <w:szCs w:val="24"/>
        </w:rPr>
      </w:pPr>
      <w:r>
        <w:rPr>
          <w:sz w:val="24"/>
          <w:szCs w:val="24"/>
        </w:rPr>
        <w:t xml:space="preserve">The sweet chestnut extract demonstrated a good inhibitory activity against the mycelial growth of the tested </w:t>
      </w:r>
      <w:r>
        <w:rPr>
          <w:i/>
          <w:sz w:val="24"/>
          <w:szCs w:val="24"/>
        </w:rPr>
        <w:t xml:space="preserve">Pythium </w:t>
      </w:r>
      <w:r>
        <w:rPr>
          <w:sz w:val="24"/>
          <w:szCs w:val="24"/>
        </w:rPr>
        <w:t xml:space="preserve">(Table 2). The best results </w:t>
      </w:r>
      <w:proofErr w:type="gramStart"/>
      <w:r>
        <w:rPr>
          <w:sz w:val="24"/>
          <w:szCs w:val="24"/>
        </w:rPr>
        <w:t>were obtained</w:t>
      </w:r>
      <w:proofErr w:type="gramEnd"/>
      <w:r>
        <w:rPr>
          <w:sz w:val="24"/>
          <w:szCs w:val="24"/>
        </w:rPr>
        <w:t xml:space="preserve"> against </w:t>
      </w:r>
      <w:r>
        <w:rPr>
          <w:i/>
          <w:sz w:val="24"/>
          <w:szCs w:val="24"/>
        </w:rPr>
        <w:t xml:space="preserve">P. </w:t>
      </w:r>
      <w:proofErr w:type="spellStart"/>
      <w:r>
        <w:rPr>
          <w:i/>
          <w:sz w:val="24"/>
          <w:szCs w:val="24"/>
        </w:rPr>
        <w:t>sylvaticum</w:t>
      </w:r>
      <w:proofErr w:type="spellEnd"/>
      <w:r>
        <w:rPr>
          <w:sz w:val="24"/>
          <w:szCs w:val="24"/>
        </w:rPr>
        <w:t xml:space="preserve">, with scarce effect at the lowest dose (19.4% inhibition at 0.01%) but higher effects with the next two doses (73.0% and 79.4% of inhibition at 0.05% and 0.1%). Higher concentrations showed a 100% inhibition value. The same effect </w:t>
      </w:r>
      <w:proofErr w:type="gramStart"/>
      <w:r>
        <w:rPr>
          <w:sz w:val="24"/>
          <w:szCs w:val="24"/>
        </w:rPr>
        <w:t>was observed</w:t>
      </w:r>
      <w:proofErr w:type="gramEnd"/>
      <w:r>
        <w:rPr>
          <w:sz w:val="24"/>
          <w:szCs w:val="24"/>
        </w:rPr>
        <w:t xml:space="preserve"> with </w:t>
      </w:r>
      <w:r>
        <w:rPr>
          <w:i/>
          <w:sz w:val="24"/>
          <w:szCs w:val="24"/>
        </w:rPr>
        <w:t xml:space="preserve">P. </w:t>
      </w:r>
      <w:proofErr w:type="spellStart"/>
      <w:r>
        <w:rPr>
          <w:i/>
          <w:sz w:val="24"/>
          <w:szCs w:val="24"/>
        </w:rPr>
        <w:t>dissotocum</w:t>
      </w:r>
      <w:proofErr w:type="spellEnd"/>
      <w:r>
        <w:rPr>
          <w:sz w:val="24"/>
          <w:szCs w:val="24"/>
        </w:rPr>
        <w:t xml:space="preserve">, with an inhibition of 13.9% at 0.01% dose; reaching 44.3, 57.1% and 99.4% with extract concentrations of respectively 0.05%, 0.1% and 0.5%. </w:t>
      </w:r>
      <w:proofErr w:type="gramStart"/>
      <w:r>
        <w:rPr>
          <w:sz w:val="24"/>
          <w:szCs w:val="24"/>
        </w:rPr>
        <w:t>Also</w:t>
      </w:r>
      <w:proofErr w:type="gramEnd"/>
      <w:r>
        <w:rPr>
          <w:sz w:val="24"/>
          <w:szCs w:val="24"/>
        </w:rPr>
        <w:t xml:space="preserve"> in this case a 100% inhibition percentage was observed at 1.0% extract. Similarly, against </w:t>
      </w:r>
      <w:r>
        <w:rPr>
          <w:i/>
          <w:sz w:val="24"/>
          <w:szCs w:val="24"/>
        </w:rPr>
        <w:t xml:space="preserve">P. </w:t>
      </w:r>
      <w:proofErr w:type="spellStart"/>
      <w:r>
        <w:rPr>
          <w:i/>
          <w:sz w:val="24"/>
          <w:szCs w:val="24"/>
        </w:rPr>
        <w:t>ultimum</w:t>
      </w:r>
      <w:proofErr w:type="spellEnd"/>
      <w:r>
        <w:rPr>
          <w:sz w:val="24"/>
          <w:szCs w:val="24"/>
        </w:rPr>
        <w:t xml:space="preserve"> the inhibition percentage was 3.0% at 0.01% sweet chestnut extract, going up to 48.2%, 56.5% and 96</w:t>
      </w:r>
      <w:proofErr w:type="gramStart"/>
      <w:r>
        <w:rPr>
          <w:sz w:val="24"/>
          <w:szCs w:val="24"/>
        </w:rPr>
        <w:t>,6</w:t>
      </w:r>
      <w:proofErr w:type="gramEnd"/>
      <w:r>
        <w:rPr>
          <w:sz w:val="24"/>
          <w:szCs w:val="24"/>
        </w:rPr>
        <w:t xml:space="preserve">% with doses of respectively 0.05%, 0.1% and 0.5% w/v. Again, at 1.0% w/v the inhibition was 100%. In all the tests, aside from the reduced colony growth speed, it </w:t>
      </w:r>
      <w:proofErr w:type="gramStart"/>
      <w:r>
        <w:rPr>
          <w:sz w:val="24"/>
          <w:szCs w:val="24"/>
        </w:rPr>
        <w:t>was also observed</w:t>
      </w:r>
      <w:proofErr w:type="gramEnd"/>
      <w:r>
        <w:rPr>
          <w:sz w:val="24"/>
          <w:szCs w:val="24"/>
        </w:rPr>
        <w:t xml:space="preserve"> a minor mycelial density. </w:t>
      </w:r>
    </w:p>
    <w:p w:rsidR="00F25E58" w:rsidRDefault="00F25E58">
      <w:pPr>
        <w:tabs>
          <w:tab w:val="right" w:pos="6480"/>
          <w:tab w:val="left" w:pos="6379"/>
        </w:tabs>
        <w:spacing w:line="276" w:lineRule="auto"/>
        <w:ind w:right="-30"/>
        <w:jc w:val="left"/>
        <w:rPr>
          <w:b/>
          <w:sz w:val="24"/>
          <w:szCs w:val="24"/>
        </w:rPr>
      </w:pPr>
    </w:p>
    <w:tbl>
      <w:tblPr>
        <w:tblStyle w:val="a2"/>
        <w:tblW w:w="7265" w:type="dxa"/>
        <w:tblInd w:w="0" w:type="dxa"/>
        <w:tblLayout w:type="fixed"/>
        <w:tblLook w:val="0400" w:firstRow="0" w:lastRow="0" w:firstColumn="0" w:lastColumn="0" w:noHBand="0" w:noVBand="1"/>
      </w:tblPr>
      <w:tblGrid>
        <w:gridCol w:w="1770"/>
        <w:gridCol w:w="1099"/>
        <w:gridCol w:w="1099"/>
        <w:gridCol w:w="1099"/>
        <w:gridCol w:w="1099"/>
        <w:gridCol w:w="1099"/>
      </w:tblGrid>
      <w:tr w:rsidR="00F25E58">
        <w:trPr>
          <w:trHeight w:val="315"/>
        </w:trPr>
        <w:tc>
          <w:tcPr>
            <w:tcW w:w="7266" w:type="dxa"/>
            <w:gridSpan w:val="6"/>
            <w:tcBorders>
              <w:top w:val="nil"/>
              <w:left w:val="nil"/>
              <w:bottom w:val="single" w:sz="4" w:space="0" w:color="000000"/>
            </w:tcBorders>
            <w:shd w:val="clear" w:color="auto" w:fill="auto"/>
            <w:vAlign w:val="center"/>
          </w:tcPr>
          <w:p w:rsidR="00F25E58" w:rsidRDefault="006A3890">
            <w:pPr>
              <w:spacing w:line="240" w:lineRule="auto"/>
              <w:jc w:val="left"/>
              <w:rPr>
                <w:sz w:val="18"/>
                <w:szCs w:val="18"/>
              </w:rPr>
            </w:pPr>
            <w:r>
              <w:rPr>
                <w:sz w:val="18"/>
                <w:szCs w:val="18"/>
              </w:rPr>
              <w:t> Table 2. Inhibitory value (%) for each pathogen and extract concentration.</w:t>
            </w:r>
          </w:p>
        </w:tc>
      </w:tr>
      <w:tr w:rsidR="00F25E58">
        <w:trPr>
          <w:trHeight w:val="315"/>
        </w:trPr>
        <w:tc>
          <w:tcPr>
            <w:tcW w:w="1771" w:type="dxa"/>
            <w:tcBorders>
              <w:top w:val="single" w:sz="4" w:space="0" w:color="000000"/>
              <w:left w:val="nil"/>
              <w:bottom w:val="single" w:sz="4" w:space="0" w:color="000000"/>
              <w:right w:val="nil"/>
            </w:tcBorders>
            <w:shd w:val="clear" w:color="auto" w:fill="auto"/>
            <w:vAlign w:val="center"/>
          </w:tcPr>
          <w:p w:rsidR="00F25E58" w:rsidRDefault="00F25E58">
            <w:pPr>
              <w:spacing w:line="240" w:lineRule="auto"/>
              <w:jc w:val="left"/>
              <w:rPr>
                <w:sz w:val="18"/>
                <w:szCs w:val="18"/>
              </w:rPr>
            </w:pPr>
          </w:p>
        </w:tc>
        <w:tc>
          <w:tcPr>
            <w:tcW w:w="1099"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0.01%</w:t>
            </w:r>
          </w:p>
        </w:tc>
        <w:tc>
          <w:tcPr>
            <w:tcW w:w="1099"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0.05%</w:t>
            </w:r>
          </w:p>
        </w:tc>
        <w:tc>
          <w:tcPr>
            <w:tcW w:w="1099"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0.1%</w:t>
            </w:r>
          </w:p>
        </w:tc>
        <w:tc>
          <w:tcPr>
            <w:tcW w:w="1099"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0.5%</w:t>
            </w:r>
          </w:p>
        </w:tc>
        <w:tc>
          <w:tcPr>
            <w:tcW w:w="1099" w:type="dxa"/>
            <w:tcBorders>
              <w:top w:val="single" w:sz="4" w:space="0" w:color="000000"/>
              <w:left w:val="nil"/>
              <w:bottom w:val="single" w:sz="4" w:space="0" w:color="000000"/>
              <w:right w:val="nil"/>
            </w:tcBorders>
            <w:shd w:val="clear" w:color="auto" w:fill="auto"/>
            <w:vAlign w:val="center"/>
          </w:tcPr>
          <w:p w:rsidR="00F25E58" w:rsidRDefault="006A3890">
            <w:pPr>
              <w:spacing w:line="240" w:lineRule="auto"/>
              <w:jc w:val="left"/>
              <w:rPr>
                <w:sz w:val="18"/>
                <w:szCs w:val="18"/>
              </w:rPr>
            </w:pPr>
            <w:r>
              <w:rPr>
                <w:sz w:val="18"/>
                <w:szCs w:val="18"/>
              </w:rPr>
              <w:t>1.0%</w:t>
            </w:r>
          </w:p>
        </w:tc>
      </w:tr>
      <w:tr w:rsidR="00F25E58">
        <w:trPr>
          <w:trHeight w:val="300"/>
        </w:trPr>
        <w:tc>
          <w:tcPr>
            <w:tcW w:w="1771" w:type="dxa"/>
            <w:tcBorders>
              <w:top w:val="nil"/>
              <w:left w:val="nil"/>
              <w:bottom w:val="nil"/>
              <w:right w:val="nil"/>
            </w:tcBorders>
            <w:shd w:val="clear" w:color="auto" w:fill="auto"/>
            <w:vAlign w:val="center"/>
          </w:tcPr>
          <w:p w:rsidR="00F25E58" w:rsidRDefault="006A3890">
            <w:pPr>
              <w:spacing w:line="240" w:lineRule="auto"/>
              <w:jc w:val="left"/>
              <w:rPr>
                <w:i/>
                <w:sz w:val="18"/>
                <w:szCs w:val="18"/>
              </w:rPr>
            </w:pPr>
            <w:r>
              <w:rPr>
                <w:i/>
                <w:sz w:val="18"/>
                <w:szCs w:val="18"/>
              </w:rPr>
              <w:t xml:space="preserve">Pythium </w:t>
            </w:r>
            <w:proofErr w:type="spellStart"/>
            <w:r>
              <w:rPr>
                <w:i/>
                <w:sz w:val="18"/>
                <w:szCs w:val="18"/>
              </w:rPr>
              <w:t>dissotocum</w:t>
            </w:r>
            <w:proofErr w:type="spellEnd"/>
          </w:p>
        </w:tc>
        <w:tc>
          <w:tcPr>
            <w:tcW w:w="1099"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13,29a</w:t>
            </w:r>
          </w:p>
        </w:tc>
        <w:tc>
          <w:tcPr>
            <w:tcW w:w="1099"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44,27b</w:t>
            </w:r>
          </w:p>
        </w:tc>
        <w:tc>
          <w:tcPr>
            <w:tcW w:w="1099"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57,14c</w:t>
            </w:r>
          </w:p>
        </w:tc>
        <w:tc>
          <w:tcPr>
            <w:tcW w:w="1099"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99.38d</w:t>
            </w:r>
          </w:p>
        </w:tc>
        <w:tc>
          <w:tcPr>
            <w:tcW w:w="1099" w:type="dxa"/>
            <w:tcBorders>
              <w:top w:val="nil"/>
              <w:left w:val="nil"/>
              <w:bottom w:val="nil"/>
              <w:right w:val="nil"/>
            </w:tcBorders>
            <w:shd w:val="clear" w:color="auto" w:fill="auto"/>
            <w:vAlign w:val="center"/>
          </w:tcPr>
          <w:p w:rsidR="00F25E58" w:rsidRDefault="006A3890">
            <w:pPr>
              <w:spacing w:line="240" w:lineRule="auto"/>
              <w:jc w:val="left"/>
              <w:rPr>
                <w:sz w:val="18"/>
                <w:szCs w:val="18"/>
              </w:rPr>
            </w:pPr>
            <w:r>
              <w:rPr>
                <w:sz w:val="18"/>
                <w:szCs w:val="18"/>
              </w:rPr>
              <w:t>100.0d</w:t>
            </w:r>
          </w:p>
        </w:tc>
      </w:tr>
      <w:tr w:rsidR="00F25E58">
        <w:trPr>
          <w:trHeight w:val="300"/>
        </w:trPr>
        <w:tc>
          <w:tcPr>
            <w:tcW w:w="1771" w:type="dxa"/>
            <w:tcBorders>
              <w:top w:val="nil"/>
              <w:left w:val="nil"/>
              <w:right w:val="nil"/>
            </w:tcBorders>
            <w:shd w:val="clear" w:color="auto" w:fill="auto"/>
            <w:vAlign w:val="center"/>
          </w:tcPr>
          <w:p w:rsidR="00F25E58" w:rsidRDefault="006A3890">
            <w:pPr>
              <w:spacing w:line="240" w:lineRule="auto"/>
              <w:jc w:val="left"/>
              <w:rPr>
                <w:i/>
                <w:sz w:val="18"/>
                <w:szCs w:val="18"/>
              </w:rPr>
            </w:pPr>
            <w:r>
              <w:rPr>
                <w:i/>
                <w:sz w:val="18"/>
                <w:szCs w:val="18"/>
              </w:rPr>
              <w:t xml:space="preserve">Pythium </w:t>
            </w:r>
            <w:proofErr w:type="spellStart"/>
            <w:r>
              <w:rPr>
                <w:i/>
                <w:sz w:val="18"/>
                <w:szCs w:val="18"/>
              </w:rPr>
              <w:t>sylvaticum</w:t>
            </w:r>
            <w:proofErr w:type="spellEnd"/>
          </w:p>
        </w:tc>
        <w:tc>
          <w:tcPr>
            <w:tcW w:w="1099" w:type="dxa"/>
            <w:tcBorders>
              <w:top w:val="nil"/>
              <w:left w:val="nil"/>
              <w:right w:val="nil"/>
            </w:tcBorders>
            <w:shd w:val="clear" w:color="auto" w:fill="auto"/>
            <w:vAlign w:val="center"/>
          </w:tcPr>
          <w:p w:rsidR="00F25E58" w:rsidRDefault="006A3890">
            <w:pPr>
              <w:spacing w:line="240" w:lineRule="auto"/>
              <w:jc w:val="left"/>
              <w:rPr>
                <w:sz w:val="18"/>
                <w:szCs w:val="18"/>
              </w:rPr>
            </w:pPr>
            <w:r>
              <w:rPr>
                <w:sz w:val="18"/>
                <w:szCs w:val="18"/>
              </w:rPr>
              <w:t>19.44a</w:t>
            </w:r>
          </w:p>
        </w:tc>
        <w:tc>
          <w:tcPr>
            <w:tcW w:w="1099" w:type="dxa"/>
            <w:tcBorders>
              <w:top w:val="nil"/>
              <w:left w:val="nil"/>
              <w:right w:val="nil"/>
            </w:tcBorders>
            <w:shd w:val="clear" w:color="auto" w:fill="auto"/>
            <w:vAlign w:val="center"/>
          </w:tcPr>
          <w:p w:rsidR="00F25E58" w:rsidRDefault="006A3890">
            <w:pPr>
              <w:spacing w:line="240" w:lineRule="auto"/>
              <w:jc w:val="left"/>
              <w:rPr>
                <w:sz w:val="18"/>
                <w:szCs w:val="18"/>
              </w:rPr>
            </w:pPr>
            <w:r>
              <w:rPr>
                <w:sz w:val="18"/>
                <w:szCs w:val="18"/>
              </w:rPr>
              <w:t>73.05b</w:t>
            </w:r>
          </w:p>
        </w:tc>
        <w:tc>
          <w:tcPr>
            <w:tcW w:w="1099" w:type="dxa"/>
            <w:tcBorders>
              <w:top w:val="nil"/>
              <w:left w:val="nil"/>
              <w:right w:val="nil"/>
            </w:tcBorders>
            <w:shd w:val="clear" w:color="auto" w:fill="auto"/>
            <w:vAlign w:val="center"/>
          </w:tcPr>
          <w:p w:rsidR="00F25E58" w:rsidRDefault="006A3890">
            <w:pPr>
              <w:spacing w:line="240" w:lineRule="auto"/>
              <w:jc w:val="left"/>
              <w:rPr>
                <w:sz w:val="18"/>
                <w:szCs w:val="18"/>
              </w:rPr>
            </w:pPr>
            <w:r>
              <w:rPr>
                <w:sz w:val="18"/>
                <w:szCs w:val="18"/>
              </w:rPr>
              <w:t>79.39c</w:t>
            </w:r>
          </w:p>
        </w:tc>
        <w:tc>
          <w:tcPr>
            <w:tcW w:w="1099" w:type="dxa"/>
            <w:tcBorders>
              <w:top w:val="nil"/>
              <w:left w:val="nil"/>
              <w:right w:val="nil"/>
            </w:tcBorders>
            <w:shd w:val="clear" w:color="auto" w:fill="auto"/>
            <w:vAlign w:val="center"/>
          </w:tcPr>
          <w:p w:rsidR="00F25E58" w:rsidRDefault="006A3890">
            <w:pPr>
              <w:spacing w:line="240" w:lineRule="auto"/>
              <w:jc w:val="left"/>
              <w:rPr>
                <w:sz w:val="18"/>
                <w:szCs w:val="18"/>
              </w:rPr>
            </w:pPr>
            <w:r>
              <w:rPr>
                <w:sz w:val="18"/>
                <w:szCs w:val="18"/>
              </w:rPr>
              <w:t>100.0d</w:t>
            </w:r>
          </w:p>
        </w:tc>
        <w:tc>
          <w:tcPr>
            <w:tcW w:w="1099" w:type="dxa"/>
            <w:tcBorders>
              <w:top w:val="nil"/>
              <w:left w:val="nil"/>
              <w:right w:val="nil"/>
            </w:tcBorders>
            <w:shd w:val="clear" w:color="auto" w:fill="auto"/>
            <w:vAlign w:val="center"/>
          </w:tcPr>
          <w:p w:rsidR="00F25E58" w:rsidRDefault="006A3890">
            <w:pPr>
              <w:spacing w:line="240" w:lineRule="auto"/>
              <w:jc w:val="left"/>
              <w:rPr>
                <w:sz w:val="18"/>
                <w:szCs w:val="18"/>
              </w:rPr>
            </w:pPr>
            <w:r>
              <w:rPr>
                <w:sz w:val="18"/>
                <w:szCs w:val="18"/>
              </w:rPr>
              <w:t>100.0d</w:t>
            </w:r>
          </w:p>
        </w:tc>
      </w:tr>
      <w:tr w:rsidR="00F25E58">
        <w:trPr>
          <w:trHeight w:val="300"/>
        </w:trPr>
        <w:tc>
          <w:tcPr>
            <w:tcW w:w="1771" w:type="dxa"/>
            <w:tcBorders>
              <w:bottom w:val="single" w:sz="8" w:space="0" w:color="000000"/>
            </w:tcBorders>
            <w:shd w:val="clear" w:color="auto" w:fill="auto"/>
            <w:vAlign w:val="center"/>
          </w:tcPr>
          <w:p w:rsidR="00F25E58" w:rsidRDefault="006A3890">
            <w:pPr>
              <w:spacing w:line="240" w:lineRule="auto"/>
              <w:jc w:val="left"/>
              <w:rPr>
                <w:i/>
                <w:sz w:val="18"/>
                <w:szCs w:val="18"/>
              </w:rPr>
            </w:pPr>
            <w:r>
              <w:rPr>
                <w:i/>
                <w:sz w:val="18"/>
                <w:szCs w:val="18"/>
              </w:rPr>
              <w:t xml:space="preserve">Pythium </w:t>
            </w:r>
            <w:proofErr w:type="spellStart"/>
            <w:r>
              <w:rPr>
                <w:i/>
                <w:sz w:val="18"/>
                <w:szCs w:val="18"/>
              </w:rPr>
              <w:t>ultimum</w:t>
            </w:r>
            <w:proofErr w:type="spellEnd"/>
          </w:p>
        </w:tc>
        <w:tc>
          <w:tcPr>
            <w:tcW w:w="1099" w:type="dxa"/>
            <w:tcBorders>
              <w:bottom w:val="single" w:sz="8" w:space="0" w:color="000000"/>
            </w:tcBorders>
            <w:shd w:val="clear" w:color="auto" w:fill="auto"/>
            <w:vAlign w:val="center"/>
          </w:tcPr>
          <w:p w:rsidR="00F25E58" w:rsidRDefault="006A3890">
            <w:pPr>
              <w:spacing w:line="240" w:lineRule="auto"/>
              <w:jc w:val="left"/>
              <w:rPr>
                <w:sz w:val="18"/>
                <w:szCs w:val="18"/>
              </w:rPr>
            </w:pPr>
            <w:r>
              <w:rPr>
                <w:sz w:val="18"/>
                <w:szCs w:val="18"/>
              </w:rPr>
              <w:t>3.13a</w:t>
            </w:r>
          </w:p>
        </w:tc>
        <w:tc>
          <w:tcPr>
            <w:tcW w:w="1099" w:type="dxa"/>
            <w:tcBorders>
              <w:bottom w:val="single" w:sz="8" w:space="0" w:color="000000"/>
            </w:tcBorders>
            <w:shd w:val="clear" w:color="auto" w:fill="auto"/>
            <w:vAlign w:val="center"/>
          </w:tcPr>
          <w:p w:rsidR="00F25E58" w:rsidRDefault="006A3890">
            <w:pPr>
              <w:spacing w:line="240" w:lineRule="auto"/>
              <w:jc w:val="left"/>
              <w:rPr>
                <w:sz w:val="18"/>
                <w:szCs w:val="18"/>
              </w:rPr>
            </w:pPr>
            <w:r>
              <w:rPr>
                <w:sz w:val="18"/>
                <w:szCs w:val="18"/>
              </w:rPr>
              <w:t>48.18b</w:t>
            </w:r>
          </w:p>
        </w:tc>
        <w:tc>
          <w:tcPr>
            <w:tcW w:w="1099" w:type="dxa"/>
            <w:tcBorders>
              <w:bottom w:val="single" w:sz="8" w:space="0" w:color="000000"/>
            </w:tcBorders>
            <w:shd w:val="clear" w:color="auto" w:fill="auto"/>
            <w:vAlign w:val="center"/>
          </w:tcPr>
          <w:p w:rsidR="00F25E58" w:rsidRDefault="006A3890">
            <w:pPr>
              <w:spacing w:line="240" w:lineRule="auto"/>
              <w:jc w:val="left"/>
              <w:rPr>
                <w:sz w:val="18"/>
                <w:szCs w:val="18"/>
              </w:rPr>
            </w:pPr>
            <w:r>
              <w:rPr>
                <w:sz w:val="18"/>
                <w:szCs w:val="18"/>
              </w:rPr>
              <w:t>56.51c</w:t>
            </w:r>
          </w:p>
        </w:tc>
        <w:tc>
          <w:tcPr>
            <w:tcW w:w="1099" w:type="dxa"/>
            <w:tcBorders>
              <w:bottom w:val="single" w:sz="8" w:space="0" w:color="000000"/>
            </w:tcBorders>
            <w:shd w:val="clear" w:color="auto" w:fill="auto"/>
            <w:vAlign w:val="center"/>
          </w:tcPr>
          <w:p w:rsidR="00F25E58" w:rsidRDefault="006A3890">
            <w:pPr>
              <w:spacing w:line="240" w:lineRule="auto"/>
              <w:jc w:val="left"/>
              <w:rPr>
                <w:sz w:val="18"/>
                <w:szCs w:val="18"/>
              </w:rPr>
            </w:pPr>
            <w:r>
              <w:rPr>
                <w:sz w:val="18"/>
                <w:szCs w:val="18"/>
              </w:rPr>
              <w:t>96.56d</w:t>
            </w:r>
          </w:p>
        </w:tc>
        <w:tc>
          <w:tcPr>
            <w:tcW w:w="1099" w:type="dxa"/>
            <w:tcBorders>
              <w:bottom w:val="single" w:sz="8" w:space="0" w:color="000000"/>
            </w:tcBorders>
            <w:shd w:val="clear" w:color="auto" w:fill="auto"/>
            <w:vAlign w:val="center"/>
          </w:tcPr>
          <w:p w:rsidR="00F25E58" w:rsidRDefault="006A3890">
            <w:pPr>
              <w:spacing w:line="240" w:lineRule="auto"/>
              <w:jc w:val="left"/>
              <w:rPr>
                <w:sz w:val="18"/>
                <w:szCs w:val="18"/>
              </w:rPr>
            </w:pPr>
            <w:r>
              <w:rPr>
                <w:sz w:val="18"/>
                <w:szCs w:val="18"/>
              </w:rPr>
              <w:t>100.0e</w:t>
            </w:r>
          </w:p>
        </w:tc>
      </w:tr>
    </w:tbl>
    <w:p w:rsidR="00F25E58" w:rsidRDefault="00F25E58">
      <w:pPr>
        <w:tabs>
          <w:tab w:val="right" w:pos="6480"/>
          <w:tab w:val="left" w:pos="6379"/>
        </w:tabs>
        <w:spacing w:line="276" w:lineRule="auto"/>
        <w:ind w:right="-30"/>
        <w:rPr>
          <w:sz w:val="24"/>
          <w:szCs w:val="24"/>
        </w:rPr>
      </w:pPr>
    </w:p>
    <w:p w:rsidR="00F25E58" w:rsidRDefault="00F25E58">
      <w:pPr>
        <w:tabs>
          <w:tab w:val="right" w:pos="6480"/>
          <w:tab w:val="left" w:pos="6379"/>
        </w:tabs>
        <w:spacing w:line="276" w:lineRule="auto"/>
        <w:ind w:right="-30"/>
        <w:rPr>
          <w:sz w:val="24"/>
          <w:szCs w:val="24"/>
        </w:rPr>
      </w:pPr>
    </w:p>
    <w:p w:rsidR="00F25E58" w:rsidRDefault="006A3890">
      <w:pPr>
        <w:tabs>
          <w:tab w:val="right" w:pos="6480"/>
          <w:tab w:val="left" w:pos="6379"/>
        </w:tabs>
        <w:spacing w:line="276" w:lineRule="auto"/>
        <w:ind w:right="-30"/>
        <w:rPr>
          <w:sz w:val="24"/>
          <w:szCs w:val="24"/>
        </w:rPr>
      </w:pPr>
      <w:r>
        <w:rPr>
          <w:sz w:val="24"/>
          <w:szCs w:val="24"/>
        </w:rPr>
        <w:t xml:space="preserve">In the </w:t>
      </w:r>
      <w:proofErr w:type="gramStart"/>
      <w:r>
        <w:rPr>
          <w:sz w:val="24"/>
          <w:szCs w:val="24"/>
        </w:rPr>
        <w:t>literature</w:t>
      </w:r>
      <w:proofErr w:type="gramEnd"/>
      <w:r>
        <w:rPr>
          <w:sz w:val="24"/>
          <w:szCs w:val="24"/>
        </w:rPr>
        <w:t xml:space="preserve"> there is some evidence about the vulnerability of </w:t>
      </w:r>
      <w:r>
        <w:rPr>
          <w:i/>
          <w:sz w:val="24"/>
          <w:szCs w:val="24"/>
        </w:rPr>
        <w:t>Pythium</w:t>
      </w:r>
      <w:r>
        <w:rPr>
          <w:sz w:val="24"/>
          <w:szCs w:val="24"/>
        </w:rPr>
        <w:t xml:space="preserve"> against tannins. In a paper by Khan </w:t>
      </w:r>
      <w:r>
        <w:rPr>
          <w:i/>
          <w:sz w:val="24"/>
          <w:szCs w:val="24"/>
        </w:rPr>
        <w:t>et al.</w:t>
      </w:r>
      <w:r>
        <w:rPr>
          <w:sz w:val="24"/>
          <w:szCs w:val="24"/>
        </w:rPr>
        <w:t xml:space="preserve"> (</w:t>
      </w:r>
      <w:proofErr w:type="gramStart"/>
      <w:r>
        <w:rPr>
          <w:sz w:val="24"/>
          <w:szCs w:val="24"/>
        </w:rPr>
        <w:t>1996)</w:t>
      </w:r>
      <w:proofErr w:type="gramEnd"/>
      <w:r>
        <w:rPr>
          <w:sz w:val="24"/>
          <w:szCs w:val="24"/>
        </w:rPr>
        <w:t xml:space="preserve"> a 100% inhibition was observed of</w:t>
      </w:r>
      <w:r>
        <w:rPr>
          <w:i/>
          <w:sz w:val="24"/>
          <w:szCs w:val="24"/>
        </w:rPr>
        <w:t xml:space="preserve"> P. </w:t>
      </w:r>
      <w:proofErr w:type="spellStart"/>
      <w:r>
        <w:rPr>
          <w:i/>
          <w:sz w:val="24"/>
          <w:szCs w:val="24"/>
        </w:rPr>
        <w:t>aphanidermatum</w:t>
      </w:r>
      <w:proofErr w:type="spellEnd"/>
      <w:r>
        <w:rPr>
          <w:sz w:val="24"/>
          <w:szCs w:val="24"/>
        </w:rPr>
        <w:t xml:space="preserve"> using 0.1% </w:t>
      </w:r>
      <w:proofErr w:type="spellStart"/>
      <w:r>
        <w:rPr>
          <w:sz w:val="24"/>
          <w:szCs w:val="24"/>
        </w:rPr>
        <w:t>gallic</w:t>
      </w:r>
      <w:proofErr w:type="spellEnd"/>
      <w:r>
        <w:rPr>
          <w:sz w:val="24"/>
          <w:szCs w:val="24"/>
        </w:rPr>
        <w:t xml:space="preserve"> acid. In other studies on lines of cotton (Kenneth, 2009), broad bean (Kantar</w:t>
      </w:r>
      <w:r>
        <w:rPr>
          <w:i/>
          <w:sz w:val="24"/>
          <w:szCs w:val="24"/>
        </w:rPr>
        <w:t xml:space="preserve"> et al.</w:t>
      </w:r>
      <w:r>
        <w:rPr>
          <w:sz w:val="24"/>
          <w:szCs w:val="24"/>
        </w:rPr>
        <w:t xml:space="preserve">, 1996) and peas (Kraft, 1974) a correlation was observed between tannins and other </w:t>
      </w:r>
      <w:r>
        <w:rPr>
          <w:sz w:val="24"/>
          <w:szCs w:val="24"/>
        </w:rPr>
        <w:lastRenderedPageBreak/>
        <w:t xml:space="preserve">polyphenols in the seeds integuments or in the seedlings exudates, and the resistance against some </w:t>
      </w:r>
      <w:r>
        <w:rPr>
          <w:i/>
          <w:sz w:val="24"/>
          <w:szCs w:val="24"/>
        </w:rPr>
        <w:t>Pythium</w:t>
      </w:r>
      <w:r>
        <w:rPr>
          <w:sz w:val="24"/>
          <w:szCs w:val="24"/>
        </w:rPr>
        <w:t xml:space="preserve">. The present work confirms this hypothesis, demonstrating that sweet chestnut hydrolysable tannins have a repressive activity against the mycelial growth of the tested pathogens. Concentration of 0.5% determinate and inhibition just under 100%, while a 1.0% dose allowed the complete inhibition of all the </w:t>
      </w:r>
      <w:r>
        <w:rPr>
          <w:i/>
          <w:sz w:val="24"/>
          <w:szCs w:val="24"/>
        </w:rPr>
        <w:t>Pythium</w:t>
      </w:r>
      <w:r>
        <w:rPr>
          <w:sz w:val="24"/>
          <w:szCs w:val="24"/>
        </w:rPr>
        <w:t xml:space="preserve"> tested.  </w:t>
      </w:r>
    </w:p>
    <w:p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roofErr w:type="gramStart"/>
      <w:r>
        <w:rPr>
          <w:b/>
          <w:color w:val="000000"/>
          <w:sz w:val="24"/>
          <w:szCs w:val="24"/>
        </w:rPr>
        <w:t>4</w:t>
      </w:r>
      <w:proofErr w:type="gramEnd"/>
      <w:r>
        <w:rPr>
          <w:b/>
          <w:color w:val="000000"/>
          <w:sz w:val="24"/>
          <w:szCs w:val="24"/>
        </w:rPr>
        <w:t xml:space="preserve"> Conclusions and future perspectives</w:t>
      </w:r>
    </w:p>
    <w:p w:rsidR="006A3890" w:rsidRDefault="006A3890">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sz w:val="24"/>
          <w:szCs w:val="24"/>
        </w:rPr>
        <w:t xml:space="preserve">The results shown are quite promising and more tests should be necessary to confirm </w:t>
      </w:r>
      <w:r>
        <w:rPr>
          <w:i/>
          <w:sz w:val="24"/>
          <w:szCs w:val="24"/>
        </w:rPr>
        <w:t>in-vivo</w:t>
      </w:r>
      <w:r>
        <w:rPr>
          <w:sz w:val="24"/>
          <w:szCs w:val="24"/>
        </w:rPr>
        <w:t xml:space="preserve"> these evidences. If confirmed, innovative applications </w:t>
      </w:r>
      <w:proofErr w:type="gramStart"/>
      <w:r>
        <w:rPr>
          <w:sz w:val="24"/>
          <w:szCs w:val="24"/>
        </w:rPr>
        <w:t>could be hypothesized</w:t>
      </w:r>
      <w:proofErr w:type="gramEnd"/>
      <w:r>
        <w:rPr>
          <w:sz w:val="24"/>
          <w:szCs w:val="24"/>
        </w:rPr>
        <w:t xml:space="preserve"> in the development of </w:t>
      </w:r>
      <w:r w:rsidR="003C37A8">
        <w:rPr>
          <w:sz w:val="24"/>
          <w:szCs w:val="24"/>
        </w:rPr>
        <w:t xml:space="preserve">useful </w:t>
      </w:r>
      <w:r>
        <w:rPr>
          <w:sz w:val="24"/>
          <w:szCs w:val="24"/>
        </w:rPr>
        <w:t xml:space="preserve">products for the </w:t>
      </w:r>
      <w:proofErr w:type="spellStart"/>
      <w:r>
        <w:rPr>
          <w:sz w:val="24"/>
          <w:szCs w:val="24"/>
        </w:rPr>
        <w:t>defence</w:t>
      </w:r>
      <w:proofErr w:type="spellEnd"/>
      <w:r>
        <w:rPr>
          <w:sz w:val="24"/>
          <w:szCs w:val="24"/>
        </w:rPr>
        <w:t xml:space="preserve"> against </w:t>
      </w:r>
      <w:proofErr w:type="spellStart"/>
      <w:r>
        <w:rPr>
          <w:sz w:val="24"/>
          <w:szCs w:val="24"/>
        </w:rPr>
        <w:t>pythopatogens</w:t>
      </w:r>
      <w:proofErr w:type="spellEnd"/>
      <w:r>
        <w:rPr>
          <w:sz w:val="24"/>
          <w:szCs w:val="24"/>
        </w:rPr>
        <w:t xml:space="preserve"> </w:t>
      </w:r>
      <w:r>
        <w:rPr>
          <w:i/>
          <w:sz w:val="24"/>
          <w:szCs w:val="24"/>
        </w:rPr>
        <w:t>Pythium</w:t>
      </w:r>
      <w:r>
        <w:rPr>
          <w:sz w:val="24"/>
          <w:szCs w:val="24"/>
        </w:rPr>
        <w:t xml:space="preserve">, also in line with the growing interest toward eco sustainable solutions for the reduction of chemical inputs in agriculture.  </w:t>
      </w:r>
    </w:p>
    <w:p w:rsidR="00F25E58" w:rsidRDefault="006A3890">
      <w:pPr>
        <w:pBdr>
          <w:top w:val="nil"/>
          <w:left w:val="nil"/>
          <w:bottom w:val="nil"/>
          <w:right w:val="nil"/>
          <w:between w:val="nil"/>
        </w:pBdr>
        <w:tabs>
          <w:tab w:val="right" w:pos="6480"/>
          <w:tab w:val="left" w:pos="6379"/>
        </w:tabs>
        <w:spacing w:line="276" w:lineRule="auto"/>
        <w:ind w:right="-30"/>
        <w:rPr>
          <w:sz w:val="24"/>
          <w:szCs w:val="24"/>
        </w:rPr>
      </w:pPr>
      <w:r>
        <w:rPr>
          <w:sz w:val="24"/>
          <w:szCs w:val="24"/>
        </w:rPr>
        <w:t xml:space="preserve">The possible applications range from the use into the sowing substrates for ornamental and vegetables seedlings to prevent </w:t>
      </w:r>
      <w:r>
        <w:rPr>
          <w:i/>
          <w:sz w:val="24"/>
          <w:szCs w:val="24"/>
        </w:rPr>
        <w:t>Pythium</w:t>
      </w:r>
      <w:r>
        <w:rPr>
          <w:sz w:val="24"/>
          <w:szCs w:val="24"/>
        </w:rPr>
        <w:t xml:space="preserve"> infestations, up to the development of products aimed at the bio-</w:t>
      </w:r>
      <w:proofErr w:type="spellStart"/>
      <w:r>
        <w:rPr>
          <w:sz w:val="24"/>
          <w:szCs w:val="24"/>
        </w:rPr>
        <w:t>defence</w:t>
      </w:r>
      <w:proofErr w:type="spellEnd"/>
      <w:r>
        <w:rPr>
          <w:sz w:val="24"/>
          <w:szCs w:val="24"/>
        </w:rPr>
        <w:t xml:space="preserve"> of cultures. Moreover, due to the dependence of </w:t>
      </w:r>
      <w:r>
        <w:rPr>
          <w:i/>
          <w:sz w:val="24"/>
          <w:szCs w:val="24"/>
        </w:rPr>
        <w:t>Pythium</w:t>
      </w:r>
      <w:r>
        <w:rPr>
          <w:sz w:val="24"/>
          <w:szCs w:val="24"/>
        </w:rPr>
        <w:t xml:space="preserve"> spp. from the aquatic environment and the damages that can cause against hydroponic cultures (</w:t>
      </w:r>
      <w:proofErr w:type="spellStart"/>
      <w:r>
        <w:rPr>
          <w:sz w:val="24"/>
          <w:szCs w:val="24"/>
        </w:rPr>
        <w:t>Kanjanamaneesathian</w:t>
      </w:r>
      <w:proofErr w:type="spellEnd"/>
      <w:r>
        <w:rPr>
          <w:sz w:val="24"/>
          <w:szCs w:val="24"/>
        </w:rPr>
        <w:t xml:space="preserve"> </w:t>
      </w:r>
      <w:r>
        <w:rPr>
          <w:i/>
          <w:sz w:val="24"/>
          <w:szCs w:val="24"/>
        </w:rPr>
        <w:t>et al</w:t>
      </w:r>
      <w:r>
        <w:rPr>
          <w:sz w:val="24"/>
          <w:szCs w:val="24"/>
        </w:rPr>
        <w:t xml:space="preserve">., 2014), it could be interesting to investigate the application of tannins in this sector, especially for what concerns the prevention. </w:t>
      </w:r>
    </w:p>
    <w:p w:rsidR="00F25E58" w:rsidRDefault="00F25E58">
      <w:pPr>
        <w:pBdr>
          <w:top w:val="nil"/>
          <w:left w:val="nil"/>
          <w:bottom w:val="nil"/>
          <w:right w:val="nil"/>
          <w:between w:val="nil"/>
        </w:pBdr>
        <w:tabs>
          <w:tab w:val="right" w:pos="6480"/>
          <w:tab w:val="left" w:pos="6379"/>
        </w:tabs>
        <w:spacing w:line="276" w:lineRule="auto"/>
        <w:ind w:right="-30"/>
        <w:rPr>
          <w:b/>
          <w:color w:val="000000"/>
          <w:sz w:val="24"/>
          <w:szCs w:val="24"/>
        </w:rPr>
      </w:pPr>
    </w:p>
    <w:p w:rsidR="00F25E58" w:rsidRDefault="006A3890">
      <w:pPr>
        <w:pBdr>
          <w:top w:val="nil"/>
          <w:left w:val="nil"/>
          <w:bottom w:val="nil"/>
          <w:right w:val="nil"/>
          <w:between w:val="nil"/>
        </w:pBdr>
        <w:tabs>
          <w:tab w:val="right" w:pos="6480"/>
          <w:tab w:val="left" w:pos="6379"/>
        </w:tabs>
        <w:spacing w:line="276" w:lineRule="auto"/>
        <w:ind w:right="-30"/>
        <w:rPr>
          <w:b/>
          <w:color w:val="000000"/>
        </w:rPr>
      </w:pPr>
      <w:proofErr w:type="gramStart"/>
      <w:r>
        <w:rPr>
          <w:b/>
          <w:color w:val="000000"/>
        </w:rPr>
        <w:t>5</w:t>
      </w:r>
      <w:proofErr w:type="gramEnd"/>
      <w:r>
        <w:rPr>
          <w:b/>
          <w:color w:val="000000"/>
        </w:rPr>
        <w:t xml:space="preserve"> References</w:t>
      </w:r>
    </w:p>
    <w:p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r>
        <w:rPr>
          <w:color w:val="000000"/>
        </w:rPr>
        <w:t xml:space="preserve">Campo M, </w:t>
      </w:r>
      <w:proofErr w:type="spellStart"/>
      <w:r>
        <w:rPr>
          <w:color w:val="000000"/>
        </w:rPr>
        <w:t>Pinelli</w:t>
      </w:r>
      <w:proofErr w:type="spellEnd"/>
      <w:r>
        <w:rPr>
          <w:color w:val="000000"/>
        </w:rPr>
        <w:t xml:space="preserve"> P, Romani A (2016) </w:t>
      </w:r>
      <w:proofErr w:type="spellStart"/>
      <w:r>
        <w:rPr>
          <w:color w:val="000000"/>
        </w:rPr>
        <w:t>Hydrolyzable</w:t>
      </w:r>
      <w:proofErr w:type="spellEnd"/>
      <w:r>
        <w:rPr>
          <w:color w:val="000000"/>
        </w:rPr>
        <w:t xml:space="preserve"> tannins from sweet chestnut fractions obtained by a sustainable and eco-friendly industrial process. Nat. Prod. </w:t>
      </w:r>
      <w:proofErr w:type="spellStart"/>
      <w:r>
        <w:rPr>
          <w:color w:val="000000"/>
        </w:rPr>
        <w:t>Commun</w:t>
      </w:r>
      <w:proofErr w:type="spellEnd"/>
      <w:r>
        <w:rPr>
          <w:color w:val="000000"/>
        </w:rPr>
        <w:t xml:space="preserve">. </w:t>
      </w:r>
      <w:proofErr w:type="gramStart"/>
      <w:r>
        <w:rPr>
          <w:color w:val="000000"/>
        </w:rPr>
        <w:t>11</w:t>
      </w:r>
      <w:proofErr w:type="gramEnd"/>
      <w:r>
        <w:rPr>
          <w:color w:val="000000"/>
        </w:rPr>
        <w:t>: 109-415.</w:t>
      </w:r>
    </w:p>
    <w:p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proofErr w:type="spellStart"/>
      <w:r>
        <w:rPr>
          <w:color w:val="000000"/>
        </w:rPr>
        <w:t>Castellini</w:t>
      </w:r>
      <w:proofErr w:type="spellEnd"/>
      <w:r>
        <w:rPr>
          <w:color w:val="000000"/>
        </w:rPr>
        <w:t xml:space="preserve"> A, Palmieri A, </w:t>
      </w:r>
      <w:proofErr w:type="spellStart"/>
      <w:r>
        <w:rPr>
          <w:color w:val="000000"/>
        </w:rPr>
        <w:t>Pirazzoli</w:t>
      </w:r>
      <w:proofErr w:type="spellEnd"/>
      <w:r>
        <w:rPr>
          <w:color w:val="000000"/>
        </w:rPr>
        <w:t xml:space="preserve"> C (2009) Economic aspects of the chestnut market in Italy. In I European Congress on Chestnut-</w:t>
      </w:r>
      <w:proofErr w:type="spellStart"/>
      <w:r>
        <w:rPr>
          <w:color w:val="000000"/>
        </w:rPr>
        <w:t>Castanea</w:t>
      </w:r>
      <w:proofErr w:type="spellEnd"/>
      <w:r>
        <w:rPr>
          <w:color w:val="000000"/>
        </w:rPr>
        <w:t xml:space="preserve"> 2009 866: 485-492.</w:t>
      </w:r>
    </w:p>
    <w:p w:rsidR="00F25E58" w:rsidRDefault="006A3890">
      <w:pPr>
        <w:pBdr>
          <w:top w:val="nil"/>
          <w:left w:val="nil"/>
          <w:bottom w:val="nil"/>
          <w:right w:val="nil"/>
          <w:between w:val="nil"/>
        </w:pBdr>
        <w:tabs>
          <w:tab w:val="right" w:pos="6480"/>
          <w:tab w:val="left" w:pos="6379"/>
        </w:tabs>
        <w:spacing w:line="276" w:lineRule="auto"/>
        <w:ind w:right="-30" w:firstLine="142"/>
      </w:pPr>
      <w:proofErr w:type="spellStart"/>
      <w:r>
        <w:t>Kanjanamaneesathan</w:t>
      </w:r>
      <w:proofErr w:type="spellEnd"/>
      <w:r>
        <w:t xml:space="preserve"> M, </w:t>
      </w:r>
      <w:proofErr w:type="spellStart"/>
      <w:r>
        <w:t>Wiwattanapatapee</w:t>
      </w:r>
      <w:proofErr w:type="spellEnd"/>
      <w:r>
        <w:t xml:space="preserve"> R, </w:t>
      </w:r>
      <w:proofErr w:type="spellStart"/>
      <w:r>
        <w:t>Rotniam</w:t>
      </w:r>
      <w:proofErr w:type="spellEnd"/>
      <w:r>
        <w:t xml:space="preserve"> W </w:t>
      </w:r>
      <w:r>
        <w:rPr>
          <w:i/>
        </w:rPr>
        <w:t>et al</w:t>
      </w:r>
      <w:r>
        <w:t xml:space="preserve">., (2014). Spraying hydroponic lettuce roots with a suspension concentrate formulation of </w:t>
      </w:r>
      <w:r>
        <w:rPr>
          <w:i/>
        </w:rPr>
        <w:t xml:space="preserve">Bacillus </w:t>
      </w:r>
      <w:proofErr w:type="spellStart"/>
      <w:r>
        <w:rPr>
          <w:i/>
        </w:rPr>
        <w:t>velezensis</w:t>
      </w:r>
      <w:proofErr w:type="spellEnd"/>
      <w:r>
        <w:t xml:space="preserve"> to suppress root rot disease and promote plant growth. </w:t>
      </w:r>
      <w:r>
        <w:rPr>
          <w:i/>
        </w:rPr>
        <w:t>New Zealand Plant Protection</w:t>
      </w:r>
      <w:r>
        <w:t xml:space="preserve">, </w:t>
      </w:r>
      <w:r>
        <w:rPr>
          <w:i/>
        </w:rPr>
        <w:t>67</w:t>
      </w:r>
      <w:r>
        <w:t>, 213-219</w:t>
      </w:r>
    </w:p>
    <w:p w:rsidR="00F25E58" w:rsidRDefault="006A3890">
      <w:pPr>
        <w:pBdr>
          <w:top w:val="nil"/>
          <w:left w:val="nil"/>
          <w:bottom w:val="nil"/>
          <w:right w:val="nil"/>
          <w:between w:val="nil"/>
        </w:pBdr>
        <w:tabs>
          <w:tab w:val="right" w:pos="6480"/>
          <w:tab w:val="left" w:pos="6379"/>
        </w:tabs>
        <w:spacing w:line="276" w:lineRule="auto"/>
        <w:ind w:right="-30" w:firstLine="142"/>
      </w:pPr>
      <w:r>
        <w:t xml:space="preserve">Kantar F, </w:t>
      </w:r>
      <w:proofErr w:type="spellStart"/>
      <w:r>
        <w:t>Hebblewaite</w:t>
      </w:r>
      <w:proofErr w:type="spellEnd"/>
      <w:r>
        <w:t xml:space="preserve"> PD, </w:t>
      </w:r>
      <w:proofErr w:type="spellStart"/>
      <w:r>
        <w:t>Pilbeam</w:t>
      </w:r>
      <w:proofErr w:type="spellEnd"/>
      <w:r>
        <w:t xml:space="preserve"> CJ (1996). Factors influencing disease resistance in high and low tannin </w:t>
      </w:r>
      <w:proofErr w:type="spellStart"/>
      <w:r>
        <w:rPr>
          <w:i/>
        </w:rPr>
        <w:t>Vicia</w:t>
      </w:r>
      <w:proofErr w:type="spellEnd"/>
      <w:r>
        <w:rPr>
          <w:i/>
        </w:rPr>
        <w:t xml:space="preserve"> </w:t>
      </w:r>
      <w:proofErr w:type="spellStart"/>
      <w:r>
        <w:rPr>
          <w:i/>
        </w:rPr>
        <w:t>faba</w:t>
      </w:r>
      <w:proofErr w:type="spellEnd"/>
      <w:r>
        <w:t>. Journal of Agricultural Science, 127:83-88.</w:t>
      </w:r>
    </w:p>
    <w:p w:rsidR="00F25E58" w:rsidRDefault="006A3890">
      <w:pPr>
        <w:pBdr>
          <w:top w:val="nil"/>
          <w:left w:val="nil"/>
          <w:bottom w:val="nil"/>
          <w:right w:val="nil"/>
          <w:between w:val="nil"/>
        </w:pBdr>
        <w:tabs>
          <w:tab w:val="right" w:pos="6480"/>
          <w:tab w:val="left" w:pos="6379"/>
        </w:tabs>
        <w:spacing w:line="276" w:lineRule="auto"/>
        <w:ind w:right="-30" w:firstLine="142"/>
      </w:pPr>
      <w:r>
        <w:lastRenderedPageBreak/>
        <w:t xml:space="preserve">Kenneth RL (2009). The evaluation of high tannin cotton lines for resistance to </w:t>
      </w:r>
      <w:proofErr w:type="spellStart"/>
      <w:r>
        <w:t>Rhizoctonia</w:t>
      </w:r>
      <w:proofErr w:type="spellEnd"/>
      <w:r>
        <w:t xml:space="preserve"> </w:t>
      </w:r>
      <w:proofErr w:type="spellStart"/>
      <w:r>
        <w:t>solani</w:t>
      </w:r>
      <w:proofErr w:type="spellEnd"/>
      <w:r>
        <w:t xml:space="preserve"> and Pythium </w:t>
      </w:r>
      <w:proofErr w:type="spellStart"/>
      <w:r>
        <w:t>aphanidermatum</w:t>
      </w:r>
      <w:proofErr w:type="spellEnd"/>
      <w:r>
        <w:t>. Ph.D. Diss. Texas A&amp;M University, College Station, TX.</w:t>
      </w:r>
    </w:p>
    <w:p w:rsidR="00F25E58" w:rsidRDefault="006A3890">
      <w:pPr>
        <w:pBdr>
          <w:top w:val="nil"/>
          <w:left w:val="nil"/>
          <w:bottom w:val="nil"/>
          <w:right w:val="nil"/>
          <w:between w:val="nil"/>
        </w:pBdr>
        <w:tabs>
          <w:tab w:val="right" w:pos="6480"/>
          <w:tab w:val="left" w:pos="6379"/>
        </w:tabs>
        <w:spacing w:line="276" w:lineRule="auto"/>
        <w:ind w:right="-30" w:firstLine="142"/>
      </w:pPr>
      <w:r>
        <w:t xml:space="preserve">Khan AJ, </w:t>
      </w:r>
      <w:proofErr w:type="spellStart"/>
      <w:r>
        <w:t>Zouba</w:t>
      </w:r>
      <w:proofErr w:type="spellEnd"/>
      <w:r>
        <w:t xml:space="preserve"> AA, </w:t>
      </w:r>
      <w:proofErr w:type="spellStart"/>
      <w:r>
        <w:t>Seapy</w:t>
      </w:r>
      <w:proofErr w:type="spellEnd"/>
      <w:r>
        <w:t xml:space="preserve"> DG (1996). Antifungal activity from leaves of Acacia </w:t>
      </w:r>
      <w:proofErr w:type="spellStart"/>
      <w:r>
        <w:t>nilotica</w:t>
      </w:r>
      <w:proofErr w:type="spellEnd"/>
      <w:r>
        <w:t xml:space="preserve"> against Pythium </w:t>
      </w:r>
      <w:proofErr w:type="spellStart"/>
      <w:r>
        <w:t>aphanidermatum</w:t>
      </w:r>
      <w:proofErr w:type="spellEnd"/>
      <w:r>
        <w:t>. Journal of Agricultural and Marine Sciences [JAMS], 1, 7-11.</w:t>
      </w:r>
    </w:p>
    <w:p w:rsidR="00F25E58" w:rsidRDefault="006A3890">
      <w:pPr>
        <w:pBdr>
          <w:top w:val="nil"/>
          <w:left w:val="nil"/>
          <w:bottom w:val="nil"/>
          <w:right w:val="nil"/>
          <w:between w:val="nil"/>
        </w:pBdr>
        <w:tabs>
          <w:tab w:val="right" w:pos="6480"/>
          <w:tab w:val="left" w:pos="6379"/>
        </w:tabs>
        <w:spacing w:line="276" w:lineRule="auto"/>
        <w:ind w:right="-30" w:firstLine="142"/>
      </w:pPr>
      <w:r>
        <w:t xml:space="preserve">Kraft JM (1974). The influence of seedling exudates on the resistance of peas to </w:t>
      </w:r>
      <w:r>
        <w:rPr>
          <w:i/>
        </w:rPr>
        <w:t>Fusarium</w:t>
      </w:r>
      <w:r>
        <w:t xml:space="preserve"> and</w:t>
      </w:r>
      <w:r>
        <w:rPr>
          <w:i/>
        </w:rPr>
        <w:t xml:space="preserve"> Pythium</w:t>
      </w:r>
      <w:r>
        <w:t xml:space="preserve"> root rot. Phytopathology, 64, 190-193.</w:t>
      </w:r>
    </w:p>
    <w:p w:rsidR="00F25E58" w:rsidRDefault="006A3890">
      <w:pPr>
        <w:pBdr>
          <w:top w:val="nil"/>
          <w:left w:val="nil"/>
          <w:bottom w:val="nil"/>
          <w:right w:val="nil"/>
          <w:between w:val="nil"/>
        </w:pBdr>
        <w:tabs>
          <w:tab w:val="right" w:pos="6480"/>
          <w:tab w:val="left" w:pos="6379"/>
        </w:tabs>
        <w:spacing w:line="276" w:lineRule="auto"/>
        <w:ind w:right="-30" w:firstLine="142"/>
        <w:rPr>
          <w:b/>
          <w:color w:val="000000"/>
        </w:rPr>
      </w:pPr>
      <w:proofErr w:type="spellStart"/>
      <w:r>
        <w:rPr>
          <w:color w:val="000000"/>
        </w:rPr>
        <w:t>Lucarini</w:t>
      </w:r>
      <w:proofErr w:type="spellEnd"/>
      <w:r>
        <w:rPr>
          <w:color w:val="000000"/>
        </w:rPr>
        <w:t xml:space="preserve"> M, </w:t>
      </w:r>
      <w:proofErr w:type="spellStart"/>
      <w:r>
        <w:rPr>
          <w:color w:val="000000"/>
        </w:rPr>
        <w:t>Durazzo</w:t>
      </w:r>
      <w:proofErr w:type="spellEnd"/>
      <w:r>
        <w:rPr>
          <w:color w:val="000000"/>
        </w:rPr>
        <w:t xml:space="preserve"> A, Romani A </w:t>
      </w:r>
      <w:r>
        <w:rPr>
          <w:i/>
          <w:color w:val="000000"/>
        </w:rPr>
        <w:t xml:space="preserve">et al </w:t>
      </w:r>
      <w:r>
        <w:rPr>
          <w:color w:val="000000"/>
        </w:rPr>
        <w:t xml:space="preserve">(2018) Bio-based compounds from grape seeds: a </w:t>
      </w:r>
      <w:proofErr w:type="spellStart"/>
      <w:r>
        <w:rPr>
          <w:color w:val="000000"/>
        </w:rPr>
        <w:t>biorefinery</w:t>
      </w:r>
      <w:proofErr w:type="spellEnd"/>
      <w:r>
        <w:rPr>
          <w:color w:val="000000"/>
        </w:rPr>
        <w:t xml:space="preserve"> approach. Molecules 23:1888.</w:t>
      </w:r>
    </w:p>
    <w:p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proofErr w:type="spellStart"/>
      <w:r>
        <w:rPr>
          <w:color w:val="000000"/>
        </w:rPr>
        <w:t>Pagliaro</w:t>
      </w:r>
      <w:proofErr w:type="spellEnd"/>
      <w:r>
        <w:rPr>
          <w:color w:val="000000"/>
        </w:rPr>
        <w:t xml:space="preserve"> M, Albanese L, </w:t>
      </w:r>
      <w:proofErr w:type="spellStart"/>
      <w:r>
        <w:rPr>
          <w:color w:val="000000"/>
        </w:rPr>
        <w:t>Scurria</w:t>
      </w:r>
      <w:proofErr w:type="spellEnd"/>
      <w:r>
        <w:rPr>
          <w:color w:val="000000"/>
        </w:rPr>
        <w:t xml:space="preserve"> A</w:t>
      </w:r>
      <w:r>
        <w:rPr>
          <w:i/>
          <w:color w:val="000000"/>
        </w:rPr>
        <w:t xml:space="preserve"> et al</w:t>
      </w:r>
      <w:r>
        <w:rPr>
          <w:color w:val="000000"/>
        </w:rPr>
        <w:t xml:space="preserve"> (2021) Tannin: a new insight into a key product for the </w:t>
      </w:r>
      <w:proofErr w:type="spellStart"/>
      <w:r>
        <w:rPr>
          <w:color w:val="000000"/>
        </w:rPr>
        <w:t>bioeconomy</w:t>
      </w:r>
      <w:proofErr w:type="spellEnd"/>
      <w:r>
        <w:rPr>
          <w:color w:val="000000"/>
        </w:rPr>
        <w:t xml:space="preserve"> in forest regions. Biofuel. </w:t>
      </w:r>
      <w:proofErr w:type="spellStart"/>
      <w:r>
        <w:rPr>
          <w:color w:val="000000"/>
        </w:rPr>
        <w:t>Bioprod</w:t>
      </w:r>
      <w:proofErr w:type="spellEnd"/>
      <w:r>
        <w:rPr>
          <w:color w:val="000000"/>
        </w:rPr>
        <w:t xml:space="preserve">. </w:t>
      </w:r>
      <w:proofErr w:type="spellStart"/>
      <w:r>
        <w:rPr>
          <w:color w:val="000000"/>
        </w:rPr>
        <w:t>Biorefin</w:t>
      </w:r>
      <w:proofErr w:type="spellEnd"/>
      <w:r>
        <w:rPr>
          <w:color w:val="000000"/>
        </w:rPr>
        <w:t>. 15(4): 973-979.</w:t>
      </w:r>
    </w:p>
    <w:p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proofErr w:type="spellStart"/>
      <w:r>
        <w:rPr>
          <w:color w:val="000000"/>
        </w:rPr>
        <w:t>Pizzi</w:t>
      </w:r>
      <w:proofErr w:type="spellEnd"/>
      <w:r>
        <w:rPr>
          <w:color w:val="000000"/>
        </w:rPr>
        <w:t xml:space="preserve"> A (2021) Tannins medical/pharmacological and related applications: A critical review. Sustain. Chem. Pharm. 22: 100481.</w:t>
      </w:r>
    </w:p>
    <w:p w:rsidR="00F25E58" w:rsidRDefault="006A3890">
      <w:pPr>
        <w:pBdr>
          <w:top w:val="nil"/>
          <w:left w:val="nil"/>
          <w:bottom w:val="nil"/>
          <w:right w:val="nil"/>
          <w:between w:val="nil"/>
        </w:pBdr>
        <w:tabs>
          <w:tab w:val="right" w:pos="6480"/>
          <w:tab w:val="left" w:pos="6379"/>
        </w:tabs>
        <w:spacing w:line="276" w:lineRule="auto"/>
        <w:ind w:right="-30" w:firstLine="142"/>
        <w:rPr>
          <w:color w:val="000000"/>
        </w:rPr>
      </w:pPr>
      <w:r>
        <w:rPr>
          <w:color w:val="000000"/>
        </w:rPr>
        <w:t xml:space="preserve">Romani A, Campo M, </w:t>
      </w:r>
      <w:proofErr w:type="spellStart"/>
      <w:r>
        <w:rPr>
          <w:color w:val="000000"/>
        </w:rPr>
        <w:t>Lagioia</w:t>
      </w:r>
      <w:proofErr w:type="spellEnd"/>
      <w:r>
        <w:rPr>
          <w:color w:val="000000"/>
        </w:rPr>
        <w:t xml:space="preserve">, G et al (2020) A Sustainable Approach to the Re-use of Biomass: Synergy </w:t>
      </w:r>
      <w:proofErr w:type="gramStart"/>
      <w:r>
        <w:rPr>
          <w:color w:val="000000"/>
        </w:rPr>
        <w:t>Between</w:t>
      </w:r>
      <w:proofErr w:type="gramEnd"/>
      <w:r>
        <w:rPr>
          <w:color w:val="000000"/>
        </w:rPr>
        <w:t xml:space="preserve"> Circular Agroindustry and </w:t>
      </w:r>
      <w:proofErr w:type="spellStart"/>
      <w:r>
        <w:rPr>
          <w:color w:val="000000"/>
        </w:rPr>
        <w:t>Biorefinery</w:t>
      </w:r>
      <w:proofErr w:type="spellEnd"/>
      <w:r>
        <w:rPr>
          <w:color w:val="000000"/>
        </w:rPr>
        <w:t xml:space="preserve"> Models. In: </w:t>
      </w:r>
      <w:proofErr w:type="spellStart"/>
      <w:r>
        <w:rPr>
          <w:color w:val="000000"/>
        </w:rPr>
        <w:t>Salomone</w:t>
      </w:r>
      <w:proofErr w:type="spellEnd"/>
      <w:r>
        <w:rPr>
          <w:color w:val="000000"/>
        </w:rPr>
        <w:t xml:space="preserve"> R, </w:t>
      </w:r>
      <w:proofErr w:type="spellStart"/>
      <w:r>
        <w:rPr>
          <w:color w:val="000000"/>
        </w:rPr>
        <w:t>Cecchin</w:t>
      </w:r>
      <w:proofErr w:type="spellEnd"/>
      <w:r>
        <w:rPr>
          <w:color w:val="000000"/>
        </w:rPr>
        <w:t xml:space="preserve"> A, </w:t>
      </w:r>
      <w:proofErr w:type="spellStart"/>
      <w:r>
        <w:rPr>
          <w:color w:val="000000"/>
        </w:rPr>
        <w:t>Deutz</w:t>
      </w:r>
      <w:proofErr w:type="spellEnd"/>
      <w:r>
        <w:rPr>
          <w:color w:val="000000"/>
        </w:rPr>
        <w:t xml:space="preserve"> P, </w:t>
      </w:r>
      <w:proofErr w:type="spellStart"/>
      <w:r>
        <w:rPr>
          <w:color w:val="000000"/>
        </w:rPr>
        <w:t>Raggi</w:t>
      </w:r>
      <w:proofErr w:type="spellEnd"/>
      <w:r>
        <w:rPr>
          <w:color w:val="000000"/>
        </w:rPr>
        <w:t xml:space="preserve"> A, </w:t>
      </w:r>
      <w:proofErr w:type="spellStart"/>
      <w:r>
        <w:rPr>
          <w:color w:val="000000"/>
        </w:rPr>
        <w:t>Cutaia</w:t>
      </w:r>
      <w:proofErr w:type="spellEnd"/>
      <w:r>
        <w:rPr>
          <w:color w:val="000000"/>
        </w:rPr>
        <w:t xml:space="preserve"> L (</w:t>
      </w:r>
      <w:proofErr w:type="spellStart"/>
      <w:r>
        <w:rPr>
          <w:color w:val="000000"/>
        </w:rPr>
        <w:t>ed</w:t>
      </w:r>
      <w:proofErr w:type="spellEnd"/>
      <w:r>
        <w:rPr>
          <w:color w:val="000000"/>
        </w:rPr>
        <w:t>) Industrial Symbiosis for the Circular Economy - Operational Experiences, Best Practices and Obstacles to a Collaborative Business Approach. Springer, p. 165-179</w:t>
      </w:r>
    </w:p>
    <w:p w:rsidR="00F25E58" w:rsidRDefault="006A3890">
      <w:pPr>
        <w:pBdr>
          <w:top w:val="nil"/>
          <w:left w:val="nil"/>
          <w:bottom w:val="nil"/>
          <w:right w:val="nil"/>
          <w:between w:val="nil"/>
        </w:pBdr>
        <w:tabs>
          <w:tab w:val="right" w:pos="6480"/>
          <w:tab w:val="left" w:pos="6379"/>
        </w:tabs>
        <w:spacing w:line="276" w:lineRule="auto"/>
        <w:ind w:right="-30" w:firstLine="142"/>
        <w:rPr>
          <w:color w:val="2E75B5"/>
          <w:sz w:val="18"/>
          <w:szCs w:val="18"/>
        </w:rPr>
      </w:pPr>
      <w:bookmarkStart w:id="1" w:name="_heading=h.gjdgxs" w:colFirst="0" w:colLast="0"/>
      <w:bookmarkEnd w:id="1"/>
      <w:r>
        <w:rPr>
          <w:color w:val="000000"/>
        </w:rPr>
        <w:t xml:space="preserve">Romani A, Simone G, Campo M, et al (2021) Sweet chestnut standardized fractions from sustainable circular process and green tea extract: </w:t>
      </w:r>
      <w:r>
        <w:rPr>
          <w:i/>
          <w:color w:val="000000"/>
        </w:rPr>
        <w:t>In vitro</w:t>
      </w:r>
      <w:r>
        <w:t xml:space="preserve"> </w:t>
      </w:r>
      <w:r>
        <w:rPr>
          <w:color w:val="000000"/>
        </w:rPr>
        <w:t xml:space="preserve">inhibitory activity against </w:t>
      </w:r>
      <w:proofErr w:type="spellStart"/>
      <w:r>
        <w:rPr>
          <w:color w:val="000000"/>
        </w:rPr>
        <w:t>phytopathogenic</w:t>
      </w:r>
      <w:proofErr w:type="spellEnd"/>
      <w:r>
        <w:rPr>
          <w:color w:val="000000"/>
        </w:rPr>
        <w:t xml:space="preserve"> fungi for innovative applications in green agriculture. </w:t>
      </w:r>
      <w:proofErr w:type="spellStart"/>
      <w:r>
        <w:rPr>
          <w:color w:val="000000"/>
        </w:rPr>
        <w:t>PloS</w:t>
      </w:r>
      <w:proofErr w:type="spellEnd"/>
      <w:r>
        <w:rPr>
          <w:color w:val="000000"/>
        </w:rPr>
        <w:t xml:space="preserve"> one 16(2): e0247298.</w:t>
      </w:r>
    </w:p>
    <w:sectPr w:rsidR="00F25E58">
      <w:headerReference w:type="even" r:id="rId10"/>
      <w:headerReference w:type="default" r:id="rId11"/>
      <w:headerReference w:type="first" r:id="rId12"/>
      <w:footerReference w:type="first" r:id="rId13"/>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68" w:rsidRDefault="006A3890">
      <w:pPr>
        <w:spacing w:line="240" w:lineRule="auto"/>
      </w:pPr>
      <w:r>
        <w:separator/>
      </w:r>
    </w:p>
  </w:endnote>
  <w:endnote w:type="continuationSeparator" w:id="0">
    <w:p w:rsidR="00C60F68" w:rsidRDefault="006A3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58" w:rsidRDefault="006A3890">
    <w:pPr>
      <w:jc w:val="center"/>
      <w:rPr>
        <w:sz w:val="18"/>
        <w:szCs w:val="18"/>
      </w:rPr>
    </w:pPr>
    <w:r>
      <w:rPr>
        <w:sz w:val="18"/>
        <w:szCs w:val="18"/>
      </w:rPr>
      <w:fldChar w:fldCharType="begin"/>
    </w:r>
    <w:r>
      <w:rPr>
        <w:sz w:val="18"/>
        <w:szCs w:val="18"/>
      </w:rPr>
      <w:instrText>PAGE</w:instrText>
    </w:r>
    <w:r>
      <w:rPr>
        <w:sz w:val="18"/>
        <w:szCs w:val="18"/>
      </w:rPr>
      <w:fldChar w:fldCharType="separate"/>
    </w:r>
    <w:r w:rsidR="00DA3254">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68" w:rsidRDefault="006A3890">
      <w:pPr>
        <w:spacing w:line="240" w:lineRule="auto"/>
      </w:pPr>
      <w:r>
        <w:separator/>
      </w:r>
    </w:p>
  </w:footnote>
  <w:footnote w:type="continuationSeparator" w:id="0">
    <w:p w:rsidR="00C60F68" w:rsidRDefault="006A3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58" w:rsidRDefault="006A3890">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lang w:val="it-IT"/>
      </w:rPr>
      <mc:AlternateContent>
        <mc:Choice Requires="wpg">
          <w:drawing>
            <wp:anchor distT="0" distB="0" distL="114300" distR="114300" simplePos="0" relativeHeight="251660288" behindDoc="0" locked="0" layoutInCell="1" hidden="0" allowOverlap="1">
              <wp:simplePos x="0" y="0"/>
              <wp:positionH relativeFrom="page">
                <wp:align>center</wp:align>
              </wp:positionH>
              <wp:positionV relativeFrom="page">
                <wp:align>center</wp:align>
              </wp:positionV>
              <wp:extent cx="6939915" cy="9613265"/>
              <wp:effectExtent l="0" t="0" r="0" b="0"/>
              <wp:wrapNone/>
              <wp:docPr id="61" name=""/>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37" name="Gruppo 37"/>
                      <wpg:cNvGrpSpPr/>
                      <wpg:grpSpPr>
                        <a:xfrm>
                          <a:off x="1876043" y="-250"/>
                          <a:ext cx="6939922" cy="7560499"/>
                          <a:chOff x="1876043" y="-500"/>
                          <a:chExt cx="6939916" cy="7560998"/>
                        </a:xfrm>
                      </wpg:grpSpPr>
                      <wps:wsp>
                        <wps:cNvPr id="38" name="Rettangolo 38"/>
                        <wps:cNvSpPr/>
                        <wps:spPr>
                          <a:xfrm>
                            <a:off x="1876043" y="-250"/>
                            <a:ext cx="6939900" cy="75604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39" name="Gruppo 39"/>
                        <wpg:cNvGrpSpPr/>
                        <wpg:grpSpPr>
                          <a:xfrm>
                            <a:off x="1876043" y="-500"/>
                            <a:ext cx="6939916" cy="7560998"/>
                            <a:chOff x="0" y="-634"/>
                            <a:chExt cx="6940007" cy="9614352"/>
                          </a:xfrm>
                        </wpg:grpSpPr>
                        <wps:wsp>
                          <wps:cNvPr id="40" name="Rettangolo 40"/>
                          <wps:cNvSpPr/>
                          <wps:spPr>
                            <a:xfrm>
                              <a:off x="0" y="0"/>
                              <a:ext cx="6940000" cy="96130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41" name="Gruppo 41"/>
                          <wpg:cNvGrpSpPr/>
                          <wpg:grpSpPr>
                            <a:xfrm>
                              <a:off x="636" y="-634"/>
                              <a:ext cx="6928773" cy="415779"/>
                              <a:chOff x="496" y="843"/>
                              <a:chExt cx="10909" cy="655"/>
                            </a:xfrm>
                          </wpg:grpSpPr>
                          <wpg:grpSp>
                            <wpg:cNvPr id="42" name="Gruppo 42"/>
                            <wpg:cNvGrpSpPr/>
                            <wpg:grpSpPr>
                              <a:xfrm>
                                <a:off x="10767" y="845"/>
                                <a:ext cx="639" cy="653"/>
                                <a:chOff x="10778" y="845"/>
                                <a:chExt cx="639" cy="653"/>
                              </a:xfrm>
                            </wpg:grpSpPr>
                            <wps:wsp>
                              <wps:cNvPr id="43" name="Connettore 2 4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4" name="Connettore 2 4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45" name="Gruppo 45"/>
                            <wpg:cNvGrpSpPr/>
                            <wpg:grpSpPr>
                              <a:xfrm flipH="1">
                                <a:off x="496" y="843"/>
                                <a:ext cx="639" cy="653"/>
                                <a:chOff x="10778" y="845"/>
                                <a:chExt cx="639" cy="653"/>
                              </a:xfrm>
                            </wpg:grpSpPr>
                            <wps:wsp>
                              <wps:cNvPr id="46" name="Connettore 2 4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7" name="Connettore 2 4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48" name="Gruppo 48"/>
                          <wpg:cNvGrpSpPr/>
                          <wpg:grpSpPr>
                            <a:xfrm rot="10800000" flipH="1">
                              <a:off x="11522" y="9198429"/>
                              <a:ext cx="6928485" cy="415289"/>
                              <a:chOff x="496" y="843"/>
                              <a:chExt cx="10909" cy="655"/>
                            </a:xfrm>
                          </wpg:grpSpPr>
                          <wpg:grpSp>
                            <wpg:cNvPr id="49" name="Gruppo 49"/>
                            <wpg:cNvGrpSpPr/>
                            <wpg:grpSpPr>
                              <a:xfrm>
                                <a:off x="10767" y="845"/>
                                <a:ext cx="639" cy="653"/>
                                <a:chOff x="10778" y="845"/>
                                <a:chExt cx="639" cy="653"/>
                              </a:xfrm>
                            </wpg:grpSpPr>
                            <wps:wsp>
                              <wps:cNvPr id="50" name="Connettore 2 5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1" name="Connettore 2 5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2" name="Gruppo 52"/>
                            <wpg:cNvGrpSpPr/>
                            <wpg:grpSpPr>
                              <a:xfrm flipH="1">
                                <a:off x="496" y="843"/>
                                <a:ext cx="639" cy="653"/>
                                <a:chOff x="10778" y="845"/>
                                <a:chExt cx="639" cy="653"/>
                              </a:xfrm>
                            </wpg:grpSpPr>
                            <wps:wsp>
                              <wps:cNvPr id="53" name="Connettore 2 5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4" name="Connettore 2 5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6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DA3254">
      <w:rPr>
        <w:noProof/>
        <w:color w:val="000000"/>
        <w:sz w:val="18"/>
        <w:szCs w:val="18"/>
      </w:rPr>
      <w:t>8</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58" w:rsidRDefault="006A3890">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sz w:val="20"/>
        <w:szCs w:val="20"/>
        <w:lang w:val="it-IT"/>
      </w:rPr>
      <mc:AlternateContent>
        <mc:Choice Requires="wpg">
          <w:drawing>
            <wp:anchor distT="0" distB="0" distL="114300" distR="114300" simplePos="0" relativeHeight="251658240" behindDoc="0" locked="0" layoutInCell="1" hidden="0" allowOverlap="1">
              <wp:simplePos x="0" y="0"/>
              <wp:positionH relativeFrom="page">
                <wp:posOffset>412913</wp:posOffset>
              </wp:positionH>
              <wp:positionV relativeFrom="page">
                <wp:posOffset>540638</wp:posOffset>
              </wp:positionV>
              <wp:extent cx="6939915" cy="9613265"/>
              <wp:effectExtent l="0" t="0" r="0" b="0"/>
              <wp:wrapNone/>
              <wp:docPr id="57" name=""/>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 name="Gruppo 1"/>
                      <wpg:cNvGrpSpPr/>
                      <wpg:grpSpPr>
                        <a:xfrm>
                          <a:off x="1876043" y="-250"/>
                          <a:ext cx="6939922" cy="7560499"/>
                          <a:chOff x="1876043" y="-500"/>
                          <a:chExt cx="6939916" cy="7560998"/>
                        </a:xfrm>
                      </wpg:grpSpPr>
                      <wps:wsp>
                        <wps:cNvPr id="2" name="Rettangolo 2"/>
                        <wps:cNvSpPr/>
                        <wps:spPr>
                          <a:xfrm>
                            <a:off x="1876043" y="-250"/>
                            <a:ext cx="6939900" cy="75604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39916" cy="7560998"/>
                            <a:chOff x="0" y="-634"/>
                            <a:chExt cx="6940007" cy="9614352"/>
                          </a:xfrm>
                        </wpg:grpSpPr>
                        <wps:wsp>
                          <wps:cNvPr id="4" name="Rettangolo 4"/>
                          <wps:cNvSpPr/>
                          <wps:spPr>
                            <a:xfrm>
                              <a:off x="0" y="0"/>
                              <a:ext cx="6940000" cy="96130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636" y="-634"/>
                              <a:ext cx="6928773" cy="415779"/>
                              <a:chOff x="496" y="843"/>
                              <a:chExt cx="10909" cy="655"/>
                            </a:xfrm>
                          </wpg:grpSpPr>
                          <wpg:grpSp>
                            <wpg:cNvPr id="6" name="Gruppo 6"/>
                            <wpg:cNvGrpSpPr/>
                            <wpg:grpSpPr>
                              <a:xfrm>
                                <a:off x="10767" y="845"/>
                                <a:ext cx="639" cy="653"/>
                                <a:chOff x="10778" y="845"/>
                                <a:chExt cx="639" cy="653"/>
                              </a:xfrm>
                            </wpg:grpSpPr>
                            <wps:wsp>
                              <wps:cNvPr id="7" name="Connettore 2 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8" name="Connettore 2 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9" name="Gruppo 9"/>
                            <wpg:cNvGrpSpPr/>
                            <wpg:grpSpPr>
                              <a:xfrm flipH="1">
                                <a:off x="496" y="843"/>
                                <a:ext cx="639" cy="653"/>
                                <a:chOff x="10778" y="845"/>
                                <a:chExt cx="639" cy="653"/>
                              </a:xfrm>
                            </wpg:grpSpPr>
                            <wps:wsp>
                              <wps:cNvPr id="10" name="Connettore 2 1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 name="Connettore 2 1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 name="Gruppo 12"/>
                          <wpg:cNvGrpSpPr/>
                          <wpg:grpSpPr>
                            <a:xfrm rot="10800000" flipH="1">
                              <a:off x="11522" y="9198429"/>
                              <a:ext cx="6928485" cy="415289"/>
                              <a:chOff x="496" y="843"/>
                              <a:chExt cx="10909" cy="655"/>
                            </a:xfrm>
                          </wpg:grpSpPr>
                          <wpg:grpSp>
                            <wpg:cNvPr id="13" name="Gruppo 13"/>
                            <wpg:cNvGrpSpPr/>
                            <wpg:grpSpPr>
                              <a:xfrm>
                                <a:off x="10767" y="845"/>
                                <a:ext cx="639" cy="653"/>
                                <a:chOff x="10778" y="845"/>
                                <a:chExt cx="639" cy="653"/>
                              </a:xfrm>
                            </wpg:grpSpPr>
                            <wps:wsp>
                              <wps:cNvPr id="14" name="Connettore 2 1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5" name="Connettore 2 1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6" name="Gruppo 16"/>
                            <wpg:cNvGrpSpPr/>
                            <wpg:grpSpPr>
                              <a:xfrm flipH="1">
                                <a:off x="496" y="843"/>
                                <a:ext cx="639" cy="653"/>
                                <a:chOff x="10778" y="845"/>
                                <a:chExt cx="639" cy="653"/>
                              </a:xfrm>
                            </wpg:grpSpPr>
                            <wps:wsp>
                              <wps:cNvPr id="17" name="Connettore 2 1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8" name="Connettore 2 1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412913</wp:posOffset>
              </wp:positionH>
              <wp:positionV relativeFrom="page">
                <wp:posOffset>540638</wp:posOffset>
              </wp:positionV>
              <wp:extent cx="6939915" cy="9613265"/>
              <wp:effectExtent b="0" l="0" r="0" t="0"/>
              <wp:wrapNone/>
              <wp:docPr id="5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A3254">
      <w:rPr>
        <w:noProof/>
        <w:color w:val="000000"/>
        <w:sz w:val="18"/>
        <w:szCs w:val="18"/>
      </w:rPr>
      <w:t>7</w:t>
    </w:r>
    <w:r>
      <w:rPr>
        <w:color w:val="000000"/>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58" w:rsidRDefault="006A3890">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lang w:val="it-IT"/>
      </w:rPr>
      <mc:AlternateContent>
        <mc:Choice Requires="wpg">
          <w:drawing>
            <wp:anchor distT="0" distB="0" distL="114300" distR="114300" simplePos="0" relativeHeight="251659264" behindDoc="0" locked="0" layoutInCell="1" hidden="0" allowOverlap="1">
              <wp:simplePos x="0" y="0"/>
              <wp:positionH relativeFrom="page">
                <wp:align>center</wp:align>
              </wp:positionH>
              <wp:positionV relativeFrom="page">
                <wp:align>center</wp:align>
              </wp:positionV>
              <wp:extent cx="6939915" cy="9613265"/>
              <wp:effectExtent l="0" t="0" r="0" b="0"/>
              <wp:wrapNone/>
              <wp:docPr id="59" name=""/>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9" name="Gruppo 19"/>
                      <wpg:cNvGrpSpPr/>
                      <wpg:grpSpPr>
                        <a:xfrm>
                          <a:off x="1876043" y="-250"/>
                          <a:ext cx="6939922" cy="7560499"/>
                          <a:chOff x="1876043" y="-500"/>
                          <a:chExt cx="6939916" cy="7560998"/>
                        </a:xfrm>
                      </wpg:grpSpPr>
                      <wps:wsp>
                        <wps:cNvPr id="20" name="Rettangolo 20"/>
                        <wps:cNvSpPr/>
                        <wps:spPr>
                          <a:xfrm>
                            <a:off x="1876043" y="-250"/>
                            <a:ext cx="6939900" cy="75604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21" name="Gruppo 21"/>
                        <wpg:cNvGrpSpPr/>
                        <wpg:grpSpPr>
                          <a:xfrm>
                            <a:off x="1876043" y="-500"/>
                            <a:ext cx="6939916" cy="7560998"/>
                            <a:chOff x="0" y="-634"/>
                            <a:chExt cx="6940007" cy="9614352"/>
                          </a:xfrm>
                        </wpg:grpSpPr>
                        <wps:wsp>
                          <wps:cNvPr id="22" name="Rettangolo 22"/>
                          <wps:cNvSpPr/>
                          <wps:spPr>
                            <a:xfrm>
                              <a:off x="0" y="0"/>
                              <a:ext cx="6940000" cy="9613075"/>
                            </a:xfrm>
                            <a:prstGeom prst="rect">
                              <a:avLst/>
                            </a:prstGeom>
                            <a:noFill/>
                            <a:ln>
                              <a:noFill/>
                            </a:ln>
                          </wps:spPr>
                          <wps:txbx>
                            <w:txbxContent>
                              <w:p w:rsidR="00F25E58" w:rsidRDefault="00F25E58">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636" y="-634"/>
                              <a:ext cx="6928773" cy="415779"/>
                              <a:chOff x="496" y="843"/>
                              <a:chExt cx="10909" cy="655"/>
                            </a:xfrm>
                          </wpg:grpSpPr>
                          <wpg:grpSp>
                            <wpg:cNvPr id="24" name="Gruppo 24"/>
                            <wpg:cNvGrpSpPr/>
                            <wpg:grpSpPr>
                              <a:xfrm>
                                <a:off x="10767" y="845"/>
                                <a:ext cx="639" cy="653"/>
                                <a:chOff x="10778" y="845"/>
                                <a:chExt cx="639" cy="653"/>
                              </a:xfrm>
                            </wpg:grpSpPr>
                            <wps:wsp>
                              <wps:cNvPr id="25" name="Connettore 2 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6" name="Connettore 2 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27" name="Gruppo 27"/>
                            <wpg:cNvGrpSpPr/>
                            <wpg:grpSpPr>
                              <a:xfrm flipH="1">
                                <a:off x="496" y="843"/>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0" name="Gruppo 30"/>
                          <wpg:cNvGrpSpPr/>
                          <wpg:grpSpPr>
                            <a:xfrm rot="10800000" flipH="1">
                              <a:off x="11522" y="9198429"/>
                              <a:ext cx="6928485" cy="415289"/>
                              <a:chOff x="496" y="843"/>
                              <a:chExt cx="10909" cy="655"/>
                            </a:xfrm>
                          </wpg:grpSpPr>
                          <wpg:grpSp>
                            <wpg:cNvPr id="31" name="Gruppo 31"/>
                            <wpg:cNvGrpSpPr/>
                            <wpg:grpSpPr>
                              <a:xfrm>
                                <a:off x="10767" y="845"/>
                                <a:ext cx="639" cy="653"/>
                                <a:chOff x="10778" y="845"/>
                                <a:chExt cx="639" cy="653"/>
                              </a:xfrm>
                            </wpg:grpSpPr>
                            <wps:wsp>
                              <wps:cNvPr id="32" name="Connettore 2 3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3" name="Connettore 2 3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4" name="Gruppo 34"/>
                            <wpg:cNvGrpSpPr/>
                            <wpg:grpSpPr>
                              <a:xfrm flipH="1">
                                <a:off x="496" y="843"/>
                                <a:ext cx="639" cy="653"/>
                                <a:chOff x="10778" y="845"/>
                                <a:chExt cx="639" cy="653"/>
                              </a:xfrm>
                            </wpg:grpSpPr>
                            <wps:wsp>
                              <wps:cNvPr id="35" name="Connettore 2 3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6" name="Connettore 2 3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91C19"/>
    <w:multiLevelType w:val="multilevel"/>
    <w:tmpl w:val="2ABCB25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8"/>
    <w:rsid w:val="00002171"/>
    <w:rsid w:val="003C37A8"/>
    <w:rsid w:val="005F0EB7"/>
    <w:rsid w:val="0068798E"/>
    <w:rsid w:val="006A3890"/>
    <w:rsid w:val="006E0FAC"/>
    <w:rsid w:val="00C60F68"/>
    <w:rsid w:val="00DA3254"/>
    <w:rsid w:val="00F25E58"/>
    <w:rsid w:val="00F4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72B8-46AE-4F4B-A84C-74C0B3A8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pPr>
  </w:style>
  <w:style w:type="paragraph" w:styleId="Titolo1">
    <w:name w:val="heading 1"/>
    <w:basedOn w:val="Normale"/>
    <w:next w:val="Normale"/>
    <w:link w:val="Titolo1Carattere"/>
    <w:qFormat/>
    <w:rsid w:val="00F61060"/>
    <w:pPr>
      <w:keepNext/>
      <w:numPr>
        <w:numId w:val="1"/>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1"/>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1"/>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v3Oz+f0Y6Pkz3oRjS9IDL0qXQ==">AMUW2mX2/bxaxP4SUwRBoigcLuhlKJI7OdS9BXYgl+mq79fREy9M7wYsrKevE8dqV7RLjjxQu63XmsMmfVMFnsNdFe2srikaFWEc7Qc4R9JVqguhU5C2p0rNq6B8v0CqEP25gPXoVBRgxREWVICwGtvEvOItyx86Uqkmz4J4xnDxk2XayddQl5bDZBOLTnAp7az1ytaV00pXDlwOJ5veKq4NI0WwQELhug==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2368</Words>
  <Characters>13502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Margherita</cp:lastModifiedBy>
  <cp:revision>9</cp:revision>
  <dcterms:created xsi:type="dcterms:W3CDTF">2022-06-10T12:57:00Z</dcterms:created>
  <dcterms:modified xsi:type="dcterms:W3CDTF">2022-06-29T11:50:00Z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