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5AD0784A" w14:textId="4DF720AE" w:rsidR="002F7330" w:rsidRDefault="007070FD" w:rsidP="009848F2">
      <w:pPr>
        <w:pStyle w:val="ChapterTitle"/>
        <w:tabs>
          <w:tab w:val="left" w:pos="5812"/>
          <w:tab w:val="left" w:pos="5954"/>
          <w:tab w:val="left" w:pos="6096"/>
          <w:tab w:val="left" w:pos="6237"/>
        </w:tabs>
        <w:spacing w:after="0" w:line="240" w:lineRule="auto"/>
        <w:ind w:left="0" w:right="-28"/>
        <w:jc w:val="left"/>
        <w:rPr>
          <w:sz w:val="28"/>
        </w:rPr>
      </w:pPr>
      <w:r>
        <w:rPr>
          <w:sz w:val="28"/>
        </w:rPr>
        <w:t>S</w:t>
      </w:r>
      <w:r w:rsidRPr="007070FD">
        <w:rPr>
          <w:sz w:val="28"/>
        </w:rPr>
        <w:t xml:space="preserve">ustainable organic waste management in small communities: evidence from life </w:t>
      </w:r>
      <w:proofErr w:type="gramStart"/>
      <w:r w:rsidRPr="007070FD">
        <w:rPr>
          <w:sz w:val="28"/>
        </w:rPr>
        <w:t>cycle based</w:t>
      </w:r>
      <w:proofErr w:type="gramEnd"/>
      <w:r w:rsidRPr="007070FD">
        <w:rPr>
          <w:sz w:val="28"/>
        </w:rPr>
        <w:t xml:space="preserve"> evaluations</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3FB827C2" w14:textId="6429D90B" w:rsidR="002F7330" w:rsidRPr="007070FD" w:rsidRDefault="007070FD" w:rsidP="00D66ED0">
      <w:pPr>
        <w:pStyle w:val="Author"/>
        <w:spacing w:line="276" w:lineRule="auto"/>
        <w:rPr>
          <w:sz w:val="24"/>
          <w:lang w:val="it-IT"/>
        </w:rPr>
      </w:pPr>
      <w:r w:rsidRPr="007070FD">
        <w:rPr>
          <w:sz w:val="24"/>
          <w:lang w:val="it-IT"/>
        </w:rPr>
        <w:t>Gabriella Fiorentino</w:t>
      </w:r>
      <w:r w:rsidR="00247384" w:rsidRPr="007070FD">
        <w:rPr>
          <w:sz w:val="24"/>
          <w:vertAlign w:val="superscript"/>
          <w:lang w:val="it-IT"/>
        </w:rPr>
        <w:t>§</w:t>
      </w:r>
      <w:r w:rsidR="009F68F7" w:rsidRPr="007070FD">
        <w:rPr>
          <w:sz w:val="24"/>
          <w:lang w:val="it-IT"/>
        </w:rPr>
        <w:t xml:space="preserve">, </w:t>
      </w:r>
      <w:r w:rsidRPr="007070FD">
        <w:rPr>
          <w:sz w:val="24"/>
          <w:lang w:val="it-IT"/>
        </w:rPr>
        <w:t>Ti</w:t>
      </w:r>
      <w:r>
        <w:rPr>
          <w:sz w:val="24"/>
          <w:lang w:val="it-IT"/>
        </w:rPr>
        <w:t>ziana Beltrani</w:t>
      </w:r>
      <w:r w:rsidR="00247384" w:rsidRPr="007070FD">
        <w:rPr>
          <w:sz w:val="24"/>
          <w:vertAlign w:val="superscript"/>
          <w:lang w:val="it-IT"/>
        </w:rPr>
        <w:t>#</w:t>
      </w:r>
      <w:r w:rsidR="009F68F7" w:rsidRPr="007070FD">
        <w:rPr>
          <w:sz w:val="24"/>
          <w:lang w:val="it-IT"/>
        </w:rPr>
        <w:t xml:space="preserve">, </w:t>
      </w:r>
      <w:r>
        <w:rPr>
          <w:sz w:val="24"/>
          <w:lang w:val="it-IT"/>
        </w:rPr>
        <w:t>Lorenzo Cafiero*</w:t>
      </w:r>
      <w:r w:rsidR="00D07C01" w:rsidRPr="007070FD">
        <w:rPr>
          <w:sz w:val="24"/>
          <w:lang w:val="it-IT"/>
        </w:rPr>
        <w:t xml:space="preserve">, </w:t>
      </w:r>
      <w:r>
        <w:rPr>
          <w:sz w:val="24"/>
          <w:lang w:val="it-IT"/>
        </w:rPr>
        <w:t xml:space="preserve">Flavio </w:t>
      </w:r>
      <w:proofErr w:type="spellStart"/>
      <w:r>
        <w:rPr>
          <w:sz w:val="24"/>
          <w:lang w:val="it-IT"/>
        </w:rPr>
        <w:t>Scrucca</w:t>
      </w:r>
      <w:r w:rsidR="00247384" w:rsidRPr="007070FD">
        <w:rPr>
          <w:sz w:val="24"/>
          <w:vertAlign w:val="superscript"/>
          <w:lang w:val="it-IT"/>
        </w:rPr>
        <w:t>ç</w:t>
      </w:r>
      <w:proofErr w:type="spellEnd"/>
    </w:p>
    <w:p w14:paraId="464D60A7" w14:textId="5AEDC122" w:rsidR="00214440" w:rsidRDefault="00247384" w:rsidP="00BB6BD5">
      <w:pPr>
        <w:pStyle w:val="Affiliation"/>
        <w:spacing w:line="276" w:lineRule="auto"/>
      </w:pPr>
      <w:r w:rsidRPr="00247384">
        <w:rPr>
          <w:sz w:val="24"/>
          <w:vertAlign w:val="superscript"/>
        </w:rPr>
        <w:t>§</w:t>
      </w:r>
      <w:r w:rsidR="007070FD">
        <w:rPr>
          <w:sz w:val="24"/>
          <w:vertAlign w:val="superscript"/>
        </w:rPr>
        <w:t>,</w:t>
      </w:r>
      <w:r w:rsidR="00BB6BD5">
        <w:rPr>
          <w:sz w:val="24"/>
          <w:vertAlign w:val="superscript"/>
        </w:rPr>
        <w:t xml:space="preserve"> </w:t>
      </w:r>
      <w:proofErr w:type="gramStart"/>
      <w:r w:rsidR="007070FD" w:rsidRPr="00247384">
        <w:rPr>
          <w:sz w:val="24"/>
          <w:vertAlign w:val="superscript"/>
        </w:rPr>
        <w:t>#</w:t>
      </w:r>
      <w:r w:rsidR="007070FD">
        <w:rPr>
          <w:sz w:val="24"/>
          <w:vertAlign w:val="superscript"/>
        </w:rPr>
        <w:t>,*</w:t>
      </w:r>
      <w:proofErr w:type="gramEnd"/>
      <w:r w:rsidR="007070FD">
        <w:rPr>
          <w:sz w:val="24"/>
          <w:vertAlign w:val="superscript"/>
        </w:rPr>
        <w:t>,</w:t>
      </w:r>
      <w:r w:rsidR="00BB6BD5">
        <w:rPr>
          <w:sz w:val="24"/>
          <w:vertAlign w:val="superscript"/>
        </w:rPr>
        <w:t xml:space="preserve"> </w:t>
      </w:r>
      <w:proofErr w:type="spellStart"/>
      <w:r w:rsidR="007070FD">
        <w:rPr>
          <w:sz w:val="24"/>
          <w:vertAlign w:val="superscript"/>
        </w:rPr>
        <w:t>ç</w:t>
      </w:r>
      <w:r w:rsidR="007070FD" w:rsidRPr="007070FD">
        <w:t>Department</w:t>
      </w:r>
      <w:proofErr w:type="spellEnd"/>
      <w:r w:rsidR="007070FD" w:rsidRPr="007070FD">
        <w:t xml:space="preserve"> of Sustainability, ENEA - Italian National Agency for New Technologies, Energy and Sustainable Economic Development, </w:t>
      </w:r>
      <w:proofErr w:type="spellStart"/>
      <w:r w:rsidR="007070FD" w:rsidRPr="007070FD">
        <w:t>Lungotevere</w:t>
      </w:r>
      <w:proofErr w:type="spellEnd"/>
      <w:r w:rsidR="007070FD" w:rsidRPr="007070FD">
        <w:t xml:space="preserve"> </w:t>
      </w:r>
      <w:proofErr w:type="spellStart"/>
      <w:r w:rsidR="007070FD" w:rsidRPr="007070FD">
        <w:t>Thaon</w:t>
      </w:r>
      <w:proofErr w:type="spellEnd"/>
      <w:r w:rsidR="007070FD" w:rsidRPr="007070FD">
        <w:t xml:space="preserve"> Di Revel, 76 – 00196 Rome, Italy</w:t>
      </w:r>
    </w:p>
    <w:p w14:paraId="2181B678" w14:textId="1147FF71" w:rsidR="009848F2" w:rsidRDefault="00A12967" w:rsidP="009848F2">
      <w:pPr>
        <w:pStyle w:val="Affiliation"/>
        <w:spacing w:line="276" w:lineRule="auto"/>
      </w:pPr>
      <w:r w:rsidRPr="00247384">
        <w:rPr>
          <w:sz w:val="24"/>
          <w:vertAlign w:val="superscript"/>
        </w:rPr>
        <w:t>§</w:t>
      </w:r>
      <w:r w:rsidR="00BB6BD5" w:rsidRPr="00BB6BD5">
        <w:t>gabriella.fiorentino@enea.it</w:t>
      </w:r>
      <w:r w:rsidR="00392A63">
        <w:t>,</w:t>
      </w:r>
      <w:r w:rsidR="00A468DC">
        <w:t xml:space="preserve"> ORCID</w:t>
      </w:r>
      <w:r w:rsidR="00BB6BD5">
        <w:t>:</w:t>
      </w:r>
      <w:r w:rsidR="00BB6BD5" w:rsidRPr="00BB6BD5">
        <w:t xml:space="preserve"> 0000-0002-2654-4925</w:t>
      </w:r>
      <w:r>
        <w:t xml:space="preserve">; </w:t>
      </w:r>
      <w:r>
        <w:rPr>
          <w:sz w:val="24"/>
          <w:vertAlign w:val="superscript"/>
        </w:rPr>
        <w:t>#</w:t>
      </w:r>
      <w:r w:rsidR="00BB6BD5" w:rsidRPr="00BB6BD5">
        <w:t>tiziana.beltrani@enea.it</w:t>
      </w:r>
      <w:r w:rsidR="00392A63">
        <w:t>,</w:t>
      </w:r>
      <w:r w:rsidR="00A468DC">
        <w:t xml:space="preserve"> ORCID</w:t>
      </w:r>
      <w:r w:rsidR="00BB6BD5">
        <w:t xml:space="preserve">: </w:t>
      </w:r>
      <w:r w:rsidR="00BB6BD5" w:rsidRPr="00BB6BD5">
        <w:t>0000-0002-1296-5462</w:t>
      </w:r>
      <w:r>
        <w:t>;</w:t>
      </w:r>
      <w:r w:rsidR="00BB6BD5" w:rsidRPr="00BB6BD5">
        <w:rPr>
          <w:sz w:val="24"/>
          <w:vertAlign w:val="superscript"/>
        </w:rPr>
        <w:t xml:space="preserve"> </w:t>
      </w:r>
      <w:r w:rsidR="00BB6BD5">
        <w:rPr>
          <w:sz w:val="24"/>
          <w:vertAlign w:val="superscript"/>
        </w:rPr>
        <w:t>*</w:t>
      </w:r>
      <w:r w:rsidR="00BB6BD5">
        <w:t>lorenzo.cafiero@enea.it</w:t>
      </w:r>
      <w:r w:rsidR="00392A63">
        <w:t>,</w:t>
      </w:r>
      <w:r w:rsidR="00BB6BD5">
        <w:t xml:space="preserve"> ORCID:</w:t>
      </w:r>
      <w:r w:rsidR="00BB6BD5" w:rsidRPr="00BB6BD5">
        <w:t xml:space="preserve"> 0000-0001-9727-6545</w:t>
      </w:r>
      <w:r w:rsidR="00BB6BD5">
        <w:t>;</w:t>
      </w:r>
      <w:r w:rsidRPr="00A12967">
        <w:rPr>
          <w:sz w:val="24"/>
          <w:vertAlign w:val="superscript"/>
        </w:rPr>
        <w:t xml:space="preserve"> </w:t>
      </w:r>
      <w:proofErr w:type="gramStart"/>
      <w:r>
        <w:rPr>
          <w:sz w:val="24"/>
          <w:vertAlign w:val="superscript"/>
        </w:rPr>
        <w:t>ç</w:t>
      </w:r>
      <w:r w:rsidR="00BB6BD5">
        <w:t>flavio.scrucca</w:t>
      </w:r>
      <w:r>
        <w:t>@</w:t>
      </w:r>
      <w:r w:rsidR="00BB6BD5">
        <w:t>enea.it</w:t>
      </w:r>
      <w:proofErr w:type="gramEnd"/>
      <w:r w:rsidR="00392A63">
        <w:t>,</w:t>
      </w:r>
      <w:r w:rsidR="00A468DC">
        <w:t xml:space="preserve"> ORCID</w:t>
      </w:r>
      <w:r w:rsidR="00BB6BD5">
        <w:t xml:space="preserve">: </w:t>
      </w:r>
      <w:r w:rsidR="00BB6BD5" w:rsidRPr="00BB6BD5">
        <w:t>0000-0003-4245-9947</w:t>
      </w:r>
    </w:p>
    <w:p w14:paraId="0841DE3B" w14:textId="43B59557" w:rsidR="002F7330" w:rsidRPr="003D681B" w:rsidRDefault="009848F2" w:rsidP="009848F2">
      <w:pPr>
        <w:pStyle w:val="Affiliation"/>
        <w:spacing w:line="276" w:lineRule="auto"/>
        <w:jc w:val="both"/>
        <w:rPr>
          <w:lang w:val="it-IT"/>
        </w:rPr>
      </w:pPr>
      <w:proofErr w:type="spellStart"/>
      <w:r w:rsidRPr="003D681B">
        <w:rPr>
          <w:lang w:val="it-IT"/>
        </w:rPr>
        <w:t>Corresponding</w:t>
      </w:r>
      <w:proofErr w:type="spellEnd"/>
      <w:r w:rsidRPr="003D681B">
        <w:rPr>
          <w:lang w:val="it-IT"/>
        </w:rPr>
        <w:t xml:space="preserve"> </w:t>
      </w:r>
      <w:proofErr w:type="spellStart"/>
      <w:r w:rsidRPr="003D681B">
        <w:rPr>
          <w:lang w:val="it-IT"/>
        </w:rPr>
        <w:t>author</w:t>
      </w:r>
      <w:proofErr w:type="spellEnd"/>
      <w:r w:rsidRPr="003D681B">
        <w:rPr>
          <w:lang w:val="it-IT"/>
        </w:rPr>
        <w:t xml:space="preserve">: </w:t>
      </w:r>
      <w:r w:rsidR="00392A63" w:rsidRPr="003D681B">
        <w:rPr>
          <w:lang w:val="it-IT"/>
        </w:rPr>
        <w:t>Gabriella Fiorentino</w:t>
      </w:r>
      <w:r w:rsidRPr="003D681B">
        <w:rPr>
          <w:lang w:val="it-IT"/>
        </w:rPr>
        <w:t xml:space="preserve">, </w:t>
      </w:r>
      <w:r w:rsidR="00392A63" w:rsidRPr="003D681B">
        <w:rPr>
          <w:lang w:val="it-IT"/>
        </w:rPr>
        <w:t>gabriella.fiorentino@enea.it</w:t>
      </w:r>
      <w:r w:rsidR="009F68F7" w:rsidRPr="003D681B">
        <w:rPr>
          <w:lang w:val="it-IT"/>
        </w:rPr>
        <w:t>.</w:t>
      </w:r>
    </w:p>
    <w:p w14:paraId="61F73F98" w14:textId="77777777" w:rsidR="007B567F" w:rsidRPr="003D681B"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DD4CD45"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783D1854" w14:textId="100977AA" w:rsidR="003D681B" w:rsidRPr="003D681B" w:rsidRDefault="004225DE" w:rsidP="003D681B">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3D681B" w:rsidRPr="003D681B">
        <w:rPr>
          <w:snapToGrid/>
          <w:sz w:val="22"/>
        </w:rPr>
        <w:t>Organic waste or biowaste</w:t>
      </w:r>
      <w:r w:rsidR="00FE1F78">
        <w:rPr>
          <w:snapToGrid/>
          <w:sz w:val="22"/>
        </w:rPr>
        <w:t xml:space="preserve"> </w:t>
      </w:r>
      <w:r w:rsidR="003D681B" w:rsidRPr="003D681B">
        <w:rPr>
          <w:snapToGrid/>
          <w:sz w:val="22"/>
        </w:rPr>
        <w:t>is the largest component in municipal solid waste and, therefore, one of the main landfilled waste fractions with the consequent issue of greenhouse gases emissions. On the other hand, it represents a valuable resource that can be harnessed and returned to productive use in the framework of a circular economy approach</w:t>
      </w:r>
      <w:r w:rsidR="00EF4E7A">
        <w:rPr>
          <w:snapToGrid/>
          <w:sz w:val="22"/>
        </w:rPr>
        <w:t>,</w:t>
      </w:r>
      <w:r w:rsidR="003D681B" w:rsidRPr="003D681B">
        <w:rPr>
          <w:snapToGrid/>
          <w:sz w:val="22"/>
        </w:rPr>
        <w:t xml:space="preserve"> according to the EU Waste Framework Directive.</w:t>
      </w:r>
    </w:p>
    <w:p w14:paraId="292E68C4" w14:textId="56EDDB9E" w:rsidR="003D681B" w:rsidRPr="003D681B" w:rsidRDefault="003D681B" w:rsidP="003D681B">
      <w:pPr>
        <w:pStyle w:val="Abstract"/>
        <w:tabs>
          <w:tab w:val="left" w:pos="6379"/>
        </w:tabs>
        <w:spacing w:line="276" w:lineRule="auto"/>
        <w:ind w:left="0" w:right="-30"/>
        <w:rPr>
          <w:snapToGrid/>
          <w:sz w:val="22"/>
        </w:rPr>
      </w:pPr>
      <w:r w:rsidRPr="003D681B">
        <w:rPr>
          <w:snapToGrid/>
          <w:sz w:val="22"/>
        </w:rPr>
        <w:t>This paper presents the results of a</w:t>
      </w:r>
      <w:r w:rsidR="00EF4E7A">
        <w:rPr>
          <w:snapToGrid/>
          <w:sz w:val="22"/>
        </w:rPr>
        <w:t>n</w:t>
      </w:r>
      <w:r w:rsidRPr="003D681B">
        <w:rPr>
          <w:snapToGrid/>
          <w:sz w:val="22"/>
        </w:rPr>
        <w:t xml:space="preserve"> environmental and economic </w:t>
      </w:r>
      <w:r w:rsidR="00EF4E7A" w:rsidRPr="003D681B">
        <w:rPr>
          <w:snapToGrid/>
          <w:sz w:val="22"/>
        </w:rPr>
        <w:t xml:space="preserve">life cycle </w:t>
      </w:r>
      <w:r w:rsidRPr="003D681B">
        <w:rPr>
          <w:snapToGrid/>
          <w:sz w:val="22"/>
        </w:rPr>
        <w:t>assessment of specific organic waste management actions</w:t>
      </w:r>
      <w:r w:rsidR="001745CA">
        <w:rPr>
          <w:snapToGrid/>
          <w:sz w:val="22"/>
        </w:rPr>
        <w:t xml:space="preserve"> in</w:t>
      </w:r>
      <w:r w:rsidRPr="003D681B">
        <w:rPr>
          <w:snapToGrid/>
          <w:sz w:val="22"/>
        </w:rPr>
        <w:t xml:space="preserve"> two reference territories representative of “small communities”</w:t>
      </w:r>
      <w:r w:rsidR="001745CA">
        <w:rPr>
          <w:snapToGrid/>
          <w:sz w:val="22"/>
        </w:rPr>
        <w:t xml:space="preserve">, </w:t>
      </w:r>
      <w:r w:rsidRPr="003D681B">
        <w:rPr>
          <w:snapToGrid/>
          <w:sz w:val="22"/>
        </w:rPr>
        <w:t>pav</w:t>
      </w:r>
      <w:r w:rsidR="001745CA">
        <w:rPr>
          <w:snapToGrid/>
          <w:sz w:val="22"/>
        </w:rPr>
        <w:t>ing</w:t>
      </w:r>
      <w:r w:rsidRPr="003D681B">
        <w:rPr>
          <w:snapToGrid/>
          <w:sz w:val="22"/>
        </w:rPr>
        <w:t xml:space="preserve"> the way for a deeper understanding of the benefits that can be gained by means of local composting</w:t>
      </w:r>
      <w:r w:rsidR="001745CA">
        <w:rPr>
          <w:snapToGrid/>
          <w:sz w:val="22"/>
        </w:rPr>
        <w:t>.</w:t>
      </w:r>
    </w:p>
    <w:p w14:paraId="7475DD00" w14:textId="77777777" w:rsidR="003D681B" w:rsidRPr="003D681B" w:rsidRDefault="003D681B" w:rsidP="003D681B">
      <w:pPr>
        <w:pStyle w:val="Abstract"/>
        <w:tabs>
          <w:tab w:val="left" w:pos="6379"/>
        </w:tabs>
        <w:spacing w:line="276" w:lineRule="auto"/>
        <w:ind w:left="0" w:right="-30"/>
        <w:rPr>
          <w:snapToGrid/>
          <w:sz w:val="22"/>
        </w:rPr>
      </w:pPr>
      <w:r w:rsidRPr="003D681B">
        <w:rPr>
          <w:snapToGrid/>
          <w:sz w:val="22"/>
        </w:rPr>
        <w:t>Life cycle evaluations results showed that improvement potentialities are high, especially in terms of environmental impacts and externalities, confirming life cycle-based evaluations as very valuable tools for decision-makers to better understand benefits and costs of waste management policies.</w:t>
      </w:r>
    </w:p>
    <w:p w14:paraId="0C987959" w14:textId="68AC32DF" w:rsidR="003D681B" w:rsidRDefault="003D681B" w:rsidP="003D681B">
      <w:pPr>
        <w:pStyle w:val="Abstract"/>
        <w:tabs>
          <w:tab w:val="left" w:pos="6379"/>
        </w:tabs>
        <w:spacing w:line="276" w:lineRule="auto"/>
        <w:ind w:left="0" w:right="-30"/>
        <w:rPr>
          <w:snapToGrid/>
          <w:sz w:val="22"/>
        </w:rPr>
      </w:pPr>
      <w:r w:rsidRPr="003D681B">
        <w:rPr>
          <w:snapToGrid/>
          <w:sz w:val="22"/>
        </w:rPr>
        <w:t>Results also confirmed that, both from an environmental and economic point of view, a “local” waste management system, in which transportation is reduced, is particularly strategic, as well as a “tailored” management system that affect other specific territorial hotspots, such as for instance the temporary storage of waste.</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2B284828"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3D681B" w:rsidRPr="003D681B">
        <w:rPr>
          <w:snapToGrid/>
          <w:sz w:val="22"/>
        </w:rPr>
        <w:t>LCA, LCC, sustainability, organic waste, biowaste, waste management</w:t>
      </w:r>
      <w:r>
        <w:rPr>
          <w:snapToGrid/>
          <w:sz w:val="22"/>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DFFD433"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7AE8EF34" w14:textId="56DD1740" w:rsidR="008C685C" w:rsidRDefault="008C685C" w:rsidP="00745741">
      <w:pPr>
        <w:pStyle w:val="Titolo1"/>
        <w:numPr>
          <w:ilvl w:val="1"/>
          <w:numId w:val="13"/>
        </w:numPr>
        <w:spacing w:before="0" w:after="0" w:line="276" w:lineRule="auto"/>
        <w:rPr>
          <w:snapToGrid w:val="0"/>
        </w:rPr>
      </w:pPr>
      <w:r>
        <w:rPr>
          <w:snapToGrid w:val="0"/>
        </w:rPr>
        <w:t>Introduction</w:t>
      </w:r>
    </w:p>
    <w:p w14:paraId="639A1C43" w14:textId="18852F8E" w:rsidR="00A72C83" w:rsidRDefault="00F31EA8" w:rsidP="00A72C83">
      <w:pPr>
        <w:pStyle w:val="Abstract"/>
        <w:tabs>
          <w:tab w:val="left" w:pos="6379"/>
        </w:tabs>
        <w:spacing w:line="276" w:lineRule="auto"/>
        <w:ind w:left="0" w:right="-30"/>
        <w:rPr>
          <w:snapToGrid/>
          <w:sz w:val="24"/>
          <w:szCs w:val="24"/>
        </w:rPr>
      </w:pPr>
      <w:r w:rsidRPr="000736C9">
        <w:rPr>
          <w:snapToGrid/>
          <w:sz w:val="24"/>
          <w:szCs w:val="24"/>
        </w:rPr>
        <w:t xml:space="preserve">Organic waste or </w:t>
      </w:r>
      <w:r w:rsidR="00EF4E7A">
        <w:rPr>
          <w:snapToGrid/>
          <w:sz w:val="24"/>
          <w:szCs w:val="24"/>
        </w:rPr>
        <w:t>b</w:t>
      </w:r>
      <w:r w:rsidR="00EF4E7A" w:rsidRPr="000736C9">
        <w:rPr>
          <w:snapToGrid/>
          <w:sz w:val="24"/>
          <w:szCs w:val="24"/>
        </w:rPr>
        <w:t xml:space="preserve">iowaste </w:t>
      </w:r>
      <w:r w:rsidRPr="000736C9">
        <w:rPr>
          <w:snapToGrid/>
          <w:sz w:val="24"/>
          <w:szCs w:val="24"/>
        </w:rPr>
        <w:t>consists of food and garden waste</w:t>
      </w:r>
      <w:r w:rsidR="00EF4E7A">
        <w:rPr>
          <w:snapToGrid/>
          <w:sz w:val="24"/>
          <w:szCs w:val="24"/>
        </w:rPr>
        <w:t xml:space="preserve">, </w:t>
      </w:r>
      <w:r w:rsidR="00E94FB9">
        <w:rPr>
          <w:snapToGrid/>
          <w:sz w:val="24"/>
          <w:szCs w:val="24"/>
        </w:rPr>
        <w:t>represents</w:t>
      </w:r>
      <w:r w:rsidR="00E94FB9" w:rsidRPr="000736C9">
        <w:rPr>
          <w:snapToGrid/>
          <w:sz w:val="24"/>
          <w:szCs w:val="24"/>
        </w:rPr>
        <w:t xml:space="preserve"> </w:t>
      </w:r>
      <w:r w:rsidR="00EF4E7A">
        <w:rPr>
          <w:snapToGrid/>
          <w:sz w:val="24"/>
          <w:szCs w:val="24"/>
        </w:rPr>
        <w:t>t</w:t>
      </w:r>
      <w:r w:rsidR="00EF4E7A" w:rsidRPr="000736C9">
        <w:rPr>
          <w:snapToGrid/>
          <w:sz w:val="24"/>
          <w:szCs w:val="24"/>
        </w:rPr>
        <w:t>he largest component in municipal solid waste</w:t>
      </w:r>
      <w:r w:rsidRPr="000736C9">
        <w:rPr>
          <w:snapToGrid/>
          <w:sz w:val="24"/>
          <w:szCs w:val="24"/>
        </w:rPr>
        <w:t xml:space="preserve"> </w:t>
      </w:r>
      <w:r w:rsidR="00EF4E7A">
        <w:rPr>
          <w:snapToGrid/>
          <w:sz w:val="24"/>
          <w:szCs w:val="24"/>
        </w:rPr>
        <w:t xml:space="preserve">(MSW) </w:t>
      </w:r>
      <w:r w:rsidRPr="000736C9">
        <w:rPr>
          <w:snapToGrid/>
          <w:sz w:val="24"/>
          <w:szCs w:val="24"/>
        </w:rPr>
        <w:t xml:space="preserve">with </w:t>
      </w:r>
      <w:r w:rsidR="00EF4E7A">
        <w:rPr>
          <w:snapToGrid/>
          <w:sz w:val="24"/>
          <w:szCs w:val="24"/>
        </w:rPr>
        <w:t xml:space="preserve">a share of </w:t>
      </w:r>
      <w:r w:rsidRPr="000736C9">
        <w:rPr>
          <w:snapToGrid/>
          <w:sz w:val="24"/>
          <w:szCs w:val="24"/>
        </w:rPr>
        <w:t xml:space="preserve">34% </w:t>
      </w:r>
      <w:r w:rsidR="00E94FB9">
        <w:rPr>
          <w:snapToGrid/>
          <w:sz w:val="24"/>
          <w:szCs w:val="24"/>
        </w:rPr>
        <w:t xml:space="preserve">and </w:t>
      </w:r>
      <w:r w:rsidRPr="000736C9">
        <w:rPr>
          <w:snapToGrid/>
          <w:sz w:val="24"/>
          <w:szCs w:val="24"/>
        </w:rPr>
        <w:t xml:space="preserve">is one of the main landfilled waste fractions, </w:t>
      </w:r>
      <w:r w:rsidR="001F6BAD">
        <w:rPr>
          <w:snapToGrid/>
          <w:sz w:val="24"/>
          <w:szCs w:val="24"/>
        </w:rPr>
        <w:t xml:space="preserve">with an expensive management system that also </w:t>
      </w:r>
      <w:r w:rsidRPr="000736C9">
        <w:rPr>
          <w:snapToGrid/>
          <w:sz w:val="24"/>
          <w:szCs w:val="24"/>
        </w:rPr>
        <w:t xml:space="preserve">creates </w:t>
      </w:r>
      <w:r w:rsidR="001F6BAD">
        <w:rPr>
          <w:snapToGrid/>
          <w:sz w:val="24"/>
          <w:szCs w:val="24"/>
        </w:rPr>
        <w:t xml:space="preserve">significant </w:t>
      </w:r>
      <w:r w:rsidRPr="000736C9">
        <w:rPr>
          <w:snapToGrid/>
          <w:sz w:val="24"/>
          <w:szCs w:val="24"/>
        </w:rPr>
        <w:t xml:space="preserve">greenhouse gas emission </w:t>
      </w:r>
      <w:r w:rsidR="004C5D08">
        <w:rPr>
          <w:snapToGrid/>
          <w:sz w:val="24"/>
          <w:szCs w:val="24"/>
        </w:rPr>
        <w:t>(EEA, 202</w:t>
      </w:r>
      <w:r w:rsidR="004C5D08" w:rsidRPr="004C5D08">
        <w:rPr>
          <w:snapToGrid/>
          <w:sz w:val="24"/>
          <w:szCs w:val="24"/>
        </w:rPr>
        <w:t>0)</w:t>
      </w:r>
      <w:r w:rsidRPr="004C5D08">
        <w:rPr>
          <w:snapToGrid/>
          <w:sz w:val="24"/>
          <w:szCs w:val="24"/>
        </w:rPr>
        <w:t>.</w:t>
      </w:r>
      <w:r w:rsidRPr="000736C9">
        <w:rPr>
          <w:snapToGrid/>
          <w:sz w:val="24"/>
          <w:szCs w:val="24"/>
        </w:rPr>
        <w:t xml:space="preserve"> On the other side, biowaste is a valuable resource that can be harnessed and returned to productive use, turned into compost to improve and </w:t>
      </w:r>
      <w:proofErr w:type="spellStart"/>
      <w:r w:rsidRPr="000736C9">
        <w:rPr>
          <w:snapToGrid/>
          <w:sz w:val="24"/>
          <w:szCs w:val="24"/>
        </w:rPr>
        <w:t>fertilise</w:t>
      </w:r>
      <w:proofErr w:type="spellEnd"/>
      <w:r w:rsidRPr="000736C9">
        <w:rPr>
          <w:snapToGrid/>
          <w:sz w:val="24"/>
          <w:szCs w:val="24"/>
        </w:rPr>
        <w:t xml:space="preserve"> soil or rescued to provide food for people and animals.</w:t>
      </w:r>
      <w:r w:rsidR="00A72C83" w:rsidRPr="000736C9">
        <w:rPr>
          <w:snapToGrid/>
          <w:sz w:val="24"/>
          <w:szCs w:val="24"/>
        </w:rPr>
        <w:t xml:space="preserve"> </w:t>
      </w:r>
      <w:r w:rsidR="003C6FDC">
        <w:rPr>
          <w:snapToGrid/>
          <w:sz w:val="24"/>
          <w:szCs w:val="24"/>
        </w:rPr>
        <w:t>T</w:t>
      </w:r>
      <w:r w:rsidR="00A72C83" w:rsidRPr="000736C9">
        <w:rPr>
          <w:snapToGrid/>
          <w:sz w:val="24"/>
          <w:szCs w:val="24"/>
        </w:rPr>
        <w:t>he European Commission pushes a policy of diverting</w:t>
      </w:r>
      <w:r w:rsidR="00041620">
        <w:rPr>
          <w:snapToGrid/>
          <w:sz w:val="24"/>
          <w:szCs w:val="24"/>
        </w:rPr>
        <w:t xml:space="preserve"> –</w:t>
      </w:r>
      <w:r w:rsidR="007F726C">
        <w:rPr>
          <w:snapToGrid/>
          <w:sz w:val="24"/>
          <w:szCs w:val="24"/>
        </w:rPr>
        <w:t xml:space="preserve"> </w:t>
      </w:r>
      <w:r w:rsidR="00A72C83" w:rsidRPr="000736C9">
        <w:rPr>
          <w:snapToGrid/>
          <w:sz w:val="24"/>
          <w:szCs w:val="24"/>
        </w:rPr>
        <w:t>so much biowaste as possible –</w:t>
      </w:r>
      <w:r w:rsidR="007F726C">
        <w:rPr>
          <w:snapToGrid/>
          <w:sz w:val="24"/>
          <w:szCs w:val="24"/>
        </w:rPr>
        <w:t xml:space="preserve"> </w:t>
      </w:r>
      <w:r w:rsidR="00A72C83" w:rsidRPr="000736C9">
        <w:rPr>
          <w:snapToGrid/>
          <w:sz w:val="24"/>
          <w:szCs w:val="24"/>
        </w:rPr>
        <w:t>from the residual municipal waste which is directed to landfilling to the recycling at source by home or community composting or to a separate collection where biowaste can be transformed into a soil improver</w:t>
      </w:r>
      <w:r w:rsidR="007F726C">
        <w:rPr>
          <w:snapToGrid/>
          <w:sz w:val="24"/>
          <w:szCs w:val="24"/>
        </w:rPr>
        <w:t>,</w:t>
      </w:r>
      <w:r w:rsidR="00A72C83" w:rsidRPr="000736C9">
        <w:rPr>
          <w:snapToGrid/>
          <w:sz w:val="24"/>
          <w:szCs w:val="24"/>
        </w:rPr>
        <w:t xml:space="preserve"> by composting treatment</w:t>
      </w:r>
      <w:r w:rsidR="007F726C">
        <w:rPr>
          <w:snapToGrid/>
          <w:sz w:val="24"/>
          <w:szCs w:val="24"/>
        </w:rPr>
        <w:t>,</w:t>
      </w:r>
      <w:r w:rsidR="00A72C83" w:rsidRPr="000736C9">
        <w:rPr>
          <w:snapToGrid/>
          <w:sz w:val="24"/>
          <w:szCs w:val="24"/>
        </w:rPr>
        <w:t xml:space="preserve"> or into biogas</w:t>
      </w:r>
      <w:r w:rsidR="007F726C">
        <w:rPr>
          <w:snapToGrid/>
          <w:sz w:val="24"/>
          <w:szCs w:val="24"/>
        </w:rPr>
        <w:t>,</w:t>
      </w:r>
      <w:r w:rsidR="00A72C83" w:rsidRPr="000736C9">
        <w:rPr>
          <w:snapToGrid/>
          <w:sz w:val="24"/>
          <w:szCs w:val="24"/>
        </w:rPr>
        <w:t xml:space="preserve"> by anaerobic digestion treatment.</w:t>
      </w:r>
    </w:p>
    <w:p w14:paraId="3950F0AC" w14:textId="437EF38F" w:rsidR="005648AF" w:rsidRPr="000736C9" w:rsidRDefault="005648AF" w:rsidP="005648AF">
      <w:pPr>
        <w:spacing w:line="276" w:lineRule="auto"/>
        <w:rPr>
          <w:sz w:val="24"/>
          <w:szCs w:val="24"/>
        </w:rPr>
      </w:pPr>
      <w:r>
        <w:rPr>
          <w:sz w:val="24"/>
          <w:szCs w:val="24"/>
        </w:rPr>
        <w:t xml:space="preserve">In this context, the </w:t>
      </w:r>
      <w:r w:rsidRPr="005648AF">
        <w:rPr>
          <w:sz w:val="24"/>
          <w:szCs w:val="24"/>
        </w:rPr>
        <w:t xml:space="preserve">NETWAP </w:t>
      </w:r>
      <w:r w:rsidR="006A2DE1">
        <w:rPr>
          <w:sz w:val="24"/>
          <w:szCs w:val="24"/>
        </w:rPr>
        <w:t xml:space="preserve">project </w:t>
      </w:r>
      <w:r w:rsidRPr="005648AF">
        <w:rPr>
          <w:sz w:val="24"/>
          <w:szCs w:val="24"/>
        </w:rPr>
        <w:t xml:space="preserve">(a cross border cooperation initiative developed within the Priority Axis 3 “Environment and Cultural Heritage” of the Interreg Italy Croatia </w:t>
      </w:r>
      <w:proofErr w:type="spellStart"/>
      <w:r w:rsidRPr="005648AF">
        <w:rPr>
          <w:sz w:val="24"/>
          <w:szCs w:val="24"/>
        </w:rPr>
        <w:t>Programme</w:t>
      </w:r>
      <w:proofErr w:type="spellEnd"/>
      <w:r w:rsidRPr="005648AF">
        <w:rPr>
          <w:sz w:val="24"/>
          <w:szCs w:val="24"/>
        </w:rPr>
        <w:t xml:space="preserve">) </w:t>
      </w:r>
      <w:r>
        <w:rPr>
          <w:sz w:val="24"/>
          <w:szCs w:val="24"/>
        </w:rPr>
        <w:t>was</w:t>
      </w:r>
      <w:r w:rsidRPr="000736C9">
        <w:rPr>
          <w:sz w:val="24"/>
          <w:szCs w:val="24"/>
        </w:rPr>
        <w:t xml:space="preserve"> aimed at defining a new approach for the autonomous and sustainable waste management in small communities – in general, intended as the ones with relatively small permanent population scattered across the reference territory, that lie quite away from the main logistic routes and which is characterized by a lack of main infrastructures for waste management – foresee</w:t>
      </w:r>
      <w:r>
        <w:rPr>
          <w:sz w:val="24"/>
          <w:szCs w:val="24"/>
        </w:rPr>
        <w:t>ing</w:t>
      </w:r>
      <w:r w:rsidRPr="000736C9">
        <w:rPr>
          <w:sz w:val="24"/>
          <w:szCs w:val="24"/>
        </w:rPr>
        <w:t xml:space="preserve"> procedures for:</w:t>
      </w:r>
      <w:r>
        <w:rPr>
          <w:sz w:val="24"/>
          <w:szCs w:val="24"/>
        </w:rPr>
        <w:t xml:space="preserve"> 1) s</w:t>
      </w:r>
      <w:r w:rsidRPr="00101F0B">
        <w:rPr>
          <w:sz w:val="24"/>
          <w:szCs w:val="24"/>
        </w:rPr>
        <w:t>timulate waste reduction and boosting recycling through measures basically regarding three different levels of stakeholders’ involvement, i.e. societal level (information and awareness), political level (legislative acts) and economic level (</w:t>
      </w:r>
      <w:r w:rsidRPr="00101F0B">
        <w:rPr>
          <w:sz w:val="24"/>
          <w:szCs w:val="24"/>
        </w:rPr>
        <w:tab/>
        <w:t>incenti</w:t>
      </w:r>
      <w:r>
        <w:rPr>
          <w:sz w:val="24"/>
          <w:szCs w:val="24"/>
        </w:rPr>
        <w:t>v</w:t>
      </w:r>
      <w:r w:rsidRPr="00101F0B">
        <w:rPr>
          <w:sz w:val="24"/>
          <w:szCs w:val="24"/>
        </w:rPr>
        <w:t>es and disincentives);</w:t>
      </w:r>
      <w:r>
        <w:rPr>
          <w:sz w:val="24"/>
          <w:szCs w:val="24"/>
        </w:rPr>
        <w:t xml:space="preserve"> 2) p</w:t>
      </w:r>
      <w:r w:rsidRPr="00101F0B">
        <w:rPr>
          <w:sz w:val="24"/>
          <w:szCs w:val="24"/>
        </w:rPr>
        <w:t>romoting local small scale composting and reducing the use of landfills, through the promotion and implementation of auto-composting, community composting and local composting</w:t>
      </w:r>
    </w:p>
    <w:p w14:paraId="1D2E85B6" w14:textId="753CFF93" w:rsidR="00FC0610" w:rsidRPr="00F5759C" w:rsidRDefault="00D20263" w:rsidP="006739BC">
      <w:pPr>
        <w:autoSpaceDE w:val="0"/>
        <w:autoSpaceDN w:val="0"/>
        <w:adjustRightInd w:val="0"/>
        <w:spacing w:line="276" w:lineRule="auto"/>
        <w:rPr>
          <w:sz w:val="24"/>
          <w:szCs w:val="24"/>
          <w:lang w:val="en-GB"/>
        </w:rPr>
      </w:pPr>
      <w:r w:rsidRPr="002549A8">
        <w:rPr>
          <w:sz w:val="24"/>
          <w:szCs w:val="24"/>
        </w:rPr>
        <w:t>This</w:t>
      </w:r>
      <w:r w:rsidR="00A72C83" w:rsidRPr="002549A8">
        <w:rPr>
          <w:sz w:val="24"/>
          <w:szCs w:val="24"/>
        </w:rPr>
        <w:t xml:space="preserve"> rese</w:t>
      </w:r>
      <w:r w:rsidR="00757F36" w:rsidRPr="002549A8">
        <w:rPr>
          <w:sz w:val="24"/>
          <w:szCs w:val="24"/>
        </w:rPr>
        <w:t>arch show</w:t>
      </w:r>
      <w:r w:rsidR="00E14513" w:rsidRPr="002549A8">
        <w:rPr>
          <w:sz w:val="24"/>
          <w:szCs w:val="24"/>
        </w:rPr>
        <w:t>s</w:t>
      </w:r>
      <w:r w:rsidR="00757F36" w:rsidRPr="002549A8">
        <w:rPr>
          <w:sz w:val="24"/>
          <w:szCs w:val="24"/>
        </w:rPr>
        <w:t xml:space="preserve"> the results of the sustainability evaluations </w:t>
      </w:r>
      <w:r w:rsidRPr="002549A8">
        <w:rPr>
          <w:sz w:val="24"/>
          <w:szCs w:val="24"/>
        </w:rPr>
        <w:t xml:space="preserve">carried out in the framework of the NETWAP Project for </w:t>
      </w:r>
      <w:r w:rsidR="00757F36" w:rsidRPr="002549A8">
        <w:rPr>
          <w:sz w:val="24"/>
          <w:szCs w:val="24"/>
        </w:rPr>
        <w:t>the pilot actions implement</w:t>
      </w:r>
      <w:r w:rsidRPr="002549A8">
        <w:rPr>
          <w:sz w:val="24"/>
          <w:szCs w:val="24"/>
        </w:rPr>
        <w:t>e</w:t>
      </w:r>
      <w:r w:rsidR="00757F36" w:rsidRPr="002549A8">
        <w:rPr>
          <w:sz w:val="24"/>
          <w:szCs w:val="24"/>
        </w:rPr>
        <w:t xml:space="preserve">d in </w:t>
      </w:r>
      <w:r w:rsidRPr="002549A8">
        <w:rPr>
          <w:sz w:val="24"/>
          <w:szCs w:val="24"/>
        </w:rPr>
        <w:t>two reference territories</w:t>
      </w:r>
      <w:r w:rsidR="00757F36" w:rsidRPr="002549A8">
        <w:rPr>
          <w:sz w:val="24"/>
          <w:szCs w:val="24"/>
        </w:rPr>
        <w:t xml:space="preserve">, </w:t>
      </w:r>
      <w:proofErr w:type="gramStart"/>
      <w:r w:rsidRPr="002549A8">
        <w:rPr>
          <w:sz w:val="24"/>
          <w:szCs w:val="24"/>
        </w:rPr>
        <w:t xml:space="preserve">in order </w:t>
      </w:r>
      <w:r w:rsidR="00757F36" w:rsidRPr="002549A8">
        <w:rPr>
          <w:sz w:val="24"/>
          <w:szCs w:val="24"/>
        </w:rPr>
        <w:t>to</w:t>
      </w:r>
      <w:proofErr w:type="gramEnd"/>
      <w:r w:rsidR="00757F36" w:rsidRPr="002549A8">
        <w:rPr>
          <w:sz w:val="24"/>
          <w:szCs w:val="24"/>
        </w:rPr>
        <w:t xml:space="preserve"> assess the environmental and economic benefits deriving from the specific actions proposed for the management </w:t>
      </w:r>
      <w:r w:rsidR="00AC7913" w:rsidRPr="002549A8">
        <w:rPr>
          <w:sz w:val="24"/>
          <w:szCs w:val="24"/>
        </w:rPr>
        <w:t xml:space="preserve">(local composting) </w:t>
      </w:r>
      <w:r w:rsidR="00757F36" w:rsidRPr="002549A8">
        <w:rPr>
          <w:sz w:val="24"/>
          <w:szCs w:val="24"/>
        </w:rPr>
        <w:t>of organic waste</w:t>
      </w:r>
      <w:r w:rsidR="006739BC" w:rsidRPr="002549A8">
        <w:rPr>
          <w:sz w:val="24"/>
          <w:szCs w:val="24"/>
        </w:rPr>
        <w:t xml:space="preserve">. </w:t>
      </w:r>
    </w:p>
    <w:p w14:paraId="57830241" w14:textId="77777777" w:rsidR="00F5759C" w:rsidRPr="00171CEC" w:rsidRDefault="00F5759C" w:rsidP="00171CEC">
      <w:pPr>
        <w:pStyle w:val="alpalist"/>
        <w:numPr>
          <w:ilvl w:val="0"/>
          <w:numId w:val="0"/>
        </w:numPr>
        <w:spacing w:line="276" w:lineRule="auto"/>
        <w:rPr>
          <w:snapToGrid w:val="0"/>
          <w:sz w:val="24"/>
        </w:rPr>
      </w:pPr>
    </w:p>
    <w:p w14:paraId="4E67FAE2" w14:textId="77777777" w:rsidR="008C685C" w:rsidRPr="008C685C" w:rsidRDefault="008C685C" w:rsidP="00745741">
      <w:pPr>
        <w:pStyle w:val="Titolo1"/>
        <w:numPr>
          <w:ilvl w:val="1"/>
          <w:numId w:val="13"/>
        </w:numPr>
        <w:spacing w:before="0" w:after="0" w:line="276" w:lineRule="auto"/>
        <w:rPr>
          <w:snapToGrid w:val="0"/>
        </w:rPr>
      </w:pPr>
      <w:r w:rsidRPr="008C685C">
        <w:rPr>
          <w:snapToGrid w:val="0"/>
        </w:rPr>
        <w:lastRenderedPageBreak/>
        <w:t>Material and methods</w:t>
      </w:r>
    </w:p>
    <w:p w14:paraId="7E9F6443" w14:textId="4EDBB336" w:rsidR="002160CB" w:rsidRPr="002160CB" w:rsidRDefault="002160CB" w:rsidP="00745741">
      <w:pPr>
        <w:pStyle w:val="Paragrafoelenco"/>
        <w:numPr>
          <w:ilvl w:val="2"/>
          <w:numId w:val="13"/>
        </w:numPr>
        <w:rPr>
          <w:rFonts w:cs="Arial"/>
          <w:b/>
          <w:bCs/>
          <w:i/>
          <w:iCs/>
          <w:szCs w:val="28"/>
        </w:rPr>
      </w:pPr>
      <w:r w:rsidRPr="002160CB">
        <w:rPr>
          <w:rFonts w:cs="Arial"/>
          <w:b/>
          <w:bCs/>
          <w:i/>
          <w:iCs/>
          <w:szCs w:val="28"/>
        </w:rPr>
        <w:t>Small communities case studies</w:t>
      </w:r>
    </w:p>
    <w:p w14:paraId="3AB5AB7C" w14:textId="6D2C3A41" w:rsidR="000273E9" w:rsidRDefault="002160CB" w:rsidP="00ED29B0">
      <w:pPr>
        <w:spacing w:line="276" w:lineRule="auto"/>
        <w:rPr>
          <w:sz w:val="24"/>
        </w:rPr>
      </w:pPr>
      <w:r>
        <w:rPr>
          <w:sz w:val="24"/>
        </w:rPr>
        <w:t xml:space="preserve">The </w:t>
      </w:r>
      <w:r w:rsidRPr="002E7E31">
        <w:rPr>
          <w:sz w:val="24"/>
          <w:u w:val="single"/>
        </w:rPr>
        <w:t>first case study</w:t>
      </w:r>
      <w:r>
        <w:rPr>
          <w:sz w:val="24"/>
        </w:rPr>
        <w:t xml:space="preserve"> </w:t>
      </w:r>
      <w:r w:rsidR="000273E9" w:rsidRPr="000273E9">
        <w:rPr>
          <w:sz w:val="24"/>
        </w:rPr>
        <w:t xml:space="preserve">considered </w:t>
      </w:r>
      <w:r>
        <w:rPr>
          <w:sz w:val="24"/>
        </w:rPr>
        <w:t xml:space="preserve">is represented by </w:t>
      </w:r>
      <w:r w:rsidRPr="002160CB">
        <w:rPr>
          <w:sz w:val="24"/>
        </w:rPr>
        <w:t xml:space="preserve">the small community of </w:t>
      </w:r>
      <w:proofErr w:type="spellStart"/>
      <w:r w:rsidRPr="002160CB">
        <w:rPr>
          <w:sz w:val="24"/>
        </w:rPr>
        <w:t>Fossalto</w:t>
      </w:r>
      <w:proofErr w:type="spellEnd"/>
      <w:r w:rsidRPr="002160CB">
        <w:rPr>
          <w:sz w:val="24"/>
        </w:rPr>
        <w:t>, a little hilltop village located in the Southern part of Italy (Molise Region) with a municipal territory extended over an area of about 28 km</w:t>
      </w:r>
      <w:r w:rsidRPr="000273E9">
        <w:rPr>
          <w:sz w:val="24"/>
          <w:vertAlign w:val="superscript"/>
        </w:rPr>
        <w:t>2</w:t>
      </w:r>
      <w:r w:rsidRPr="002160CB">
        <w:rPr>
          <w:sz w:val="24"/>
        </w:rPr>
        <w:t xml:space="preserve"> and a total population of 1,258 inhabitants. The organic waste is door-to-door collected and then transported to a </w:t>
      </w:r>
      <w:r w:rsidR="00863CB5">
        <w:rPr>
          <w:sz w:val="24"/>
        </w:rPr>
        <w:t xml:space="preserve">composting </w:t>
      </w:r>
      <w:r w:rsidRPr="002160CB">
        <w:rPr>
          <w:sz w:val="24"/>
        </w:rPr>
        <w:t xml:space="preserve">facility </w:t>
      </w:r>
      <w:r w:rsidR="00863CB5">
        <w:rPr>
          <w:sz w:val="24"/>
        </w:rPr>
        <w:t>consisting of an active phase managed by</w:t>
      </w:r>
      <w:r w:rsidRPr="002160CB">
        <w:rPr>
          <w:sz w:val="24"/>
        </w:rPr>
        <w:t xml:space="preserve"> dynamic </w:t>
      </w:r>
      <w:proofErr w:type="spellStart"/>
      <w:r w:rsidRPr="002160CB">
        <w:rPr>
          <w:sz w:val="24"/>
        </w:rPr>
        <w:t>biocells</w:t>
      </w:r>
      <w:proofErr w:type="spellEnd"/>
      <w:r w:rsidRPr="002160CB">
        <w:rPr>
          <w:sz w:val="24"/>
        </w:rPr>
        <w:t xml:space="preserve">, completed in static </w:t>
      </w:r>
      <w:proofErr w:type="gramStart"/>
      <w:r w:rsidRPr="002160CB">
        <w:rPr>
          <w:sz w:val="24"/>
        </w:rPr>
        <w:t>cells</w:t>
      </w:r>
      <w:proofErr w:type="gramEnd"/>
      <w:r w:rsidRPr="002160CB">
        <w:rPr>
          <w:sz w:val="24"/>
        </w:rPr>
        <w:t xml:space="preserve"> and </w:t>
      </w:r>
      <w:r w:rsidR="00863CB5">
        <w:rPr>
          <w:sz w:val="24"/>
        </w:rPr>
        <w:t xml:space="preserve">followed </w:t>
      </w:r>
      <w:r w:rsidRPr="002160CB">
        <w:rPr>
          <w:sz w:val="24"/>
        </w:rPr>
        <w:t>by a curing phase</w:t>
      </w:r>
      <w:r w:rsidR="00863CB5">
        <w:rPr>
          <w:sz w:val="24"/>
        </w:rPr>
        <w:t xml:space="preserve"> managed by aerated piles</w:t>
      </w:r>
      <w:r w:rsidRPr="002160CB">
        <w:rPr>
          <w:sz w:val="24"/>
        </w:rPr>
        <w:t>. In the countryside, compostable waste is partly used as feed for pets and courtyard animals and partly as feed in domestic composters</w:t>
      </w:r>
      <w:r w:rsidR="000273E9">
        <w:rPr>
          <w:sz w:val="24"/>
        </w:rPr>
        <w:t>.</w:t>
      </w:r>
      <w:r w:rsidR="002E7E31">
        <w:rPr>
          <w:sz w:val="24"/>
        </w:rPr>
        <w:t xml:space="preserve"> </w:t>
      </w:r>
      <w:r w:rsidR="000273E9">
        <w:rPr>
          <w:sz w:val="24"/>
        </w:rPr>
        <w:t xml:space="preserve">The </w:t>
      </w:r>
      <w:r w:rsidR="000273E9" w:rsidRPr="002E7E31">
        <w:rPr>
          <w:sz w:val="24"/>
          <w:u w:val="single"/>
        </w:rPr>
        <w:t>second case study</w:t>
      </w:r>
      <w:r w:rsidR="000273E9">
        <w:rPr>
          <w:sz w:val="24"/>
        </w:rPr>
        <w:t xml:space="preserve"> is </w:t>
      </w:r>
      <w:r w:rsidR="000273E9" w:rsidRPr="000273E9">
        <w:rPr>
          <w:sz w:val="24"/>
        </w:rPr>
        <w:tab/>
        <w:t>the</w:t>
      </w:r>
      <w:r w:rsidR="00ED29B0">
        <w:rPr>
          <w:sz w:val="24"/>
        </w:rPr>
        <w:t xml:space="preserve"> </w:t>
      </w:r>
      <w:r w:rsidR="000273E9" w:rsidRPr="000273E9">
        <w:rPr>
          <w:sz w:val="24"/>
        </w:rPr>
        <w:t xml:space="preserve">small community of </w:t>
      </w:r>
      <w:proofErr w:type="spellStart"/>
      <w:r w:rsidR="000273E9" w:rsidRPr="000273E9">
        <w:rPr>
          <w:sz w:val="24"/>
        </w:rPr>
        <w:t>Ist</w:t>
      </w:r>
      <w:proofErr w:type="spellEnd"/>
      <w:r w:rsidR="00A23B91">
        <w:rPr>
          <w:sz w:val="24"/>
        </w:rPr>
        <w:t xml:space="preserve">, </w:t>
      </w:r>
      <w:r w:rsidR="000273E9" w:rsidRPr="000273E9">
        <w:rPr>
          <w:sz w:val="24"/>
        </w:rPr>
        <w:t>an island located in the north-central part of the Zadar archipelago in Croatia, with an area of 9.65 km</w:t>
      </w:r>
      <w:r w:rsidR="000273E9" w:rsidRPr="000273E9">
        <w:rPr>
          <w:sz w:val="24"/>
          <w:vertAlign w:val="superscript"/>
        </w:rPr>
        <w:t>2</w:t>
      </w:r>
      <w:r w:rsidR="000273E9" w:rsidRPr="000273E9">
        <w:rPr>
          <w:sz w:val="24"/>
        </w:rPr>
        <w:t xml:space="preserve"> and a resident population of 182 inhabitants, that strongly increases during the summertime reaching 3-4 thousand of tourists. Waste separate collection is carried out by means of a door-to-door system twice per week and collected waste is transferred to a deposit station (or reloading station) on the island where it is temporarily stored in press containers and thus prepared for transport to mainland via a ship concessionaire. Organic waste is included in the unsorted waste that is finally landfilled</w:t>
      </w:r>
      <w:r w:rsidR="00171CEC">
        <w:rPr>
          <w:sz w:val="24"/>
        </w:rPr>
        <w:t>.</w:t>
      </w:r>
    </w:p>
    <w:p w14:paraId="49776197" w14:textId="01488E2C" w:rsidR="00F6402D" w:rsidRDefault="00114E91" w:rsidP="00451CDF">
      <w:pPr>
        <w:spacing w:line="276" w:lineRule="auto"/>
        <w:rPr>
          <w:sz w:val="24"/>
        </w:rPr>
      </w:pPr>
      <w:r w:rsidRPr="00114E91">
        <w:rPr>
          <w:sz w:val="24"/>
        </w:rPr>
        <w:t>In the framework of the NETWAP project, a</w:t>
      </w:r>
      <w:r w:rsidR="00DC3898">
        <w:rPr>
          <w:sz w:val="24"/>
        </w:rPr>
        <w:t xml:space="preserve"> </w:t>
      </w:r>
      <w:proofErr w:type="spellStart"/>
      <w:r w:rsidR="00DC3898">
        <w:rPr>
          <w:sz w:val="24"/>
        </w:rPr>
        <w:t>Dizio</w:t>
      </w:r>
      <w:proofErr w:type="spellEnd"/>
      <w:r w:rsidR="00DC3898">
        <w:rPr>
          <w:sz w:val="24"/>
        </w:rPr>
        <w:t xml:space="preserve"> </w:t>
      </w:r>
      <w:proofErr w:type="spellStart"/>
      <w:r w:rsidR="00DC3898">
        <w:rPr>
          <w:sz w:val="24"/>
        </w:rPr>
        <w:t>Inoxa</w:t>
      </w:r>
      <w:proofErr w:type="spellEnd"/>
      <w:r w:rsidR="00451CDF">
        <w:rPr>
          <w:sz w:val="24"/>
        </w:rPr>
        <w:t xml:space="preserve"> </w:t>
      </w:r>
      <w:r w:rsidRPr="00114E91">
        <w:rPr>
          <w:sz w:val="24"/>
        </w:rPr>
        <w:t>electromechanical composter</w:t>
      </w:r>
      <w:r w:rsidR="00DC3898">
        <w:rPr>
          <w:sz w:val="24"/>
        </w:rPr>
        <w:t xml:space="preserve">, model </w:t>
      </w:r>
      <w:r w:rsidR="00DC3898" w:rsidRPr="00DC3898">
        <w:rPr>
          <w:sz w:val="24"/>
        </w:rPr>
        <w:t>EcoKompos.T30</w:t>
      </w:r>
      <w:r w:rsidRPr="00114E91">
        <w:rPr>
          <w:sz w:val="24"/>
        </w:rPr>
        <w:t xml:space="preserve"> </w:t>
      </w:r>
      <w:r w:rsidR="00563921">
        <w:rPr>
          <w:sz w:val="24"/>
        </w:rPr>
        <w:t xml:space="preserve">with a biowaste input capacity of 25.5 t/year </w:t>
      </w:r>
      <w:r w:rsidRPr="00114E91">
        <w:rPr>
          <w:sz w:val="24"/>
        </w:rPr>
        <w:t>was installed in both the territories.</w:t>
      </w:r>
    </w:p>
    <w:p w14:paraId="5782DB9D" w14:textId="77777777" w:rsidR="00451CDF" w:rsidRPr="00451CDF" w:rsidRDefault="00451CDF" w:rsidP="00451CDF">
      <w:pPr>
        <w:spacing w:line="276" w:lineRule="auto"/>
        <w:rPr>
          <w:sz w:val="24"/>
        </w:rPr>
      </w:pPr>
    </w:p>
    <w:p w14:paraId="06109974" w14:textId="458DEA26" w:rsidR="007B567F" w:rsidRDefault="002160CB" w:rsidP="00745741">
      <w:pPr>
        <w:pStyle w:val="Paragrafoelenco"/>
        <w:numPr>
          <w:ilvl w:val="2"/>
          <w:numId w:val="13"/>
        </w:numPr>
        <w:rPr>
          <w:rFonts w:cs="Arial"/>
          <w:b/>
          <w:bCs/>
          <w:i/>
          <w:iCs/>
          <w:szCs w:val="28"/>
        </w:rPr>
      </w:pPr>
      <w:r w:rsidRPr="002160CB">
        <w:rPr>
          <w:rFonts w:cs="Arial"/>
          <w:b/>
          <w:bCs/>
          <w:i/>
          <w:iCs/>
          <w:szCs w:val="28"/>
        </w:rPr>
        <w:t xml:space="preserve">Comparative Life Cycle </w:t>
      </w:r>
      <w:r w:rsidR="00AB7DE6">
        <w:rPr>
          <w:rFonts w:cs="Arial"/>
          <w:b/>
          <w:bCs/>
          <w:i/>
          <w:iCs/>
          <w:szCs w:val="28"/>
        </w:rPr>
        <w:t>A</w:t>
      </w:r>
      <w:r w:rsidRPr="002160CB">
        <w:rPr>
          <w:rFonts w:cs="Arial"/>
          <w:b/>
          <w:bCs/>
          <w:i/>
          <w:iCs/>
          <w:szCs w:val="28"/>
        </w:rPr>
        <w:t xml:space="preserve">nalysis </w:t>
      </w:r>
    </w:p>
    <w:p w14:paraId="37939DC4" w14:textId="1E2C9BA7" w:rsidR="00982CEF" w:rsidRPr="00982CEF" w:rsidRDefault="00982CEF" w:rsidP="00982CEF">
      <w:pPr>
        <w:spacing w:line="276" w:lineRule="auto"/>
        <w:rPr>
          <w:sz w:val="24"/>
          <w:szCs w:val="24"/>
        </w:rPr>
      </w:pPr>
      <w:r w:rsidRPr="00982CEF">
        <w:rPr>
          <w:sz w:val="24"/>
          <w:szCs w:val="24"/>
        </w:rPr>
        <w:t xml:space="preserve">This comparative study </w:t>
      </w:r>
      <w:r w:rsidR="007F726C">
        <w:rPr>
          <w:sz w:val="24"/>
          <w:szCs w:val="24"/>
        </w:rPr>
        <w:t>wa</w:t>
      </w:r>
      <w:r w:rsidRPr="00982CEF">
        <w:rPr>
          <w:sz w:val="24"/>
          <w:szCs w:val="24"/>
        </w:rPr>
        <w:t xml:space="preserve">s performed to analyze the environmental and economic impacts of different management strategies for the Organic Fraction (OF) of Municipal Solid Waste (MSW) produced in </w:t>
      </w:r>
      <w:proofErr w:type="spellStart"/>
      <w:r w:rsidRPr="00982CEF">
        <w:rPr>
          <w:sz w:val="24"/>
          <w:szCs w:val="24"/>
        </w:rPr>
        <w:t>Fossalto</w:t>
      </w:r>
      <w:proofErr w:type="spellEnd"/>
      <w:r w:rsidRPr="00982CEF">
        <w:rPr>
          <w:sz w:val="24"/>
          <w:szCs w:val="24"/>
        </w:rPr>
        <w:t xml:space="preserve"> and in </w:t>
      </w:r>
      <w:proofErr w:type="spellStart"/>
      <w:r w:rsidRPr="00982CEF">
        <w:rPr>
          <w:sz w:val="24"/>
          <w:szCs w:val="24"/>
        </w:rPr>
        <w:t>Ist</w:t>
      </w:r>
      <w:proofErr w:type="spellEnd"/>
      <w:r w:rsidRPr="00982CEF">
        <w:rPr>
          <w:sz w:val="24"/>
          <w:szCs w:val="24"/>
        </w:rPr>
        <w:t xml:space="preserve"> Island (for each pilot, the baseline scenario </w:t>
      </w:r>
      <w:r w:rsidR="007F726C">
        <w:rPr>
          <w:sz w:val="24"/>
          <w:szCs w:val="24"/>
        </w:rPr>
        <w:t>wa</w:t>
      </w:r>
      <w:r w:rsidRPr="00982CEF">
        <w:rPr>
          <w:sz w:val="24"/>
          <w:szCs w:val="24"/>
        </w:rPr>
        <w:t>s compared with the NETWAP scenario). Th</w:t>
      </w:r>
      <w:r w:rsidR="007F726C">
        <w:rPr>
          <w:sz w:val="24"/>
          <w:szCs w:val="24"/>
        </w:rPr>
        <w:t>e aim of the</w:t>
      </w:r>
      <w:r w:rsidRPr="00982CEF">
        <w:rPr>
          <w:sz w:val="24"/>
          <w:szCs w:val="24"/>
        </w:rPr>
        <w:t xml:space="preserve"> study </w:t>
      </w:r>
      <w:r w:rsidR="007F726C">
        <w:rPr>
          <w:sz w:val="24"/>
          <w:szCs w:val="24"/>
        </w:rPr>
        <w:t xml:space="preserve">was to </w:t>
      </w:r>
      <w:r w:rsidRPr="00982CEF">
        <w:rPr>
          <w:sz w:val="24"/>
          <w:szCs w:val="24"/>
        </w:rPr>
        <w:t>provid</w:t>
      </w:r>
      <w:r w:rsidR="007F726C">
        <w:rPr>
          <w:sz w:val="24"/>
          <w:szCs w:val="24"/>
        </w:rPr>
        <w:t>e</w:t>
      </w:r>
      <w:r w:rsidRPr="00982CEF">
        <w:rPr>
          <w:sz w:val="24"/>
          <w:szCs w:val="24"/>
        </w:rPr>
        <w:t xml:space="preserve"> decision-makers with potentially useful recommendations for local waste management planning in small villages. The target audience is thus represented by all the interested stakeholders and decision-makers, such as the public administration. </w:t>
      </w:r>
    </w:p>
    <w:p w14:paraId="7B92A6B3" w14:textId="18CE4C4C" w:rsidR="00A12B66" w:rsidRDefault="00667426" w:rsidP="00982CEF">
      <w:pPr>
        <w:spacing w:line="276" w:lineRule="auto"/>
        <w:rPr>
          <w:sz w:val="24"/>
          <w:szCs w:val="24"/>
        </w:rPr>
      </w:pPr>
      <w:r>
        <w:rPr>
          <w:sz w:val="24"/>
          <w:szCs w:val="24"/>
        </w:rPr>
        <w:lastRenderedPageBreak/>
        <w:t>Regarding LCA, i</w:t>
      </w:r>
      <w:r w:rsidR="00982CEF" w:rsidRPr="00982CEF">
        <w:rPr>
          <w:sz w:val="24"/>
          <w:szCs w:val="24"/>
        </w:rPr>
        <w:t>n agreement with the ISO standards 14040-44 (</w:t>
      </w:r>
      <w:r w:rsidR="00163FB4">
        <w:rPr>
          <w:sz w:val="24"/>
          <w:szCs w:val="24"/>
        </w:rPr>
        <w:t xml:space="preserve">ISO </w:t>
      </w:r>
      <w:r w:rsidR="00982CEF" w:rsidRPr="00163FB4">
        <w:rPr>
          <w:sz w:val="24"/>
          <w:szCs w:val="24"/>
        </w:rPr>
        <w:t xml:space="preserve">2006 </w:t>
      </w:r>
      <w:proofErr w:type="spellStart"/>
      <w:proofErr w:type="gramStart"/>
      <w:r w:rsidR="00982CEF" w:rsidRPr="00163FB4">
        <w:rPr>
          <w:sz w:val="24"/>
          <w:szCs w:val="24"/>
        </w:rPr>
        <w:t>a,b</w:t>
      </w:r>
      <w:proofErr w:type="spellEnd"/>
      <w:proofErr w:type="gramEnd"/>
      <w:r w:rsidR="00982CEF" w:rsidRPr="00982CEF">
        <w:rPr>
          <w:sz w:val="24"/>
          <w:szCs w:val="24"/>
        </w:rPr>
        <w:t>) and the ILCD Handbook (</w:t>
      </w:r>
      <w:r w:rsidR="00163FB4">
        <w:rPr>
          <w:sz w:val="24"/>
          <w:szCs w:val="24"/>
        </w:rPr>
        <w:t>EC</w:t>
      </w:r>
      <w:r w:rsidR="00163FB4" w:rsidRPr="00163FB4">
        <w:rPr>
          <w:sz w:val="24"/>
          <w:szCs w:val="24"/>
        </w:rPr>
        <w:t xml:space="preserve">, </w:t>
      </w:r>
      <w:r w:rsidR="00982CEF" w:rsidRPr="00163FB4">
        <w:rPr>
          <w:sz w:val="24"/>
          <w:szCs w:val="24"/>
        </w:rPr>
        <w:t>2010), the</w:t>
      </w:r>
      <w:r w:rsidR="00982CEF" w:rsidRPr="00982CEF">
        <w:rPr>
          <w:sz w:val="24"/>
          <w:szCs w:val="24"/>
        </w:rPr>
        <w:t xml:space="preserve"> attributional modelling principle </w:t>
      </w:r>
      <w:r w:rsidR="007F726C">
        <w:rPr>
          <w:sz w:val="24"/>
          <w:szCs w:val="24"/>
        </w:rPr>
        <w:t>wa</w:t>
      </w:r>
      <w:r w:rsidR="00982CEF" w:rsidRPr="00982CEF">
        <w:rPr>
          <w:sz w:val="24"/>
          <w:szCs w:val="24"/>
        </w:rPr>
        <w:t xml:space="preserve">s chosen and a gate-to-cradle approach </w:t>
      </w:r>
      <w:r w:rsidR="007F726C">
        <w:rPr>
          <w:sz w:val="24"/>
          <w:szCs w:val="24"/>
        </w:rPr>
        <w:t>wa</w:t>
      </w:r>
      <w:r w:rsidR="00982CEF" w:rsidRPr="00982CEF">
        <w:rPr>
          <w:sz w:val="24"/>
          <w:szCs w:val="24"/>
        </w:rPr>
        <w:t xml:space="preserve">s applied, considering the production of a soil </w:t>
      </w:r>
      <w:r w:rsidR="00982CEF" w:rsidRPr="00496DA2">
        <w:rPr>
          <w:sz w:val="24"/>
          <w:szCs w:val="24"/>
        </w:rPr>
        <w:t>improver (</w:t>
      </w:r>
      <w:proofErr w:type="spellStart"/>
      <w:r w:rsidR="00982CEF" w:rsidRPr="00496DA2">
        <w:rPr>
          <w:sz w:val="24"/>
          <w:szCs w:val="24"/>
        </w:rPr>
        <w:t>Ekvall</w:t>
      </w:r>
      <w:proofErr w:type="spellEnd"/>
      <w:r w:rsidR="00982CEF" w:rsidRPr="00496DA2">
        <w:rPr>
          <w:sz w:val="24"/>
          <w:szCs w:val="24"/>
        </w:rPr>
        <w:t xml:space="preserve"> et al., 2007).</w:t>
      </w:r>
      <w:r w:rsidR="00982CEF" w:rsidRPr="00982CEF">
        <w:rPr>
          <w:sz w:val="24"/>
          <w:szCs w:val="24"/>
        </w:rPr>
        <w:t xml:space="preserve"> The functional unit (FU) </w:t>
      </w:r>
      <w:r w:rsidR="007F726C">
        <w:rPr>
          <w:sz w:val="24"/>
          <w:szCs w:val="24"/>
        </w:rPr>
        <w:t>i</w:t>
      </w:r>
      <w:r w:rsidR="00982CEF" w:rsidRPr="00982CEF">
        <w:rPr>
          <w:sz w:val="24"/>
          <w:szCs w:val="24"/>
        </w:rPr>
        <w:t xml:space="preserve">s the treatment of 1 ton of organic waste produced. In the case of </w:t>
      </w:r>
      <w:proofErr w:type="spellStart"/>
      <w:r w:rsidR="00982CEF" w:rsidRPr="00982CEF">
        <w:rPr>
          <w:sz w:val="24"/>
          <w:szCs w:val="24"/>
        </w:rPr>
        <w:t>Ist</w:t>
      </w:r>
      <w:proofErr w:type="spellEnd"/>
      <w:r w:rsidR="00982CEF" w:rsidRPr="00982CEF">
        <w:rPr>
          <w:sz w:val="24"/>
          <w:szCs w:val="24"/>
        </w:rPr>
        <w:t xml:space="preserve"> Island, since the </w:t>
      </w:r>
      <w:r w:rsidR="00BF44A7">
        <w:rPr>
          <w:sz w:val="24"/>
          <w:szCs w:val="24"/>
        </w:rPr>
        <w:t>OF</w:t>
      </w:r>
      <w:r w:rsidR="00982CEF" w:rsidRPr="00982CEF">
        <w:rPr>
          <w:sz w:val="24"/>
          <w:szCs w:val="24"/>
        </w:rPr>
        <w:t xml:space="preserve"> is not separately collected, it </w:t>
      </w:r>
      <w:r w:rsidR="007F726C">
        <w:rPr>
          <w:sz w:val="24"/>
          <w:szCs w:val="24"/>
        </w:rPr>
        <w:t>wa</w:t>
      </w:r>
      <w:r w:rsidR="00982CEF" w:rsidRPr="00982CEF">
        <w:rPr>
          <w:sz w:val="24"/>
          <w:szCs w:val="24"/>
        </w:rPr>
        <w:t xml:space="preserve">s assumed that an amount of 20.28 ton of kitchen waste is produced yearly, based on the estimated composition of mixed waste (namely, 30.9% according to </w:t>
      </w:r>
      <w:r w:rsidR="004B2624">
        <w:rPr>
          <w:sz w:val="24"/>
          <w:szCs w:val="24"/>
        </w:rPr>
        <w:t>(HR, 2020)</w:t>
      </w:r>
      <w:r w:rsidR="00982CEF" w:rsidRPr="00982CEF">
        <w:rPr>
          <w:sz w:val="24"/>
          <w:szCs w:val="24"/>
        </w:rPr>
        <w:t xml:space="preserve">) and considering an average amount of mixed </w:t>
      </w:r>
      <w:r w:rsidR="0062644D">
        <w:rPr>
          <w:sz w:val="24"/>
          <w:szCs w:val="24"/>
        </w:rPr>
        <w:t>MSW</w:t>
      </w:r>
      <w:r w:rsidR="00982CEF" w:rsidRPr="00982CEF">
        <w:rPr>
          <w:sz w:val="24"/>
          <w:szCs w:val="24"/>
        </w:rPr>
        <w:t xml:space="preserve"> of 65.62 ton collected between 2018 and 2020 (</w:t>
      </w:r>
      <w:r w:rsidR="00982CEF" w:rsidRPr="003E5CC5">
        <w:rPr>
          <w:i/>
          <w:sz w:val="24"/>
          <w:szCs w:val="24"/>
        </w:rPr>
        <w:t>versus</w:t>
      </w:r>
      <w:r w:rsidR="00982CEF" w:rsidRPr="00982CEF">
        <w:rPr>
          <w:sz w:val="24"/>
          <w:szCs w:val="24"/>
        </w:rPr>
        <w:t xml:space="preserve"> a total amount of 43.14 ton/</w:t>
      </w:r>
      <w:proofErr w:type="spellStart"/>
      <w:r w:rsidR="00982CEF" w:rsidRPr="00982CEF">
        <w:rPr>
          <w:sz w:val="24"/>
          <w:szCs w:val="24"/>
        </w:rPr>
        <w:t>yr</w:t>
      </w:r>
      <w:proofErr w:type="spellEnd"/>
      <w:r w:rsidR="00982CEF" w:rsidRPr="00982CEF">
        <w:rPr>
          <w:sz w:val="24"/>
          <w:szCs w:val="24"/>
        </w:rPr>
        <w:t xml:space="preserve">, in the reference year of 2020, for </w:t>
      </w:r>
      <w:proofErr w:type="spellStart"/>
      <w:r w:rsidR="00982CEF" w:rsidRPr="00982CEF">
        <w:rPr>
          <w:sz w:val="24"/>
          <w:szCs w:val="24"/>
        </w:rPr>
        <w:t>Fossalto</w:t>
      </w:r>
      <w:proofErr w:type="spellEnd"/>
      <w:r w:rsidR="00982CEF" w:rsidRPr="00982CEF">
        <w:rPr>
          <w:sz w:val="24"/>
          <w:szCs w:val="24"/>
        </w:rPr>
        <w:t>).</w:t>
      </w:r>
      <w:r w:rsidR="00886CCF">
        <w:rPr>
          <w:sz w:val="24"/>
          <w:szCs w:val="24"/>
        </w:rPr>
        <w:t xml:space="preserve"> </w:t>
      </w:r>
      <w:r w:rsidR="00E62979">
        <w:rPr>
          <w:sz w:val="24"/>
          <w:szCs w:val="24"/>
        </w:rPr>
        <w:t xml:space="preserve">Both data set were provided by the municipal administrations of Zadar </w:t>
      </w:r>
      <w:r w:rsidR="00451CDF">
        <w:rPr>
          <w:sz w:val="24"/>
          <w:szCs w:val="24"/>
        </w:rPr>
        <w:t>C</w:t>
      </w:r>
      <w:r w:rsidR="00E62979">
        <w:rPr>
          <w:sz w:val="24"/>
          <w:szCs w:val="24"/>
        </w:rPr>
        <w:t xml:space="preserve">ounty and </w:t>
      </w:r>
      <w:proofErr w:type="spellStart"/>
      <w:r w:rsidR="00E62979">
        <w:rPr>
          <w:sz w:val="24"/>
          <w:szCs w:val="24"/>
        </w:rPr>
        <w:t>Fossalto</w:t>
      </w:r>
      <w:proofErr w:type="spellEnd"/>
      <w:r w:rsidR="00E62979">
        <w:rPr>
          <w:sz w:val="24"/>
          <w:szCs w:val="24"/>
        </w:rPr>
        <w:t xml:space="preserve">. </w:t>
      </w:r>
      <w:r w:rsidR="00982CEF" w:rsidRPr="00982CEF">
        <w:rPr>
          <w:sz w:val="24"/>
          <w:szCs w:val="24"/>
        </w:rPr>
        <w:t>The boundaries of the investigated systems are schematically depicted in Figure 1.</w:t>
      </w:r>
      <w:r w:rsidR="007849F4">
        <w:rPr>
          <w:sz w:val="24"/>
          <w:szCs w:val="24"/>
        </w:rPr>
        <w:t xml:space="preserve"> </w:t>
      </w:r>
    </w:p>
    <w:p w14:paraId="6E28245F" w14:textId="619D1177" w:rsidR="00181E67" w:rsidRDefault="006A1A68" w:rsidP="00CA2BB2">
      <w:pPr>
        <w:spacing w:line="276" w:lineRule="auto"/>
        <w:jc w:val="center"/>
        <w:rPr>
          <w:sz w:val="24"/>
          <w:szCs w:val="24"/>
        </w:rPr>
      </w:pPr>
      <w:r w:rsidRPr="006A1A68">
        <w:rPr>
          <w:noProof/>
          <w:lang w:val="it-IT" w:eastAsia="it-IT"/>
        </w:rPr>
        <w:drawing>
          <wp:inline distT="0" distB="0" distL="0" distR="0" wp14:anchorId="61B3F9BD" wp14:editId="144C28D9">
            <wp:extent cx="3440709" cy="1620000"/>
            <wp:effectExtent l="0" t="0" r="762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0709" cy="1620000"/>
                    </a:xfrm>
                    <a:prstGeom prst="rect">
                      <a:avLst/>
                    </a:prstGeom>
                  </pic:spPr>
                </pic:pic>
              </a:graphicData>
            </a:graphic>
          </wp:inline>
        </w:drawing>
      </w:r>
    </w:p>
    <w:p w14:paraId="4777492F" w14:textId="367A6167" w:rsidR="00982CEF" w:rsidRPr="00770CD7" w:rsidRDefault="00770CD7" w:rsidP="00755819">
      <w:pPr>
        <w:pStyle w:val="FigureCaption"/>
        <w:spacing w:line="276" w:lineRule="auto"/>
        <w:jc w:val="center"/>
      </w:pPr>
      <w:r w:rsidRPr="0025212D">
        <w:t xml:space="preserve">Fig. </w:t>
      </w:r>
      <w:r>
        <w:t xml:space="preserve">1. </w:t>
      </w:r>
      <w:r w:rsidRPr="00770CD7">
        <w:t xml:space="preserve">System boundaries of (a) </w:t>
      </w:r>
      <w:proofErr w:type="spellStart"/>
      <w:r w:rsidRPr="00770CD7">
        <w:t>Fossalto</w:t>
      </w:r>
      <w:proofErr w:type="spellEnd"/>
      <w:r w:rsidRPr="00770CD7">
        <w:t xml:space="preserve"> and (b) </w:t>
      </w:r>
      <w:proofErr w:type="spellStart"/>
      <w:r w:rsidRPr="00770CD7">
        <w:t>Ist</w:t>
      </w:r>
      <w:proofErr w:type="spellEnd"/>
      <w:r w:rsidRPr="00770CD7">
        <w:t xml:space="preserve"> Island pilot actions</w:t>
      </w:r>
      <w:r w:rsidRPr="0056538A">
        <w:t>.</w:t>
      </w:r>
    </w:p>
    <w:p w14:paraId="79716C93" w14:textId="77777777" w:rsidR="00BD2EA4" w:rsidRDefault="00BD2EA4" w:rsidP="00301320">
      <w:pPr>
        <w:spacing w:line="276" w:lineRule="auto"/>
        <w:rPr>
          <w:sz w:val="24"/>
          <w:szCs w:val="24"/>
        </w:rPr>
      </w:pPr>
    </w:p>
    <w:p w14:paraId="793D7025" w14:textId="576054B5" w:rsidR="00A12B66" w:rsidRDefault="00886CCF" w:rsidP="00301320">
      <w:pPr>
        <w:spacing w:line="276" w:lineRule="auto"/>
        <w:rPr>
          <w:sz w:val="24"/>
          <w:szCs w:val="24"/>
        </w:rPr>
      </w:pPr>
      <w:r w:rsidRPr="00982CEF">
        <w:rPr>
          <w:sz w:val="24"/>
          <w:szCs w:val="24"/>
        </w:rPr>
        <w:t xml:space="preserve">The system boundaries </w:t>
      </w:r>
      <w:r w:rsidR="00D0043D">
        <w:rPr>
          <w:sz w:val="24"/>
          <w:szCs w:val="24"/>
        </w:rPr>
        <w:t>we</w:t>
      </w:r>
      <w:r w:rsidRPr="00982CEF">
        <w:rPr>
          <w:sz w:val="24"/>
          <w:szCs w:val="24"/>
        </w:rPr>
        <w:t xml:space="preserve">re extended to encompass the whole organic waste chain: from the generation of waste (a zero burden approach </w:t>
      </w:r>
      <w:r w:rsidR="00D0043D">
        <w:rPr>
          <w:sz w:val="24"/>
          <w:szCs w:val="24"/>
        </w:rPr>
        <w:t>wa</w:t>
      </w:r>
      <w:r w:rsidRPr="00982CEF">
        <w:rPr>
          <w:sz w:val="24"/>
          <w:szCs w:val="24"/>
        </w:rPr>
        <w:t>s assumed, not including the generation of waste or the life cycle of the products before they became waste) to the treatment in the</w:t>
      </w:r>
      <w:r w:rsidRPr="000B5086">
        <w:t xml:space="preserve"> </w:t>
      </w:r>
      <w:r w:rsidRPr="000B5086">
        <w:rPr>
          <w:sz w:val="24"/>
          <w:szCs w:val="24"/>
        </w:rPr>
        <w:t>baseline scenario</w:t>
      </w:r>
      <w:r w:rsidRPr="00982CEF">
        <w:rPr>
          <w:sz w:val="24"/>
          <w:szCs w:val="24"/>
        </w:rPr>
        <w:t xml:space="preserve"> </w:t>
      </w:r>
      <w:r>
        <w:rPr>
          <w:sz w:val="24"/>
          <w:szCs w:val="24"/>
        </w:rPr>
        <w:t>(</w:t>
      </w:r>
      <w:proofErr w:type="spellStart"/>
      <w:r w:rsidRPr="00982CEF">
        <w:rPr>
          <w:sz w:val="24"/>
          <w:szCs w:val="24"/>
        </w:rPr>
        <w:t>Montagano</w:t>
      </w:r>
      <w:proofErr w:type="spellEnd"/>
      <w:r w:rsidRPr="00982CEF">
        <w:rPr>
          <w:sz w:val="24"/>
          <w:szCs w:val="24"/>
        </w:rPr>
        <w:t xml:space="preserve"> </w:t>
      </w:r>
      <w:r w:rsidR="00DC3898">
        <w:rPr>
          <w:sz w:val="24"/>
          <w:szCs w:val="24"/>
        </w:rPr>
        <w:t xml:space="preserve">composting </w:t>
      </w:r>
      <w:r w:rsidRPr="00982CEF">
        <w:rPr>
          <w:sz w:val="24"/>
          <w:szCs w:val="24"/>
        </w:rPr>
        <w:t xml:space="preserve">facility </w:t>
      </w:r>
      <w:r>
        <w:rPr>
          <w:sz w:val="24"/>
          <w:szCs w:val="24"/>
        </w:rPr>
        <w:t>for</w:t>
      </w:r>
      <w:r w:rsidRPr="00982CEF">
        <w:rPr>
          <w:sz w:val="24"/>
          <w:szCs w:val="24"/>
        </w:rPr>
        <w:t xml:space="preserve"> </w:t>
      </w:r>
      <w:proofErr w:type="spellStart"/>
      <w:r w:rsidRPr="00982CEF">
        <w:rPr>
          <w:sz w:val="24"/>
          <w:szCs w:val="24"/>
        </w:rPr>
        <w:t>Fossalto</w:t>
      </w:r>
      <w:proofErr w:type="spellEnd"/>
      <w:r>
        <w:rPr>
          <w:sz w:val="24"/>
          <w:szCs w:val="24"/>
        </w:rPr>
        <w:t>,</w:t>
      </w:r>
      <w:r w:rsidRPr="00982CEF">
        <w:rPr>
          <w:sz w:val="24"/>
          <w:szCs w:val="24"/>
        </w:rPr>
        <w:t xml:space="preserve"> </w:t>
      </w:r>
      <w:proofErr w:type="spellStart"/>
      <w:r w:rsidRPr="00982CEF">
        <w:rPr>
          <w:sz w:val="24"/>
          <w:szCs w:val="24"/>
        </w:rPr>
        <w:t>Diklo</w:t>
      </w:r>
      <w:proofErr w:type="spellEnd"/>
      <w:r w:rsidRPr="00982CEF">
        <w:rPr>
          <w:sz w:val="24"/>
          <w:szCs w:val="24"/>
        </w:rPr>
        <w:t xml:space="preserve"> landfill in Zadar </w:t>
      </w:r>
      <w:r>
        <w:rPr>
          <w:sz w:val="24"/>
          <w:szCs w:val="24"/>
        </w:rPr>
        <w:t xml:space="preserve">for </w:t>
      </w:r>
      <w:proofErr w:type="spellStart"/>
      <w:r w:rsidRPr="00982CEF">
        <w:rPr>
          <w:sz w:val="24"/>
          <w:szCs w:val="24"/>
        </w:rPr>
        <w:t>Ist</w:t>
      </w:r>
      <w:proofErr w:type="spellEnd"/>
      <w:r w:rsidRPr="00982CEF">
        <w:rPr>
          <w:sz w:val="24"/>
          <w:szCs w:val="24"/>
        </w:rPr>
        <w:t xml:space="preserve">) or in the </w:t>
      </w:r>
      <w:r w:rsidRPr="000B5086">
        <w:rPr>
          <w:sz w:val="24"/>
          <w:szCs w:val="24"/>
        </w:rPr>
        <w:t xml:space="preserve">NETWAP scenario </w:t>
      </w:r>
      <w:r>
        <w:rPr>
          <w:sz w:val="24"/>
          <w:szCs w:val="24"/>
        </w:rPr>
        <w:t>(</w:t>
      </w:r>
      <w:r w:rsidRPr="00982CEF">
        <w:rPr>
          <w:sz w:val="24"/>
          <w:szCs w:val="24"/>
        </w:rPr>
        <w:t>electromechanical composter for both pilots), through the collection and transportation, up to the final disposal of residual waste.</w:t>
      </w:r>
      <w:r>
        <w:rPr>
          <w:sz w:val="24"/>
          <w:szCs w:val="24"/>
        </w:rPr>
        <w:t xml:space="preserve"> </w:t>
      </w:r>
      <w:r w:rsidR="00982CEF" w:rsidRPr="00982CEF">
        <w:rPr>
          <w:sz w:val="24"/>
          <w:szCs w:val="24"/>
        </w:rPr>
        <w:t xml:space="preserve">Finally, </w:t>
      </w:r>
      <w:proofErr w:type="gramStart"/>
      <w:r w:rsidR="00982CEF" w:rsidRPr="00982CEF">
        <w:rPr>
          <w:sz w:val="24"/>
          <w:szCs w:val="24"/>
        </w:rPr>
        <w:t>in order to</w:t>
      </w:r>
      <w:proofErr w:type="gramEnd"/>
      <w:r w:rsidR="00982CEF" w:rsidRPr="00982CEF">
        <w:rPr>
          <w:sz w:val="24"/>
          <w:szCs w:val="24"/>
        </w:rPr>
        <w:t xml:space="preserve"> evaluate the potential benefits linked to the different waste management strategies, a system expansion (or avoided burden approach) </w:t>
      </w:r>
      <w:r w:rsidR="00D0043D">
        <w:rPr>
          <w:sz w:val="24"/>
          <w:szCs w:val="24"/>
        </w:rPr>
        <w:t>wa</w:t>
      </w:r>
      <w:r w:rsidR="00982CEF" w:rsidRPr="00982CEF">
        <w:rPr>
          <w:sz w:val="24"/>
          <w:szCs w:val="24"/>
        </w:rPr>
        <w:t xml:space="preserve">s also performed, </w:t>
      </w:r>
      <w:r w:rsidR="00D0043D">
        <w:rPr>
          <w:sz w:val="24"/>
          <w:szCs w:val="24"/>
        </w:rPr>
        <w:t>including</w:t>
      </w:r>
      <w:r w:rsidR="00982CEF" w:rsidRPr="00982CEF">
        <w:rPr>
          <w:sz w:val="24"/>
          <w:szCs w:val="24"/>
        </w:rPr>
        <w:t xml:space="preserve"> the avoided production of fertilizers for crediting the production of compost (1 ton of compost </w:t>
      </w:r>
      <w:r w:rsidR="00D0043D">
        <w:rPr>
          <w:sz w:val="24"/>
          <w:szCs w:val="24"/>
        </w:rPr>
        <w:t>wa</w:t>
      </w:r>
      <w:r w:rsidR="00982CEF" w:rsidRPr="00982CEF">
        <w:rPr>
          <w:sz w:val="24"/>
          <w:szCs w:val="24"/>
        </w:rPr>
        <w:t xml:space="preserve">s </w:t>
      </w:r>
      <w:r w:rsidR="00982CEF" w:rsidRPr="00982CEF">
        <w:rPr>
          <w:sz w:val="24"/>
          <w:szCs w:val="24"/>
        </w:rPr>
        <w:lastRenderedPageBreak/>
        <w:t xml:space="preserve">assumed to substitute 23 kg of N-fertilizer, 9.5 kg of P-fertilizer and 9 kg of K-fertilizer, according to </w:t>
      </w:r>
      <w:proofErr w:type="spellStart"/>
      <w:r w:rsidR="00982CEF" w:rsidRPr="00496DA2">
        <w:rPr>
          <w:sz w:val="24"/>
          <w:szCs w:val="24"/>
        </w:rPr>
        <w:t>Ripa</w:t>
      </w:r>
      <w:proofErr w:type="spellEnd"/>
      <w:r w:rsidR="00982CEF" w:rsidRPr="00496DA2">
        <w:rPr>
          <w:sz w:val="24"/>
          <w:szCs w:val="24"/>
        </w:rPr>
        <w:t xml:space="preserve"> et al., 2017).</w:t>
      </w:r>
    </w:p>
    <w:p w14:paraId="5CAA1633" w14:textId="5324D1CB" w:rsidR="00301320" w:rsidRDefault="00667426" w:rsidP="00667426">
      <w:pPr>
        <w:spacing w:line="276" w:lineRule="auto"/>
        <w:rPr>
          <w:sz w:val="24"/>
          <w:szCs w:val="24"/>
        </w:rPr>
      </w:pPr>
      <w:r>
        <w:rPr>
          <w:sz w:val="24"/>
          <w:szCs w:val="24"/>
        </w:rPr>
        <w:t xml:space="preserve">Regarding LCC, </w:t>
      </w:r>
      <w:r w:rsidRPr="00667426">
        <w:rPr>
          <w:sz w:val="24"/>
          <w:szCs w:val="24"/>
        </w:rPr>
        <w:t>an environmental LCC (</w:t>
      </w:r>
      <w:proofErr w:type="spellStart"/>
      <w:r w:rsidRPr="00667426">
        <w:rPr>
          <w:sz w:val="24"/>
          <w:szCs w:val="24"/>
        </w:rPr>
        <w:t>eLCC</w:t>
      </w:r>
      <w:proofErr w:type="spellEnd"/>
      <w:r w:rsidRPr="00667426">
        <w:rPr>
          <w:sz w:val="24"/>
          <w:szCs w:val="24"/>
        </w:rPr>
        <w:t xml:space="preserve">) </w:t>
      </w:r>
      <w:r w:rsidR="00D0043D">
        <w:rPr>
          <w:sz w:val="24"/>
          <w:szCs w:val="24"/>
        </w:rPr>
        <w:t>wa</w:t>
      </w:r>
      <w:r w:rsidRPr="00667426">
        <w:rPr>
          <w:sz w:val="24"/>
          <w:szCs w:val="24"/>
        </w:rPr>
        <w:t>s carried out applying the Environmental Priority Strategies (EPS) approach (version 2015dx) for the calculation of the externalities (Baumann &amp; Tillman, 2004),</w:t>
      </w:r>
      <w:r>
        <w:rPr>
          <w:sz w:val="24"/>
          <w:szCs w:val="24"/>
        </w:rPr>
        <w:t xml:space="preserve"> </w:t>
      </w:r>
      <w:r w:rsidRPr="00667426">
        <w:rPr>
          <w:sz w:val="24"/>
          <w:szCs w:val="24"/>
        </w:rPr>
        <w:t>consistent</w:t>
      </w:r>
      <w:r>
        <w:rPr>
          <w:sz w:val="24"/>
          <w:szCs w:val="24"/>
        </w:rPr>
        <w:t>ly</w:t>
      </w:r>
      <w:r w:rsidRPr="00667426">
        <w:rPr>
          <w:sz w:val="24"/>
          <w:szCs w:val="24"/>
        </w:rPr>
        <w:t xml:space="preserve"> with the performed LCA</w:t>
      </w:r>
      <w:r>
        <w:rPr>
          <w:sz w:val="24"/>
          <w:szCs w:val="24"/>
        </w:rPr>
        <w:t xml:space="preserve">. </w:t>
      </w:r>
    </w:p>
    <w:p w14:paraId="5872B57E" w14:textId="64B44A22" w:rsidR="00A12B66" w:rsidRPr="00A12B66" w:rsidRDefault="00301320" w:rsidP="00A12B66">
      <w:pPr>
        <w:spacing w:line="276" w:lineRule="auto"/>
        <w:rPr>
          <w:sz w:val="24"/>
          <w:szCs w:val="24"/>
        </w:rPr>
      </w:pPr>
      <w:r w:rsidRPr="00301320">
        <w:rPr>
          <w:sz w:val="24"/>
          <w:szCs w:val="24"/>
        </w:rPr>
        <w:t xml:space="preserve">Foreground data, </w:t>
      </w:r>
      <w:proofErr w:type="gramStart"/>
      <w:r w:rsidRPr="00301320">
        <w:rPr>
          <w:sz w:val="24"/>
          <w:szCs w:val="24"/>
        </w:rPr>
        <w:t>i.e.</w:t>
      </w:r>
      <w:proofErr w:type="gramEnd"/>
      <w:r w:rsidRPr="00301320">
        <w:rPr>
          <w:sz w:val="24"/>
          <w:szCs w:val="24"/>
        </w:rPr>
        <w:t xml:space="preserve"> specific information about material and energy flows related to the collection, transportation and treatment of the MSW organic fraction, </w:t>
      </w:r>
      <w:r w:rsidR="00D0043D">
        <w:rPr>
          <w:sz w:val="24"/>
          <w:szCs w:val="24"/>
        </w:rPr>
        <w:t>were</w:t>
      </w:r>
      <w:r w:rsidRPr="00301320">
        <w:rPr>
          <w:sz w:val="24"/>
          <w:szCs w:val="24"/>
        </w:rPr>
        <w:t xml:space="preserve"> provided by </w:t>
      </w:r>
      <w:proofErr w:type="spellStart"/>
      <w:r w:rsidRPr="00301320">
        <w:rPr>
          <w:sz w:val="24"/>
          <w:szCs w:val="24"/>
        </w:rPr>
        <w:t>Fossalto</w:t>
      </w:r>
      <w:proofErr w:type="spellEnd"/>
      <w:r w:rsidRPr="00301320">
        <w:rPr>
          <w:sz w:val="24"/>
          <w:szCs w:val="24"/>
        </w:rPr>
        <w:t xml:space="preserve"> and </w:t>
      </w:r>
      <w:proofErr w:type="spellStart"/>
      <w:r w:rsidRPr="00301320">
        <w:rPr>
          <w:sz w:val="24"/>
          <w:szCs w:val="24"/>
        </w:rPr>
        <w:t>Ist</w:t>
      </w:r>
      <w:proofErr w:type="spellEnd"/>
      <w:r w:rsidRPr="00301320">
        <w:rPr>
          <w:sz w:val="24"/>
          <w:szCs w:val="24"/>
        </w:rPr>
        <w:t xml:space="preserve"> Island Municipalities. For the NETWAP scenario, </w:t>
      </w:r>
      <w:r w:rsidR="00FB4A7F">
        <w:rPr>
          <w:sz w:val="24"/>
          <w:szCs w:val="24"/>
        </w:rPr>
        <w:t xml:space="preserve">since </w:t>
      </w:r>
      <w:r w:rsidRPr="00301320">
        <w:rPr>
          <w:sz w:val="24"/>
          <w:szCs w:val="24"/>
        </w:rPr>
        <w:t xml:space="preserve">only preliminary experimental data </w:t>
      </w:r>
      <w:r w:rsidR="00FB4A7F">
        <w:rPr>
          <w:sz w:val="24"/>
          <w:szCs w:val="24"/>
        </w:rPr>
        <w:t>were</w:t>
      </w:r>
      <w:r w:rsidRPr="00301320">
        <w:rPr>
          <w:sz w:val="24"/>
          <w:szCs w:val="24"/>
        </w:rPr>
        <w:t xml:space="preserve"> available</w:t>
      </w:r>
      <w:r w:rsidR="00FB4A7F">
        <w:rPr>
          <w:sz w:val="24"/>
          <w:szCs w:val="24"/>
        </w:rPr>
        <w:t>,</w:t>
      </w:r>
      <w:r w:rsidRPr="00301320">
        <w:rPr>
          <w:sz w:val="24"/>
          <w:szCs w:val="24"/>
        </w:rPr>
        <w:t xml:space="preserve"> data referring to energy and material requirements, emissions and compost production </w:t>
      </w:r>
      <w:r w:rsidR="00D0043D">
        <w:rPr>
          <w:sz w:val="24"/>
          <w:szCs w:val="24"/>
        </w:rPr>
        <w:t>were</w:t>
      </w:r>
      <w:r w:rsidRPr="00301320">
        <w:rPr>
          <w:sz w:val="24"/>
          <w:szCs w:val="24"/>
        </w:rPr>
        <w:t xml:space="preserve"> gathered from a previous composting campaign, based on an electromechanical composter </w:t>
      </w:r>
      <w:proofErr w:type="gramStart"/>
      <w:r w:rsidRPr="00301320">
        <w:rPr>
          <w:sz w:val="24"/>
          <w:szCs w:val="24"/>
        </w:rPr>
        <w:t>similar to</w:t>
      </w:r>
      <w:proofErr w:type="gramEnd"/>
      <w:r w:rsidRPr="00301320">
        <w:rPr>
          <w:sz w:val="24"/>
          <w:szCs w:val="24"/>
        </w:rPr>
        <w:t xml:space="preserve"> those installed in the pilot territories. For background data, the </w:t>
      </w:r>
      <w:proofErr w:type="spellStart"/>
      <w:r w:rsidRPr="00301320">
        <w:rPr>
          <w:sz w:val="24"/>
          <w:szCs w:val="24"/>
        </w:rPr>
        <w:t>EcoInvent</w:t>
      </w:r>
      <w:proofErr w:type="spellEnd"/>
      <w:r w:rsidRPr="00301320">
        <w:rPr>
          <w:sz w:val="24"/>
          <w:szCs w:val="24"/>
        </w:rPr>
        <w:t xml:space="preserve"> v.3.5 database (allocation at point of substitution, dataset of unit processes) </w:t>
      </w:r>
      <w:r w:rsidR="00D0043D">
        <w:rPr>
          <w:sz w:val="24"/>
          <w:szCs w:val="24"/>
        </w:rPr>
        <w:t>was</w:t>
      </w:r>
      <w:r w:rsidRPr="00301320">
        <w:rPr>
          <w:sz w:val="24"/>
          <w:szCs w:val="24"/>
        </w:rPr>
        <w:t xml:space="preserve"> chosen. Data </w:t>
      </w:r>
      <w:r w:rsidR="00D0043D">
        <w:rPr>
          <w:sz w:val="24"/>
          <w:szCs w:val="24"/>
        </w:rPr>
        <w:t>about</w:t>
      </w:r>
      <w:r w:rsidR="00D0043D" w:rsidRPr="00301320">
        <w:rPr>
          <w:sz w:val="24"/>
          <w:szCs w:val="24"/>
        </w:rPr>
        <w:t xml:space="preserve"> </w:t>
      </w:r>
      <w:r w:rsidRPr="00301320">
        <w:rPr>
          <w:sz w:val="24"/>
          <w:szCs w:val="24"/>
        </w:rPr>
        <w:t xml:space="preserve">the treatment of organic waste in a composting industrial plant </w:t>
      </w:r>
      <w:r w:rsidR="00D0043D">
        <w:rPr>
          <w:sz w:val="24"/>
          <w:szCs w:val="24"/>
        </w:rPr>
        <w:t xml:space="preserve">were </w:t>
      </w:r>
      <w:r w:rsidRPr="00301320">
        <w:rPr>
          <w:sz w:val="24"/>
          <w:szCs w:val="24"/>
        </w:rPr>
        <w:t xml:space="preserve">derived from the </w:t>
      </w:r>
      <w:proofErr w:type="spellStart"/>
      <w:r w:rsidRPr="00301320">
        <w:rPr>
          <w:sz w:val="24"/>
          <w:szCs w:val="24"/>
        </w:rPr>
        <w:t>Ecoinvent</w:t>
      </w:r>
      <w:proofErr w:type="spellEnd"/>
      <w:r w:rsidRPr="00301320">
        <w:rPr>
          <w:sz w:val="24"/>
          <w:szCs w:val="24"/>
        </w:rPr>
        <w:t xml:space="preserve"> database, as well as the environmental impacts generated from infrastructures and transport.</w:t>
      </w:r>
    </w:p>
    <w:p w14:paraId="7A67C7E7" w14:textId="637552B3" w:rsidR="00301320" w:rsidRDefault="00A6613B" w:rsidP="00301320">
      <w:pPr>
        <w:spacing w:line="276" w:lineRule="auto"/>
        <w:rPr>
          <w:sz w:val="24"/>
          <w:szCs w:val="24"/>
        </w:rPr>
      </w:pPr>
      <w:r w:rsidRPr="00A6613B">
        <w:rPr>
          <w:sz w:val="24"/>
          <w:szCs w:val="24"/>
        </w:rPr>
        <w:t xml:space="preserve">The </w:t>
      </w:r>
      <w:proofErr w:type="spellStart"/>
      <w:r w:rsidRPr="00A6613B">
        <w:rPr>
          <w:sz w:val="24"/>
          <w:szCs w:val="24"/>
        </w:rPr>
        <w:t>ReCiPe</w:t>
      </w:r>
      <w:proofErr w:type="spellEnd"/>
      <w:r w:rsidRPr="00A6613B">
        <w:rPr>
          <w:sz w:val="24"/>
          <w:szCs w:val="24"/>
        </w:rPr>
        <w:t xml:space="preserve"> Midpoint (H) </w:t>
      </w:r>
      <w:r>
        <w:rPr>
          <w:sz w:val="24"/>
          <w:szCs w:val="24"/>
        </w:rPr>
        <w:t>included in t</w:t>
      </w:r>
      <w:r w:rsidR="00301320" w:rsidRPr="00301320">
        <w:rPr>
          <w:sz w:val="24"/>
          <w:szCs w:val="24"/>
        </w:rPr>
        <w:t xml:space="preserve">he professional software </w:t>
      </w:r>
      <w:proofErr w:type="spellStart"/>
      <w:r w:rsidR="00301320" w:rsidRPr="00301320">
        <w:rPr>
          <w:sz w:val="24"/>
          <w:szCs w:val="24"/>
        </w:rPr>
        <w:t>SimaPro</w:t>
      </w:r>
      <w:proofErr w:type="spellEnd"/>
      <w:r w:rsidR="00301320" w:rsidRPr="00301320">
        <w:rPr>
          <w:sz w:val="24"/>
          <w:szCs w:val="24"/>
        </w:rPr>
        <w:t xml:space="preserve"> v.9.0.0.48 (</w:t>
      </w:r>
      <w:proofErr w:type="spellStart"/>
      <w:r w:rsidR="00301320" w:rsidRPr="00401346">
        <w:rPr>
          <w:sz w:val="24"/>
          <w:szCs w:val="24"/>
        </w:rPr>
        <w:t>P</w:t>
      </w:r>
      <w:r w:rsidR="005E220E" w:rsidRPr="00401346">
        <w:rPr>
          <w:sz w:val="24"/>
          <w:szCs w:val="24"/>
        </w:rPr>
        <w:t>Ré</w:t>
      </w:r>
      <w:proofErr w:type="spellEnd"/>
      <w:r w:rsidR="005E220E" w:rsidRPr="00401346">
        <w:rPr>
          <w:sz w:val="24"/>
          <w:szCs w:val="24"/>
        </w:rPr>
        <w:t>,</w:t>
      </w:r>
      <w:r w:rsidR="005E220E">
        <w:rPr>
          <w:sz w:val="24"/>
          <w:szCs w:val="24"/>
        </w:rPr>
        <w:t xml:space="preserve"> 2022</w:t>
      </w:r>
      <w:r w:rsidR="00301320" w:rsidRPr="00301320">
        <w:rPr>
          <w:sz w:val="24"/>
          <w:szCs w:val="24"/>
        </w:rPr>
        <w:t xml:space="preserve">), </w:t>
      </w:r>
      <w:r w:rsidR="002350DC">
        <w:rPr>
          <w:sz w:val="24"/>
          <w:szCs w:val="24"/>
        </w:rPr>
        <w:t>was</w:t>
      </w:r>
      <w:r w:rsidR="00301320" w:rsidRPr="00301320">
        <w:rPr>
          <w:sz w:val="24"/>
          <w:szCs w:val="24"/>
        </w:rPr>
        <w:t xml:space="preserve"> selected to investigate the following midpoint impact categories </w:t>
      </w:r>
      <w:r w:rsidR="00301320" w:rsidRPr="00470F6D">
        <w:rPr>
          <w:sz w:val="24"/>
          <w:szCs w:val="24"/>
        </w:rPr>
        <w:t>(</w:t>
      </w:r>
      <w:proofErr w:type="spellStart"/>
      <w:r w:rsidR="00301320" w:rsidRPr="00470F6D">
        <w:rPr>
          <w:sz w:val="24"/>
          <w:szCs w:val="24"/>
        </w:rPr>
        <w:t>Goedkoop</w:t>
      </w:r>
      <w:proofErr w:type="spellEnd"/>
      <w:r w:rsidR="00301320" w:rsidRPr="00470F6D">
        <w:rPr>
          <w:sz w:val="24"/>
          <w:szCs w:val="24"/>
        </w:rPr>
        <w:t xml:space="preserve"> et al, 2009): Global</w:t>
      </w:r>
      <w:r w:rsidR="00301320" w:rsidRPr="00301320">
        <w:rPr>
          <w:sz w:val="24"/>
          <w:szCs w:val="24"/>
        </w:rPr>
        <w:t xml:space="preserve"> warming potential (GWP, in kg CO</w:t>
      </w:r>
      <w:r w:rsidR="00301320" w:rsidRPr="00D21BA9">
        <w:rPr>
          <w:sz w:val="24"/>
          <w:szCs w:val="24"/>
          <w:vertAlign w:val="subscript"/>
        </w:rPr>
        <w:t>2</w:t>
      </w:r>
      <w:r w:rsidR="00301320" w:rsidRPr="00301320">
        <w:rPr>
          <w:sz w:val="24"/>
          <w:szCs w:val="24"/>
        </w:rPr>
        <w:t xml:space="preserve"> eq), Fine particulate matter formation potential (PMFP, in kg PM2.5 eq), Terrestrial acidification potential (TAP, in kg SO</w:t>
      </w:r>
      <w:r w:rsidR="00301320" w:rsidRPr="00D21BA9">
        <w:rPr>
          <w:sz w:val="24"/>
          <w:szCs w:val="24"/>
          <w:vertAlign w:val="subscript"/>
        </w:rPr>
        <w:t>2</w:t>
      </w:r>
      <w:r w:rsidR="00301320" w:rsidRPr="00301320">
        <w:rPr>
          <w:sz w:val="24"/>
          <w:szCs w:val="24"/>
        </w:rPr>
        <w:t xml:space="preserve"> eq), Freshwater eutrophication potential (FEP, in kg P eq), Marine eutrophication potential (MEP, in kg P eq), Human carcinogenic toxicity potential (</w:t>
      </w:r>
      <w:proofErr w:type="spellStart"/>
      <w:r w:rsidR="00301320" w:rsidRPr="00301320">
        <w:rPr>
          <w:sz w:val="24"/>
          <w:szCs w:val="24"/>
        </w:rPr>
        <w:t>HTPc</w:t>
      </w:r>
      <w:proofErr w:type="spellEnd"/>
      <w:r w:rsidR="00301320" w:rsidRPr="00301320">
        <w:rPr>
          <w:sz w:val="24"/>
          <w:szCs w:val="24"/>
        </w:rPr>
        <w:t>, in kg 1,4-DCB), Mineral resource scarcity potential (MRS, in kg Cu eq), Fossil resource scarcity potential (FRS, in kg oil eq).</w:t>
      </w:r>
    </w:p>
    <w:p w14:paraId="48AB63AC" w14:textId="236E926F" w:rsidR="002160CB" w:rsidRDefault="004E442E" w:rsidP="001F215F">
      <w:pPr>
        <w:spacing w:line="276" w:lineRule="auto"/>
      </w:pPr>
      <w:r>
        <w:rPr>
          <w:sz w:val="24"/>
          <w:szCs w:val="24"/>
        </w:rPr>
        <w:t xml:space="preserve">For the </w:t>
      </w:r>
      <w:proofErr w:type="spellStart"/>
      <w:r>
        <w:rPr>
          <w:sz w:val="24"/>
          <w:szCs w:val="24"/>
        </w:rPr>
        <w:t>eLCC</w:t>
      </w:r>
      <w:proofErr w:type="spellEnd"/>
      <w:r>
        <w:rPr>
          <w:sz w:val="24"/>
          <w:szCs w:val="24"/>
        </w:rPr>
        <w:t>, i</w:t>
      </w:r>
      <w:r w:rsidRPr="00667426">
        <w:rPr>
          <w:sz w:val="24"/>
          <w:szCs w:val="24"/>
        </w:rPr>
        <w:t>mpacts from emissions and use of resources which cause significant changes in any of the safeguard subjects (</w:t>
      </w:r>
      <w:proofErr w:type="gramStart"/>
      <w:r w:rsidRPr="00667426">
        <w:rPr>
          <w:sz w:val="24"/>
          <w:szCs w:val="24"/>
        </w:rPr>
        <w:t>i.e.</w:t>
      </w:r>
      <w:proofErr w:type="gramEnd"/>
      <w:r w:rsidRPr="00667426">
        <w:rPr>
          <w:sz w:val="24"/>
          <w:szCs w:val="24"/>
        </w:rPr>
        <w:t xml:space="preserve"> areas of protection: Ecosystem Services – ES, Access to Water – AW, Abiotic Resources – AR, Human Health – HH, </w:t>
      </w:r>
      <w:proofErr w:type="spellStart"/>
      <w:r w:rsidRPr="00667426">
        <w:rPr>
          <w:sz w:val="24"/>
          <w:szCs w:val="24"/>
        </w:rPr>
        <w:t>BioDiversity</w:t>
      </w:r>
      <w:proofErr w:type="spellEnd"/>
      <w:r w:rsidRPr="00667426">
        <w:rPr>
          <w:sz w:val="24"/>
          <w:szCs w:val="24"/>
        </w:rPr>
        <w:t xml:space="preserve"> – BD), </w:t>
      </w:r>
      <w:r w:rsidR="002350DC">
        <w:rPr>
          <w:sz w:val="24"/>
          <w:szCs w:val="24"/>
        </w:rPr>
        <w:t>we</w:t>
      </w:r>
      <w:r w:rsidRPr="00667426">
        <w:rPr>
          <w:sz w:val="24"/>
          <w:szCs w:val="24"/>
        </w:rPr>
        <w:t xml:space="preserve">re investigated. The results of the </w:t>
      </w:r>
      <w:r w:rsidR="001F215F">
        <w:rPr>
          <w:sz w:val="24"/>
          <w:szCs w:val="24"/>
        </w:rPr>
        <w:t>i</w:t>
      </w:r>
      <w:r w:rsidRPr="00667426">
        <w:rPr>
          <w:sz w:val="24"/>
          <w:szCs w:val="24"/>
        </w:rPr>
        <w:t>mpact assessment method are monetary values (monetarization) of environmental impacts from emissions and use of resources</w:t>
      </w:r>
      <w:r>
        <w:rPr>
          <w:sz w:val="24"/>
          <w:szCs w:val="24"/>
        </w:rPr>
        <w:t xml:space="preserve">, </w:t>
      </w:r>
      <w:r w:rsidRPr="00667426">
        <w:rPr>
          <w:sz w:val="24"/>
          <w:szCs w:val="24"/>
        </w:rPr>
        <w:t xml:space="preserve">indicated as damage costs and expressed as ELU (Environmental Load Units). One ELU </w:t>
      </w:r>
      <w:r w:rsidRPr="00667426">
        <w:rPr>
          <w:sz w:val="24"/>
          <w:szCs w:val="24"/>
        </w:rPr>
        <w:lastRenderedPageBreak/>
        <w:t>represents an externality corresponding to 1 Euro that an average OECD-inhabitant, having the impacts on her/himself, is willing to pay to avoid environmental damage.</w:t>
      </w:r>
    </w:p>
    <w:p w14:paraId="0133667E" w14:textId="77777777" w:rsidR="002160CB" w:rsidRPr="002160CB" w:rsidRDefault="002160CB" w:rsidP="002160CB"/>
    <w:p w14:paraId="3128ACB9" w14:textId="3588158E" w:rsidR="002160CB" w:rsidRDefault="002160CB" w:rsidP="00745741">
      <w:pPr>
        <w:pStyle w:val="Titolo1"/>
        <w:numPr>
          <w:ilvl w:val="1"/>
          <w:numId w:val="13"/>
        </w:numPr>
        <w:spacing w:before="0" w:after="0" w:line="276" w:lineRule="auto"/>
        <w:rPr>
          <w:snapToGrid w:val="0"/>
        </w:rPr>
      </w:pPr>
      <w:bookmarkStart w:id="0" w:name="_Hlk104284462"/>
      <w:r>
        <w:rPr>
          <w:snapToGrid w:val="0"/>
        </w:rPr>
        <w:t>Results and discussions</w:t>
      </w:r>
    </w:p>
    <w:p w14:paraId="40AFC98B" w14:textId="027F5CA5" w:rsidR="002160CB" w:rsidRDefault="00301320" w:rsidP="00301320">
      <w:pPr>
        <w:spacing w:line="276" w:lineRule="auto"/>
        <w:rPr>
          <w:sz w:val="24"/>
          <w:szCs w:val="24"/>
        </w:rPr>
      </w:pPr>
      <w:r w:rsidRPr="00301320">
        <w:rPr>
          <w:sz w:val="24"/>
          <w:szCs w:val="24"/>
        </w:rPr>
        <w:t xml:space="preserve">The relative impacts, generated by the treatment of 1 ton of organic waste in the baseline and NETWAP scenarios of </w:t>
      </w:r>
      <w:proofErr w:type="spellStart"/>
      <w:r w:rsidRPr="00301320">
        <w:rPr>
          <w:sz w:val="24"/>
          <w:szCs w:val="24"/>
        </w:rPr>
        <w:t>Fossalto</w:t>
      </w:r>
      <w:proofErr w:type="spellEnd"/>
      <w:r w:rsidRPr="00301320">
        <w:rPr>
          <w:sz w:val="24"/>
          <w:szCs w:val="24"/>
        </w:rPr>
        <w:t xml:space="preserve"> and </w:t>
      </w:r>
      <w:proofErr w:type="spellStart"/>
      <w:r w:rsidRPr="00301320">
        <w:rPr>
          <w:sz w:val="24"/>
          <w:szCs w:val="24"/>
        </w:rPr>
        <w:t>Ist</w:t>
      </w:r>
      <w:proofErr w:type="spellEnd"/>
      <w:r w:rsidRPr="00301320">
        <w:rPr>
          <w:sz w:val="24"/>
          <w:szCs w:val="24"/>
        </w:rPr>
        <w:t xml:space="preserve"> Island, on a selection of impact categories, are shown in Figure 2.</w:t>
      </w:r>
    </w:p>
    <w:p w14:paraId="6B11E328" w14:textId="38E6091D" w:rsidR="00301320" w:rsidRDefault="002350DC" w:rsidP="00810715">
      <w:pPr>
        <w:spacing w:line="276" w:lineRule="auto"/>
        <w:jc w:val="center"/>
        <w:rPr>
          <w:sz w:val="24"/>
          <w:szCs w:val="24"/>
        </w:rPr>
      </w:pPr>
      <w:r>
        <w:rPr>
          <w:noProof/>
          <w:sz w:val="24"/>
          <w:szCs w:val="24"/>
          <w:lang w:val="it-IT" w:eastAsia="it-IT"/>
        </w:rPr>
        <w:drawing>
          <wp:inline distT="0" distB="0" distL="0" distR="0" wp14:anchorId="6D8088D1" wp14:editId="65DBF3B7">
            <wp:extent cx="2956553" cy="1980000"/>
            <wp:effectExtent l="0" t="0" r="0" b="127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53" cy="1980000"/>
                    </a:xfrm>
                    <a:prstGeom prst="rect">
                      <a:avLst/>
                    </a:prstGeom>
                    <a:noFill/>
                    <a:ln>
                      <a:noFill/>
                    </a:ln>
                  </pic:spPr>
                </pic:pic>
              </a:graphicData>
            </a:graphic>
          </wp:inline>
        </w:drawing>
      </w:r>
    </w:p>
    <w:p w14:paraId="3261E953" w14:textId="07352033" w:rsidR="00770CD7" w:rsidRDefault="00770CD7" w:rsidP="00770CD7">
      <w:pPr>
        <w:pStyle w:val="FigureCaption"/>
        <w:spacing w:line="276" w:lineRule="auto"/>
      </w:pPr>
      <w:r w:rsidRPr="00810715">
        <w:rPr>
          <w:lang w:val="en-GB"/>
        </w:rPr>
        <w:t xml:space="preserve">Fig. 2. </w:t>
      </w:r>
      <w:r w:rsidRPr="00770CD7">
        <w:t xml:space="preserve">A comparative analysis of the baseline and NETWAP scenarios investigated in </w:t>
      </w:r>
      <w:proofErr w:type="spellStart"/>
      <w:r w:rsidRPr="00770CD7">
        <w:t>Fossalto</w:t>
      </w:r>
      <w:proofErr w:type="spellEnd"/>
      <w:r w:rsidRPr="00770CD7">
        <w:t xml:space="preserve"> and </w:t>
      </w:r>
      <w:proofErr w:type="spellStart"/>
      <w:r w:rsidRPr="00770CD7">
        <w:t>Ist</w:t>
      </w:r>
      <w:proofErr w:type="spellEnd"/>
      <w:r w:rsidRPr="00770CD7">
        <w:t xml:space="preserve"> Island pilot territories</w:t>
      </w:r>
      <w:r w:rsidRPr="0056538A">
        <w:t>.</w:t>
      </w:r>
    </w:p>
    <w:p w14:paraId="61F31DBF" w14:textId="46C92538" w:rsidR="00301320" w:rsidRDefault="00301320" w:rsidP="00301320">
      <w:pPr>
        <w:spacing w:line="276" w:lineRule="auto"/>
        <w:rPr>
          <w:sz w:val="24"/>
          <w:szCs w:val="24"/>
        </w:rPr>
      </w:pPr>
    </w:p>
    <w:p w14:paraId="3F0C8C5D" w14:textId="557C4D92" w:rsidR="00301320" w:rsidRPr="00301320" w:rsidRDefault="00301320" w:rsidP="00301320">
      <w:pPr>
        <w:spacing w:line="276" w:lineRule="auto"/>
        <w:rPr>
          <w:sz w:val="24"/>
          <w:szCs w:val="24"/>
        </w:rPr>
      </w:pPr>
      <w:r w:rsidRPr="00301320">
        <w:rPr>
          <w:sz w:val="24"/>
          <w:szCs w:val="24"/>
        </w:rPr>
        <w:t xml:space="preserve">Concerning the baseline scenarios, the impacts generated in </w:t>
      </w:r>
      <w:proofErr w:type="spellStart"/>
      <w:r w:rsidRPr="00301320">
        <w:rPr>
          <w:sz w:val="24"/>
          <w:szCs w:val="24"/>
        </w:rPr>
        <w:t>Fossalto</w:t>
      </w:r>
      <w:proofErr w:type="spellEnd"/>
      <w:r w:rsidRPr="00301320">
        <w:rPr>
          <w:sz w:val="24"/>
          <w:szCs w:val="24"/>
        </w:rPr>
        <w:t xml:space="preserve"> are generally higher than the impacts in </w:t>
      </w:r>
      <w:proofErr w:type="spellStart"/>
      <w:r w:rsidRPr="00301320">
        <w:rPr>
          <w:sz w:val="24"/>
          <w:szCs w:val="24"/>
        </w:rPr>
        <w:t>Ist</w:t>
      </w:r>
      <w:proofErr w:type="spellEnd"/>
      <w:r w:rsidRPr="00301320">
        <w:rPr>
          <w:sz w:val="24"/>
          <w:szCs w:val="24"/>
        </w:rPr>
        <w:t xml:space="preserve"> Island, except for MEP and MRS impact categories</w:t>
      </w:r>
      <w:r w:rsidR="00B60916">
        <w:rPr>
          <w:sz w:val="24"/>
          <w:szCs w:val="24"/>
        </w:rPr>
        <w:t xml:space="preserve">, that are </w:t>
      </w:r>
      <w:r w:rsidR="00B60916" w:rsidRPr="00301320">
        <w:rPr>
          <w:sz w:val="24"/>
          <w:szCs w:val="24"/>
        </w:rPr>
        <w:t xml:space="preserve">the </w:t>
      </w:r>
      <w:r w:rsidR="00B60916">
        <w:rPr>
          <w:sz w:val="24"/>
          <w:szCs w:val="24"/>
        </w:rPr>
        <w:t>ones</w:t>
      </w:r>
      <w:r w:rsidR="00B60916" w:rsidRPr="00301320">
        <w:rPr>
          <w:sz w:val="24"/>
          <w:szCs w:val="24"/>
        </w:rPr>
        <w:t xml:space="preserve"> mostly affected by landfilling and by the temporary storage of wa</w:t>
      </w:r>
      <w:r w:rsidR="00B60916">
        <w:rPr>
          <w:sz w:val="24"/>
          <w:szCs w:val="24"/>
        </w:rPr>
        <w:t>ste</w:t>
      </w:r>
      <w:r w:rsidRPr="00301320">
        <w:rPr>
          <w:sz w:val="24"/>
          <w:szCs w:val="24"/>
        </w:rPr>
        <w:t xml:space="preserve">. Transportation of waste by truck is the main hotspot in the baseline scenario of </w:t>
      </w:r>
      <w:proofErr w:type="spellStart"/>
      <w:r w:rsidRPr="00301320">
        <w:rPr>
          <w:sz w:val="24"/>
          <w:szCs w:val="24"/>
        </w:rPr>
        <w:t>Fossalto</w:t>
      </w:r>
      <w:proofErr w:type="spellEnd"/>
      <w:r w:rsidR="00B60916">
        <w:rPr>
          <w:sz w:val="24"/>
          <w:szCs w:val="24"/>
        </w:rPr>
        <w:t>,</w:t>
      </w:r>
      <w:r w:rsidRPr="00301320">
        <w:rPr>
          <w:sz w:val="24"/>
          <w:szCs w:val="24"/>
        </w:rPr>
        <w:t xml:space="preserve"> </w:t>
      </w:r>
      <w:r w:rsidR="00B60916">
        <w:rPr>
          <w:sz w:val="24"/>
          <w:szCs w:val="24"/>
        </w:rPr>
        <w:t>while t</w:t>
      </w:r>
      <w:r w:rsidRPr="00301320">
        <w:rPr>
          <w:sz w:val="24"/>
          <w:szCs w:val="24"/>
        </w:rPr>
        <w:t xml:space="preserve">he transportation by ship needed for the organic waste in </w:t>
      </w:r>
      <w:proofErr w:type="spellStart"/>
      <w:r w:rsidRPr="00301320">
        <w:rPr>
          <w:sz w:val="24"/>
          <w:szCs w:val="24"/>
        </w:rPr>
        <w:t>Ist</w:t>
      </w:r>
      <w:proofErr w:type="spellEnd"/>
      <w:r w:rsidRPr="00301320">
        <w:rPr>
          <w:sz w:val="24"/>
          <w:szCs w:val="24"/>
        </w:rPr>
        <w:t xml:space="preserve"> Island does not affect the investigated impact categories at the same level. </w:t>
      </w:r>
    </w:p>
    <w:p w14:paraId="5F71B38F" w14:textId="1FCB1967" w:rsidR="00301320" w:rsidRPr="00301320" w:rsidRDefault="00301320" w:rsidP="00301320">
      <w:pPr>
        <w:spacing w:line="276" w:lineRule="auto"/>
        <w:rPr>
          <w:sz w:val="24"/>
          <w:szCs w:val="24"/>
        </w:rPr>
      </w:pPr>
      <w:r w:rsidRPr="00301320">
        <w:rPr>
          <w:sz w:val="24"/>
          <w:szCs w:val="24"/>
        </w:rPr>
        <w:t xml:space="preserve">In the NETWAP scenarios, the reduction of the impacts is particularly relevant in the MRS impact category (83% for both </w:t>
      </w:r>
      <w:proofErr w:type="spellStart"/>
      <w:r w:rsidRPr="00301320">
        <w:rPr>
          <w:sz w:val="24"/>
          <w:szCs w:val="24"/>
        </w:rPr>
        <w:t>Fossalto</w:t>
      </w:r>
      <w:proofErr w:type="spellEnd"/>
      <w:r w:rsidRPr="00301320">
        <w:rPr>
          <w:sz w:val="24"/>
          <w:szCs w:val="24"/>
        </w:rPr>
        <w:t xml:space="preserve"> and </w:t>
      </w:r>
      <w:proofErr w:type="spellStart"/>
      <w:r w:rsidRPr="00301320">
        <w:rPr>
          <w:sz w:val="24"/>
          <w:szCs w:val="24"/>
        </w:rPr>
        <w:t>Ist</w:t>
      </w:r>
      <w:proofErr w:type="spellEnd"/>
      <w:r w:rsidRPr="00301320">
        <w:rPr>
          <w:sz w:val="24"/>
          <w:szCs w:val="24"/>
        </w:rPr>
        <w:t xml:space="preserve"> Island) and similar reductions are achieved also in the GWP category (50% in </w:t>
      </w:r>
      <w:proofErr w:type="spellStart"/>
      <w:r w:rsidRPr="00301320">
        <w:rPr>
          <w:sz w:val="24"/>
          <w:szCs w:val="24"/>
        </w:rPr>
        <w:t>Fossalto</w:t>
      </w:r>
      <w:proofErr w:type="spellEnd"/>
      <w:r w:rsidRPr="00301320">
        <w:rPr>
          <w:sz w:val="24"/>
          <w:szCs w:val="24"/>
        </w:rPr>
        <w:t xml:space="preserve"> </w:t>
      </w:r>
      <w:r w:rsidRPr="00810715">
        <w:rPr>
          <w:i/>
          <w:sz w:val="24"/>
          <w:szCs w:val="24"/>
        </w:rPr>
        <w:t>versus</w:t>
      </w:r>
      <w:r w:rsidRPr="00301320">
        <w:rPr>
          <w:sz w:val="24"/>
          <w:szCs w:val="24"/>
        </w:rPr>
        <w:t xml:space="preserve"> 58% in </w:t>
      </w:r>
      <w:proofErr w:type="spellStart"/>
      <w:r w:rsidRPr="00301320">
        <w:rPr>
          <w:sz w:val="24"/>
          <w:szCs w:val="24"/>
        </w:rPr>
        <w:t>Ist</w:t>
      </w:r>
      <w:proofErr w:type="spellEnd"/>
      <w:r w:rsidRPr="00301320">
        <w:rPr>
          <w:sz w:val="24"/>
          <w:szCs w:val="24"/>
        </w:rPr>
        <w:t xml:space="preserve">). A relevant difference can be noticed in the </w:t>
      </w:r>
      <w:proofErr w:type="spellStart"/>
      <w:r w:rsidRPr="00301320">
        <w:rPr>
          <w:sz w:val="24"/>
          <w:szCs w:val="24"/>
        </w:rPr>
        <w:t>HTP</w:t>
      </w:r>
      <w:r w:rsidRPr="00810715">
        <w:rPr>
          <w:sz w:val="24"/>
          <w:szCs w:val="24"/>
          <w:vertAlign w:val="subscript"/>
        </w:rPr>
        <w:t>c</w:t>
      </w:r>
      <w:proofErr w:type="spellEnd"/>
      <w:r w:rsidRPr="00301320">
        <w:rPr>
          <w:sz w:val="24"/>
          <w:szCs w:val="24"/>
        </w:rPr>
        <w:t xml:space="preserve"> impact category: in </w:t>
      </w:r>
      <w:proofErr w:type="spellStart"/>
      <w:r w:rsidRPr="00301320">
        <w:rPr>
          <w:sz w:val="24"/>
          <w:szCs w:val="24"/>
        </w:rPr>
        <w:t>Ist</w:t>
      </w:r>
      <w:proofErr w:type="spellEnd"/>
      <w:r w:rsidRPr="00301320">
        <w:rPr>
          <w:sz w:val="24"/>
          <w:szCs w:val="24"/>
        </w:rPr>
        <w:t xml:space="preserve"> Island the reduction of the impact amounts to 73%, while is limited to 5% in </w:t>
      </w:r>
      <w:proofErr w:type="spellStart"/>
      <w:r w:rsidRPr="00301320">
        <w:rPr>
          <w:sz w:val="24"/>
          <w:szCs w:val="24"/>
        </w:rPr>
        <w:t>Fossalto</w:t>
      </w:r>
      <w:proofErr w:type="spellEnd"/>
      <w:r w:rsidRPr="00301320">
        <w:rPr>
          <w:sz w:val="24"/>
          <w:szCs w:val="24"/>
        </w:rPr>
        <w:t xml:space="preserve">. Analogously, the impact on MEP category is totally cancelled in </w:t>
      </w:r>
      <w:proofErr w:type="spellStart"/>
      <w:r w:rsidRPr="00301320">
        <w:rPr>
          <w:sz w:val="24"/>
          <w:szCs w:val="24"/>
        </w:rPr>
        <w:t>Ist</w:t>
      </w:r>
      <w:proofErr w:type="spellEnd"/>
      <w:r w:rsidRPr="00301320">
        <w:rPr>
          <w:sz w:val="24"/>
          <w:szCs w:val="24"/>
        </w:rPr>
        <w:t xml:space="preserve"> pilot, while only reduced by 38% in </w:t>
      </w:r>
      <w:proofErr w:type="spellStart"/>
      <w:r w:rsidRPr="00301320">
        <w:rPr>
          <w:sz w:val="24"/>
          <w:szCs w:val="24"/>
        </w:rPr>
        <w:lastRenderedPageBreak/>
        <w:t>Fossalto</w:t>
      </w:r>
      <w:proofErr w:type="spellEnd"/>
      <w:r w:rsidRPr="00301320">
        <w:rPr>
          <w:sz w:val="24"/>
          <w:szCs w:val="24"/>
        </w:rPr>
        <w:t xml:space="preserve">. On the contrary, </w:t>
      </w:r>
      <w:proofErr w:type="spellStart"/>
      <w:r w:rsidRPr="00301320">
        <w:rPr>
          <w:sz w:val="24"/>
          <w:szCs w:val="24"/>
        </w:rPr>
        <w:t>Fossalto</w:t>
      </w:r>
      <w:proofErr w:type="spellEnd"/>
      <w:r w:rsidRPr="00301320">
        <w:rPr>
          <w:sz w:val="24"/>
          <w:szCs w:val="24"/>
        </w:rPr>
        <w:t xml:space="preserve"> gains slightly higher savings than </w:t>
      </w:r>
      <w:proofErr w:type="spellStart"/>
      <w:r w:rsidRPr="00301320">
        <w:rPr>
          <w:sz w:val="24"/>
          <w:szCs w:val="24"/>
        </w:rPr>
        <w:t>Ist</w:t>
      </w:r>
      <w:proofErr w:type="spellEnd"/>
      <w:r w:rsidRPr="00301320">
        <w:rPr>
          <w:sz w:val="24"/>
          <w:szCs w:val="24"/>
        </w:rPr>
        <w:t xml:space="preserve"> Island in PMFP, TAP and FRS impact categories. </w:t>
      </w:r>
    </w:p>
    <w:p w14:paraId="2DA5A059" w14:textId="00B29FB8" w:rsidR="00301320" w:rsidRDefault="00301320" w:rsidP="00301320">
      <w:pPr>
        <w:spacing w:line="276" w:lineRule="auto"/>
        <w:rPr>
          <w:sz w:val="24"/>
          <w:szCs w:val="24"/>
        </w:rPr>
      </w:pPr>
      <w:r w:rsidRPr="00301320">
        <w:rPr>
          <w:sz w:val="24"/>
          <w:szCs w:val="24"/>
        </w:rPr>
        <w:t xml:space="preserve">Regarding the generated externalities, the environmental damage costs are shown in Table </w:t>
      </w:r>
      <w:r w:rsidR="00101F0B">
        <w:rPr>
          <w:sz w:val="24"/>
          <w:szCs w:val="24"/>
        </w:rPr>
        <w:t>1</w:t>
      </w:r>
      <w:r w:rsidRPr="00301320">
        <w:rPr>
          <w:sz w:val="24"/>
          <w:szCs w:val="24"/>
        </w:rPr>
        <w:t xml:space="preserve"> for the baseline and NETWAP scenarios. The total environmental damage cost of baseline scenarios amounts to 5</w:t>
      </w:r>
      <w:r w:rsidR="00EF3243">
        <w:rPr>
          <w:sz w:val="24"/>
          <w:szCs w:val="24"/>
        </w:rPr>
        <w:t>,</w:t>
      </w:r>
      <w:r w:rsidRPr="00301320">
        <w:rPr>
          <w:sz w:val="24"/>
          <w:szCs w:val="24"/>
        </w:rPr>
        <w:t xml:space="preserve">847 </w:t>
      </w:r>
      <w:r w:rsidR="00451CDF">
        <w:rPr>
          <w:sz w:val="24"/>
          <w:szCs w:val="24"/>
        </w:rPr>
        <w:t>ELU</w:t>
      </w:r>
      <w:r w:rsidRPr="00301320">
        <w:rPr>
          <w:sz w:val="24"/>
          <w:szCs w:val="24"/>
        </w:rPr>
        <w:t xml:space="preserve">/FU in </w:t>
      </w:r>
      <w:proofErr w:type="spellStart"/>
      <w:r w:rsidRPr="00301320">
        <w:rPr>
          <w:sz w:val="24"/>
          <w:szCs w:val="24"/>
        </w:rPr>
        <w:t>Fossalto</w:t>
      </w:r>
      <w:proofErr w:type="spellEnd"/>
      <w:r w:rsidRPr="00301320">
        <w:rPr>
          <w:sz w:val="24"/>
          <w:szCs w:val="24"/>
        </w:rPr>
        <w:t xml:space="preserve"> </w:t>
      </w:r>
      <w:r w:rsidRPr="00810715">
        <w:rPr>
          <w:i/>
          <w:sz w:val="24"/>
          <w:szCs w:val="24"/>
        </w:rPr>
        <w:t>versus</w:t>
      </w:r>
      <w:r w:rsidRPr="00301320">
        <w:rPr>
          <w:sz w:val="24"/>
          <w:szCs w:val="24"/>
        </w:rPr>
        <w:t xml:space="preserve"> 7</w:t>
      </w:r>
      <w:r w:rsidR="00EF3243">
        <w:rPr>
          <w:sz w:val="24"/>
          <w:szCs w:val="24"/>
        </w:rPr>
        <w:t>,</w:t>
      </w:r>
      <w:r w:rsidR="00B910C8">
        <w:rPr>
          <w:sz w:val="24"/>
          <w:szCs w:val="24"/>
        </w:rPr>
        <w:t>645</w:t>
      </w:r>
      <w:r w:rsidRPr="00301320">
        <w:rPr>
          <w:sz w:val="24"/>
          <w:szCs w:val="24"/>
        </w:rPr>
        <w:t xml:space="preserve"> </w:t>
      </w:r>
      <w:r w:rsidR="00451CDF">
        <w:rPr>
          <w:sz w:val="24"/>
          <w:szCs w:val="24"/>
        </w:rPr>
        <w:t>ELU</w:t>
      </w:r>
      <w:r w:rsidRPr="00301320">
        <w:rPr>
          <w:sz w:val="24"/>
          <w:szCs w:val="24"/>
        </w:rPr>
        <w:t xml:space="preserve">/FU in </w:t>
      </w:r>
      <w:proofErr w:type="spellStart"/>
      <w:r w:rsidRPr="00301320">
        <w:rPr>
          <w:sz w:val="24"/>
          <w:szCs w:val="24"/>
        </w:rPr>
        <w:t>Ist</w:t>
      </w:r>
      <w:proofErr w:type="spellEnd"/>
      <w:r w:rsidRPr="00301320">
        <w:rPr>
          <w:sz w:val="24"/>
          <w:szCs w:val="24"/>
        </w:rPr>
        <w:t xml:space="preserve"> Island, while the values are reduced to 877</w:t>
      </w:r>
      <w:r w:rsidR="00451CDF">
        <w:rPr>
          <w:sz w:val="24"/>
          <w:szCs w:val="24"/>
        </w:rPr>
        <w:t xml:space="preserve"> ELU</w:t>
      </w:r>
      <w:r w:rsidRPr="00301320">
        <w:rPr>
          <w:sz w:val="24"/>
          <w:szCs w:val="24"/>
        </w:rPr>
        <w:t>/FU and 1</w:t>
      </w:r>
      <w:r w:rsidR="00EF3243">
        <w:rPr>
          <w:sz w:val="24"/>
          <w:szCs w:val="24"/>
        </w:rPr>
        <w:t>,</w:t>
      </w:r>
      <w:r w:rsidRPr="00301320">
        <w:rPr>
          <w:sz w:val="24"/>
          <w:szCs w:val="24"/>
        </w:rPr>
        <w:t xml:space="preserve">147 </w:t>
      </w:r>
      <w:r w:rsidR="00451CDF">
        <w:rPr>
          <w:sz w:val="24"/>
          <w:szCs w:val="24"/>
        </w:rPr>
        <w:t>ELU</w:t>
      </w:r>
      <w:r w:rsidRPr="00301320">
        <w:rPr>
          <w:sz w:val="24"/>
          <w:szCs w:val="24"/>
        </w:rPr>
        <w:t xml:space="preserve">/FU in </w:t>
      </w:r>
      <w:proofErr w:type="spellStart"/>
      <w:r w:rsidRPr="00301320">
        <w:rPr>
          <w:sz w:val="24"/>
          <w:szCs w:val="24"/>
        </w:rPr>
        <w:t>Fossalto</w:t>
      </w:r>
      <w:proofErr w:type="spellEnd"/>
      <w:r w:rsidRPr="00301320">
        <w:rPr>
          <w:sz w:val="24"/>
          <w:szCs w:val="24"/>
        </w:rPr>
        <w:t xml:space="preserve"> and </w:t>
      </w:r>
      <w:proofErr w:type="spellStart"/>
      <w:r w:rsidRPr="00301320">
        <w:rPr>
          <w:sz w:val="24"/>
          <w:szCs w:val="24"/>
        </w:rPr>
        <w:t>Ist</w:t>
      </w:r>
      <w:proofErr w:type="spellEnd"/>
      <w:r w:rsidRPr="00301320">
        <w:rPr>
          <w:sz w:val="24"/>
          <w:szCs w:val="24"/>
        </w:rPr>
        <w:t xml:space="preserve"> Island NETWAP scenarios, respectively. In all the investigated systems, the safeguard subject of Abiotic resources determines most of the external costs. In detail, the effect of the materials used for the containers of the deposit station, where organic waste is temporarily stored on the island, is strong enough to make the externalities of </w:t>
      </w:r>
      <w:proofErr w:type="spellStart"/>
      <w:r w:rsidRPr="00301320">
        <w:rPr>
          <w:sz w:val="24"/>
          <w:szCs w:val="24"/>
        </w:rPr>
        <w:t>Ist</w:t>
      </w:r>
      <w:proofErr w:type="spellEnd"/>
      <w:r w:rsidRPr="00301320">
        <w:rPr>
          <w:sz w:val="24"/>
          <w:szCs w:val="24"/>
        </w:rPr>
        <w:t xml:space="preserve"> Island higher than in </w:t>
      </w:r>
      <w:proofErr w:type="spellStart"/>
      <w:r w:rsidRPr="00301320">
        <w:rPr>
          <w:sz w:val="24"/>
          <w:szCs w:val="24"/>
        </w:rPr>
        <w:t>Fossalto</w:t>
      </w:r>
      <w:proofErr w:type="spellEnd"/>
      <w:r w:rsidRPr="00301320">
        <w:rPr>
          <w:sz w:val="24"/>
          <w:szCs w:val="24"/>
        </w:rPr>
        <w:t>. Nevertheless, since most of the externalities are generated by the transportation of waste, as already highlighted for the environmental impacts by LCA, the implementation of the NETWAP pilot actions lower the total damage costs generated in both territories.</w:t>
      </w:r>
    </w:p>
    <w:p w14:paraId="651CBD70" w14:textId="04701725" w:rsidR="00301320" w:rsidRDefault="00301320" w:rsidP="00301320">
      <w:pPr>
        <w:spacing w:line="276" w:lineRule="auto"/>
        <w:rPr>
          <w:sz w:val="24"/>
          <w:szCs w:val="24"/>
        </w:rPr>
      </w:pPr>
    </w:p>
    <w:p w14:paraId="0534BF28" w14:textId="2CD500E7" w:rsidR="002E78E4" w:rsidRPr="00BC36B0" w:rsidRDefault="002E78E4" w:rsidP="002D5DF2">
      <w:pPr>
        <w:pStyle w:val="TableCaption"/>
        <w:spacing w:after="120" w:line="276" w:lineRule="auto"/>
        <w:ind w:right="-30"/>
      </w:pPr>
      <w:r w:rsidRPr="00101F0B">
        <w:t xml:space="preserve">Table </w:t>
      </w:r>
      <w:r w:rsidR="00101F0B" w:rsidRPr="00101F0B">
        <w:t>1</w:t>
      </w:r>
      <w:r w:rsidRPr="00101F0B">
        <w:t xml:space="preserve">. </w:t>
      </w:r>
      <w:r w:rsidR="002D5DF2" w:rsidRPr="00101F0B">
        <w:t>Environmental</w:t>
      </w:r>
      <w:r w:rsidR="002D5DF2" w:rsidRPr="002D5DF2">
        <w:t xml:space="preserve"> damage costs for the baseline and NETWAP scenarios in </w:t>
      </w:r>
      <w:proofErr w:type="spellStart"/>
      <w:r w:rsidR="002D5DF2" w:rsidRPr="002D5DF2">
        <w:t>Fossalto</w:t>
      </w:r>
      <w:proofErr w:type="spellEnd"/>
      <w:r w:rsidR="002D5DF2" w:rsidRPr="002D5DF2">
        <w:t xml:space="preserve"> and </w:t>
      </w:r>
      <w:proofErr w:type="spellStart"/>
      <w:r w:rsidR="002D5DF2" w:rsidRPr="002D5DF2">
        <w:t>Ist</w:t>
      </w:r>
      <w:proofErr w:type="spellEnd"/>
      <w:r w:rsidR="002D5DF2" w:rsidRPr="002D5DF2">
        <w:t xml:space="preserve"> Island, referring to the selected FU (1 ton of treated organic waste)</w:t>
      </w:r>
    </w:p>
    <w:tbl>
      <w:tblPr>
        <w:tblW w:w="0" w:type="auto"/>
        <w:tblInd w:w="108" w:type="dxa"/>
        <w:tblLook w:val="0000" w:firstRow="0" w:lastRow="0" w:firstColumn="0" w:lastColumn="0" w:noHBand="0" w:noVBand="0"/>
      </w:tblPr>
      <w:tblGrid>
        <w:gridCol w:w="1560"/>
        <w:gridCol w:w="708"/>
        <w:gridCol w:w="1276"/>
        <w:gridCol w:w="1134"/>
        <w:gridCol w:w="1101"/>
        <w:gridCol w:w="1313"/>
      </w:tblGrid>
      <w:tr w:rsidR="002E78E4" w:rsidRPr="00BC36B0" w14:paraId="2296DD1F" w14:textId="48FBE659" w:rsidTr="002D5DF2">
        <w:trPr>
          <w:trHeight w:val="183"/>
        </w:trPr>
        <w:tc>
          <w:tcPr>
            <w:tcW w:w="1560" w:type="dxa"/>
            <w:tcBorders>
              <w:top w:val="single" w:sz="4" w:space="0" w:color="auto"/>
              <w:bottom w:val="single" w:sz="4" w:space="0" w:color="auto"/>
            </w:tcBorders>
            <w:vAlign w:val="center"/>
          </w:tcPr>
          <w:p w14:paraId="53960C50" w14:textId="34DEAEFB" w:rsidR="002E78E4" w:rsidRPr="00703E5B" w:rsidRDefault="002E78E4" w:rsidP="002E78E4">
            <w:pPr>
              <w:pStyle w:val="Table"/>
              <w:spacing w:line="276" w:lineRule="auto"/>
              <w:rPr>
                <w:b/>
                <w:bCs/>
                <w:snapToGrid w:val="0"/>
              </w:rPr>
            </w:pPr>
            <w:r w:rsidRPr="002E78E4">
              <w:rPr>
                <w:b/>
                <w:bCs/>
                <w:snapToGrid w:val="0"/>
              </w:rPr>
              <w:t>Safeguard subject</w:t>
            </w:r>
          </w:p>
        </w:tc>
        <w:tc>
          <w:tcPr>
            <w:tcW w:w="708" w:type="dxa"/>
            <w:tcBorders>
              <w:top w:val="single" w:sz="4" w:space="0" w:color="auto"/>
              <w:bottom w:val="single" w:sz="4" w:space="0" w:color="auto"/>
            </w:tcBorders>
            <w:vAlign w:val="center"/>
          </w:tcPr>
          <w:p w14:paraId="3E634E67" w14:textId="0622311D" w:rsidR="002E78E4" w:rsidRPr="002E78E4" w:rsidRDefault="002E78E4" w:rsidP="002D5DF2">
            <w:pPr>
              <w:pStyle w:val="Table"/>
              <w:spacing w:line="276" w:lineRule="auto"/>
              <w:rPr>
                <w:b/>
                <w:bCs/>
                <w:snapToGrid w:val="0"/>
              </w:rPr>
            </w:pPr>
            <w:r w:rsidRPr="002E78E4">
              <w:rPr>
                <w:b/>
                <w:bCs/>
              </w:rPr>
              <w:t>Unit</w:t>
            </w:r>
          </w:p>
        </w:tc>
        <w:tc>
          <w:tcPr>
            <w:tcW w:w="1276" w:type="dxa"/>
            <w:tcBorders>
              <w:top w:val="single" w:sz="4" w:space="0" w:color="auto"/>
              <w:bottom w:val="single" w:sz="4" w:space="0" w:color="auto"/>
            </w:tcBorders>
          </w:tcPr>
          <w:p w14:paraId="02C38A22" w14:textId="14DB6779" w:rsidR="002E78E4" w:rsidRPr="002E78E4" w:rsidRDefault="002E78E4" w:rsidP="002E78E4">
            <w:pPr>
              <w:pStyle w:val="Table"/>
              <w:spacing w:line="276" w:lineRule="auto"/>
              <w:rPr>
                <w:b/>
                <w:bCs/>
                <w:snapToGrid w:val="0"/>
              </w:rPr>
            </w:pPr>
            <w:proofErr w:type="spellStart"/>
            <w:r w:rsidRPr="002E78E4">
              <w:rPr>
                <w:b/>
                <w:bCs/>
              </w:rPr>
              <w:t>Fossalto</w:t>
            </w:r>
            <w:proofErr w:type="spellEnd"/>
            <w:r w:rsidRPr="002E78E4">
              <w:rPr>
                <w:b/>
                <w:bCs/>
              </w:rPr>
              <w:t xml:space="preserve"> baseline</w:t>
            </w:r>
          </w:p>
        </w:tc>
        <w:tc>
          <w:tcPr>
            <w:tcW w:w="1134" w:type="dxa"/>
            <w:tcBorders>
              <w:top w:val="single" w:sz="4" w:space="0" w:color="auto"/>
              <w:bottom w:val="single" w:sz="4" w:space="0" w:color="auto"/>
            </w:tcBorders>
          </w:tcPr>
          <w:p w14:paraId="6118FB09" w14:textId="3F659B2A" w:rsidR="002E78E4" w:rsidRPr="002E78E4" w:rsidRDefault="002E78E4" w:rsidP="002E78E4">
            <w:pPr>
              <w:pStyle w:val="Table"/>
              <w:spacing w:line="276" w:lineRule="auto"/>
              <w:rPr>
                <w:b/>
                <w:bCs/>
                <w:snapToGrid w:val="0"/>
              </w:rPr>
            </w:pPr>
            <w:proofErr w:type="spellStart"/>
            <w:r w:rsidRPr="002E78E4">
              <w:rPr>
                <w:b/>
                <w:bCs/>
              </w:rPr>
              <w:t>Fossalto</w:t>
            </w:r>
            <w:proofErr w:type="spellEnd"/>
            <w:r w:rsidRPr="002E78E4">
              <w:rPr>
                <w:b/>
                <w:bCs/>
              </w:rPr>
              <w:t xml:space="preserve"> NETWAP</w:t>
            </w:r>
          </w:p>
        </w:tc>
        <w:tc>
          <w:tcPr>
            <w:tcW w:w="1101" w:type="dxa"/>
            <w:tcBorders>
              <w:top w:val="single" w:sz="4" w:space="0" w:color="auto"/>
              <w:bottom w:val="single" w:sz="4" w:space="0" w:color="auto"/>
            </w:tcBorders>
          </w:tcPr>
          <w:p w14:paraId="0BD33AE6" w14:textId="39CF5CB3" w:rsidR="002E78E4" w:rsidRPr="002E78E4" w:rsidRDefault="002E78E4" w:rsidP="002E78E4">
            <w:pPr>
              <w:pStyle w:val="Table"/>
              <w:spacing w:line="276" w:lineRule="auto"/>
              <w:rPr>
                <w:b/>
                <w:bCs/>
                <w:snapToGrid w:val="0"/>
              </w:rPr>
            </w:pPr>
            <w:proofErr w:type="spellStart"/>
            <w:r w:rsidRPr="002E78E4">
              <w:rPr>
                <w:b/>
                <w:bCs/>
              </w:rPr>
              <w:t>Ist</w:t>
            </w:r>
            <w:proofErr w:type="spellEnd"/>
            <w:r w:rsidRPr="002E78E4">
              <w:rPr>
                <w:b/>
                <w:bCs/>
              </w:rPr>
              <w:t xml:space="preserve"> Island baseline</w:t>
            </w:r>
          </w:p>
        </w:tc>
        <w:tc>
          <w:tcPr>
            <w:tcW w:w="0" w:type="auto"/>
            <w:tcBorders>
              <w:top w:val="single" w:sz="4" w:space="0" w:color="auto"/>
              <w:bottom w:val="single" w:sz="4" w:space="0" w:color="auto"/>
            </w:tcBorders>
          </w:tcPr>
          <w:p w14:paraId="02C0D002" w14:textId="7AE64DCD" w:rsidR="002E78E4" w:rsidRPr="002E78E4" w:rsidRDefault="002E78E4" w:rsidP="002E78E4">
            <w:pPr>
              <w:pStyle w:val="Table"/>
              <w:spacing w:line="276" w:lineRule="auto"/>
              <w:rPr>
                <w:b/>
                <w:bCs/>
                <w:snapToGrid w:val="0"/>
              </w:rPr>
            </w:pPr>
            <w:proofErr w:type="spellStart"/>
            <w:r w:rsidRPr="002E78E4">
              <w:rPr>
                <w:b/>
                <w:bCs/>
              </w:rPr>
              <w:t>Ist</w:t>
            </w:r>
            <w:proofErr w:type="spellEnd"/>
            <w:r w:rsidRPr="002E78E4">
              <w:rPr>
                <w:b/>
                <w:bCs/>
              </w:rPr>
              <w:t xml:space="preserve"> Island NETWAP</w:t>
            </w:r>
          </w:p>
        </w:tc>
      </w:tr>
      <w:tr w:rsidR="002D5DF2" w:rsidRPr="00BC36B0" w14:paraId="141225ED" w14:textId="39F890E1" w:rsidTr="002D5DF2">
        <w:trPr>
          <w:trHeight w:val="183"/>
        </w:trPr>
        <w:tc>
          <w:tcPr>
            <w:tcW w:w="1560" w:type="dxa"/>
          </w:tcPr>
          <w:p w14:paraId="10ADAC88" w14:textId="10966909" w:rsidR="002D5DF2" w:rsidRPr="00BC36B0" w:rsidRDefault="002D5DF2" w:rsidP="002D5DF2">
            <w:pPr>
              <w:pStyle w:val="Table"/>
              <w:spacing w:line="276" w:lineRule="auto"/>
              <w:rPr>
                <w:snapToGrid w:val="0"/>
              </w:rPr>
            </w:pPr>
            <w:r w:rsidRPr="004E0141">
              <w:t>Ecosystem services</w:t>
            </w:r>
          </w:p>
        </w:tc>
        <w:tc>
          <w:tcPr>
            <w:tcW w:w="708" w:type="dxa"/>
          </w:tcPr>
          <w:p w14:paraId="71C0A5B6" w14:textId="3D1834D9" w:rsidR="002D5DF2" w:rsidRPr="00BC36B0" w:rsidRDefault="002D5DF2" w:rsidP="002D5DF2">
            <w:pPr>
              <w:pStyle w:val="Table"/>
              <w:spacing w:line="276" w:lineRule="auto"/>
              <w:rPr>
                <w:snapToGrid w:val="0"/>
              </w:rPr>
            </w:pPr>
            <w:r>
              <w:t>ELU</w:t>
            </w:r>
          </w:p>
        </w:tc>
        <w:tc>
          <w:tcPr>
            <w:tcW w:w="1276" w:type="dxa"/>
          </w:tcPr>
          <w:p w14:paraId="06A21BD3" w14:textId="2B12BDE3" w:rsidR="002D5DF2" w:rsidRPr="00BC36B0" w:rsidRDefault="002D5DF2" w:rsidP="002D5DF2">
            <w:pPr>
              <w:pStyle w:val="Table"/>
              <w:spacing w:line="276" w:lineRule="auto"/>
              <w:rPr>
                <w:snapToGrid w:val="0"/>
              </w:rPr>
            </w:pPr>
            <w:r w:rsidRPr="004D1154">
              <w:t>10.47</w:t>
            </w:r>
          </w:p>
        </w:tc>
        <w:tc>
          <w:tcPr>
            <w:tcW w:w="1134" w:type="dxa"/>
          </w:tcPr>
          <w:p w14:paraId="00F93858" w14:textId="090B89B5" w:rsidR="002D5DF2" w:rsidRPr="00A0793A" w:rsidRDefault="002D5DF2" w:rsidP="002D5DF2">
            <w:pPr>
              <w:pStyle w:val="Table"/>
              <w:spacing w:line="276" w:lineRule="auto"/>
            </w:pPr>
            <w:r w:rsidRPr="004D1154">
              <w:t>5.42</w:t>
            </w:r>
          </w:p>
        </w:tc>
        <w:tc>
          <w:tcPr>
            <w:tcW w:w="1101" w:type="dxa"/>
          </w:tcPr>
          <w:p w14:paraId="7E7933D7" w14:textId="1AAE88DF" w:rsidR="002D5DF2" w:rsidRPr="00A0793A" w:rsidRDefault="002D5DF2" w:rsidP="002D5DF2">
            <w:pPr>
              <w:pStyle w:val="Table"/>
              <w:spacing w:line="276" w:lineRule="auto"/>
            </w:pPr>
            <w:r w:rsidRPr="004D1154">
              <w:t>2.68</w:t>
            </w:r>
          </w:p>
        </w:tc>
        <w:tc>
          <w:tcPr>
            <w:tcW w:w="0" w:type="auto"/>
          </w:tcPr>
          <w:p w14:paraId="0FDACB67" w14:textId="34C59B9E" w:rsidR="002D5DF2" w:rsidRPr="00A0793A" w:rsidRDefault="002D5DF2" w:rsidP="002D5DF2">
            <w:pPr>
              <w:pStyle w:val="Table"/>
              <w:spacing w:line="276" w:lineRule="auto"/>
            </w:pPr>
            <w:r w:rsidRPr="004D1154">
              <w:t>2.60</w:t>
            </w:r>
          </w:p>
        </w:tc>
      </w:tr>
      <w:tr w:rsidR="002D5DF2" w:rsidRPr="00BC36B0" w14:paraId="434B7941" w14:textId="57B9F9B8" w:rsidTr="002D5DF2">
        <w:trPr>
          <w:trHeight w:val="183"/>
        </w:trPr>
        <w:tc>
          <w:tcPr>
            <w:tcW w:w="1560" w:type="dxa"/>
          </w:tcPr>
          <w:p w14:paraId="1745B863" w14:textId="6DB1DDAB" w:rsidR="002D5DF2" w:rsidRPr="00BC36B0" w:rsidRDefault="002D5DF2" w:rsidP="002D5DF2">
            <w:pPr>
              <w:pStyle w:val="Table"/>
              <w:spacing w:line="276" w:lineRule="auto"/>
              <w:rPr>
                <w:snapToGrid w:val="0"/>
              </w:rPr>
            </w:pPr>
            <w:r w:rsidRPr="004E0141">
              <w:t>Access to water</w:t>
            </w:r>
          </w:p>
        </w:tc>
        <w:tc>
          <w:tcPr>
            <w:tcW w:w="708" w:type="dxa"/>
          </w:tcPr>
          <w:p w14:paraId="68BF65C9" w14:textId="10DA01CF" w:rsidR="002D5DF2" w:rsidRPr="00BC36B0" w:rsidRDefault="002D5DF2" w:rsidP="002D5DF2">
            <w:pPr>
              <w:pStyle w:val="Table"/>
              <w:spacing w:line="276" w:lineRule="auto"/>
              <w:rPr>
                <w:snapToGrid w:val="0"/>
              </w:rPr>
            </w:pPr>
            <w:r>
              <w:t>ELU</w:t>
            </w:r>
          </w:p>
        </w:tc>
        <w:tc>
          <w:tcPr>
            <w:tcW w:w="1276" w:type="dxa"/>
          </w:tcPr>
          <w:p w14:paraId="11B0B63A" w14:textId="5B09132F" w:rsidR="002D5DF2" w:rsidRPr="00BC36B0" w:rsidRDefault="002D5DF2" w:rsidP="002D5DF2">
            <w:pPr>
              <w:pStyle w:val="Table"/>
              <w:spacing w:line="276" w:lineRule="auto"/>
              <w:rPr>
                <w:snapToGrid w:val="0"/>
              </w:rPr>
            </w:pPr>
            <w:r w:rsidRPr="004D1154">
              <w:t>0.65</w:t>
            </w:r>
          </w:p>
        </w:tc>
        <w:tc>
          <w:tcPr>
            <w:tcW w:w="1134" w:type="dxa"/>
          </w:tcPr>
          <w:p w14:paraId="544AE0F3" w14:textId="0631DD3A" w:rsidR="002D5DF2" w:rsidRPr="00A0793A" w:rsidRDefault="002D5DF2" w:rsidP="002D5DF2">
            <w:pPr>
              <w:pStyle w:val="Table"/>
              <w:spacing w:line="276" w:lineRule="auto"/>
            </w:pPr>
            <w:r w:rsidRPr="004D1154">
              <w:t>0.33</w:t>
            </w:r>
          </w:p>
        </w:tc>
        <w:tc>
          <w:tcPr>
            <w:tcW w:w="1101" w:type="dxa"/>
          </w:tcPr>
          <w:p w14:paraId="036A051C" w14:textId="4200A3CE" w:rsidR="002D5DF2" w:rsidRPr="00A0793A" w:rsidRDefault="002D5DF2" w:rsidP="002D5DF2">
            <w:pPr>
              <w:pStyle w:val="Table"/>
              <w:spacing w:line="276" w:lineRule="auto"/>
            </w:pPr>
            <w:r w:rsidRPr="004D1154">
              <w:t>0.16</w:t>
            </w:r>
          </w:p>
        </w:tc>
        <w:tc>
          <w:tcPr>
            <w:tcW w:w="0" w:type="auto"/>
          </w:tcPr>
          <w:p w14:paraId="14ADF6BE" w14:textId="2D98F658" w:rsidR="002D5DF2" w:rsidRPr="00A0793A" w:rsidRDefault="002D5DF2" w:rsidP="002D5DF2">
            <w:pPr>
              <w:pStyle w:val="Table"/>
              <w:spacing w:line="276" w:lineRule="auto"/>
            </w:pPr>
            <w:r w:rsidRPr="004D1154">
              <w:t>0.16</w:t>
            </w:r>
          </w:p>
        </w:tc>
      </w:tr>
      <w:tr w:rsidR="002D5DF2" w:rsidRPr="00BC36B0" w14:paraId="7417E53D" w14:textId="70DF83E7" w:rsidTr="002D5DF2">
        <w:trPr>
          <w:trHeight w:val="183"/>
        </w:trPr>
        <w:tc>
          <w:tcPr>
            <w:tcW w:w="1560" w:type="dxa"/>
          </w:tcPr>
          <w:p w14:paraId="41779691" w14:textId="05C83CE3" w:rsidR="002D5DF2" w:rsidRPr="00BC36B0" w:rsidRDefault="002D5DF2" w:rsidP="002D5DF2">
            <w:pPr>
              <w:pStyle w:val="Table"/>
              <w:spacing w:line="276" w:lineRule="auto"/>
              <w:rPr>
                <w:snapToGrid w:val="0"/>
              </w:rPr>
            </w:pPr>
            <w:r w:rsidRPr="004E0141">
              <w:t>Biodiversity</w:t>
            </w:r>
          </w:p>
        </w:tc>
        <w:tc>
          <w:tcPr>
            <w:tcW w:w="708" w:type="dxa"/>
          </w:tcPr>
          <w:p w14:paraId="23D81E5B" w14:textId="65BEAE51" w:rsidR="002D5DF2" w:rsidRPr="00BC36B0" w:rsidRDefault="002D5DF2" w:rsidP="002D5DF2">
            <w:pPr>
              <w:pStyle w:val="Table"/>
              <w:spacing w:line="276" w:lineRule="auto"/>
              <w:rPr>
                <w:snapToGrid w:val="0"/>
              </w:rPr>
            </w:pPr>
            <w:r>
              <w:t>ELU</w:t>
            </w:r>
          </w:p>
        </w:tc>
        <w:tc>
          <w:tcPr>
            <w:tcW w:w="1276" w:type="dxa"/>
          </w:tcPr>
          <w:p w14:paraId="35114F31" w14:textId="602F6602" w:rsidR="002D5DF2" w:rsidRPr="00BC36B0" w:rsidRDefault="002D5DF2" w:rsidP="002D5DF2">
            <w:pPr>
              <w:pStyle w:val="Table"/>
              <w:spacing w:line="276" w:lineRule="auto"/>
              <w:rPr>
                <w:snapToGrid w:val="0"/>
              </w:rPr>
            </w:pPr>
            <w:r w:rsidRPr="004D1154">
              <w:t>0.04</w:t>
            </w:r>
          </w:p>
        </w:tc>
        <w:tc>
          <w:tcPr>
            <w:tcW w:w="1134" w:type="dxa"/>
          </w:tcPr>
          <w:p w14:paraId="6404CFE0" w14:textId="156944FA" w:rsidR="002D5DF2" w:rsidRPr="00BC36B0" w:rsidRDefault="002D5DF2" w:rsidP="002D5DF2">
            <w:pPr>
              <w:pStyle w:val="Table"/>
              <w:spacing w:line="276" w:lineRule="auto"/>
              <w:rPr>
                <w:snapToGrid w:val="0"/>
              </w:rPr>
            </w:pPr>
            <w:r w:rsidRPr="004D1154">
              <w:t>0.02</w:t>
            </w:r>
          </w:p>
        </w:tc>
        <w:tc>
          <w:tcPr>
            <w:tcW w:w="1101" w:type="dxa"/>
          </w:tcPr>
          <w:p w14:paraId="234F57CB" w14:textId="0287F408" w:rsidR="002D5DF2" w:rsidRPr="00BC36B0" w:rsidRDefault="002D5DF2" w:rsidP="002D5DF2">
            <w:pPr>
              <w:pStyle w:val="Table"/>
              <w:spacing w:line="276" w:lineRule="auto"/>
              <w:rPr>
                <w:snapToGrid w:val="0"/>
              </w:rPr>
            </w:pPr>
            <w:r w:rsidRPr="004D1154">
              <w:t>0.01</w:t>
            </w:r>
          </w:p>
        </w:tc>
        <w:tc>
          <w:tcPr>
            <w:tcW w:w="0" w:type="auto"/>
          </w:tcPr>
          <w:p w14:paraId="49D42D8D" w14:textId="34A975C7" w:rsidR="002D5DF2" w:rsidRPr="00BC36B0" w:rsidRDefault="002D5DF2" w:rsidP="002D5DF2">
            <w:pPr>
              <w:pStyle w:val="Table"/>
              <w:spacing w:line="276" w:lineRule="auto"/>
              <w:rPr>
                <w:snapToGrid w:val="0"/>
              </w:rPr>
            </w:pPr>
            <w:r w:rsidRPr="004D1154">
              <w:t>0.01</w:t>
            </w:r>
          </w:p>
        </w:tc>
      </w:tr>
      <w:tr w:rsidR="002D5DF2" w:rsidRPr="00BC36B0" w14:paraId="5CE78352" w14:textId="6BE46525" w:rsidTr="002D5DF2">
        <w:trPr>
          <w:trHeight w:val="183"/>
        </w:trPr>
        <w:tc>
          <w:tcPr>
            <w:tcW w:w="1560" w:type="dxa"/>
          </w:tcPr>
          <w:p w14:paraId="53C23837" w14:textId="0F51C9A5" w:rsidR="002D5DF2" w:rsidRPr="00BC36B0" w:rsidRDefault="002D5DF2" w:rsidP="002D5DF2">
            <w:pPr>
              <w:pStyle w:val="Table"/>
              <w:spacing w:line="276" w:lineRule="auto"/>
              <w:rPr>
                <w:snapToGrid w:val="0"/>
              </w:rPr>
            </w:pPr>
            <w:r w:rsidRPr="004E0141">
              <w:t>Human health</w:t>
            </w:r>
          </w:p>
        </w:tc>
        <w:tc>
          <w:tcPr>
            <w:tcW w:w="708" w:type="dxa"/>
          </w:tcPr>
          <w:p w14:paraId="5CF374EA" w14:textId="27ED7AF3" w:rsidR="002D5DF2" w:rsidRPr="00BC36B0" w:rsidRDefault="002D5DF2" w:rsidP="002D5DF2">
            <w:pPr>
              <w:pStyle w:val="Table"/>
              <w:spacing w:line="276" w:lineRule="auto"/>
              <w:rPr>
                <w:snapToGrid w:val="0"/>
              </w:rPr>
            </w:pPr>
            <w:r>
              <w:t>ELU</w:t>
            </w:r>
          </w:p>
        </w:tc>
        <w:tc>
          <w:tcPr>
            <w:tcW w:w="1276" w:type="dxa"/>
          </w:tcPr>
          <w:p w14:paraId="02D9142C" w14:textId="0D96E4E5" w:rsidR="002D5DF2" w:rsidRPr="00BC36B0" w:rsidRDefault="002D5DF2" w:rsidP="002D5DF2">
            <w:pPr>
              <w:pStyle w:val="Table"/>
              <w:spacing w:line="276" w:lineRule="auto"/>
              <w:rPr>
                <w:snapToGrid w:val="0"/>
              </w:rPr>
            </w:pPr>
            <w:r w:rsidRPr="004D1154">
              <w:t>473.36</w:t>
            </w:r>
          </w:p>
        </w:tc>
        <w:tc>
          <w:tcPr>
            <w:tcW w:w="1134" w:type="dxa"/>
          </w:tcPr>
          <w:p w14:paraId="690800A0" w14:textId="70D7D00C" w:rsidR="002D5DF2" w:rsidRPr="00A0793A" w:rsidRDefault="002D5DF2" w:rsidP="002D5DF2">
            <w:pPr>
              <w:pStyle w:val="Table"/>
              <w:spacing w:line="276" w:lineRule="auto"/>
            </w:pPr>
            <w:r w:rsidRPr="004D1154">
              <w:t>222.12</w:t>
            </w:r>
          </w:p>
        </w:tc>
        <w:tc>
          <w:tcPr>
            <w:tcW w:w="1101" w:type="dxa"/>
          </w:tcPr>
          <w:p w14:paraId="1B0D12C3" w14:textId="225558AB" w:rsidR="002D5DF2" w:rsidRPr="00A0793A" w:rsidRDefault="002D5DF2" w:rsidP="002D5DF2">
            <w:pPr>
              <w:pStyle w:val="Table"/>
              <w:spacing w:line="276" w:lineRule="auto"/>
            </w:pPr>
            <w:r w:rsidRPr="004D1154">
              <w:t>132.54</w:t>
            </w:r>
          </w:p>
        </w:tc>
        <w:tc>
          <w:tcPr>
            <w:tcW w:w="0" w:type="auto"/>
          </w:tcPr>
          <w:p w14:paraId="34091E00" w14:textId="3F3758C9" w:rsidR="002D5DF2" w:rsidRPr="00A0793A" w:rsidRDefault="002D5DF2" w:rsidP="002D5DF2">
            <w:pPr>
              <w:pStyle w:val="Table"/>
              <w:spacing w:line="276" w:lineRule="auto"/>
            </w:pPr>
            <w:r w:rsidRPr="004D1154">
              <w:t>111.51</w:t>
            </w:r>
          </w:p>
        </w:tc>
      </w:tr>
      <w:tr w:rsidR="002D5DF2" w:rsidRPr="00BC36B0" w14:paraId="1DC69E74" w14:textId="51790FC3" w:rsidTr="006325F5">
        <w:trPr>
          <w:trHeight w:val="183"/>
        </w:trPr>
        <w:tc>
          <w:tcPr>
            <w:tcW w:w="1560" w:type="dxa"/>
          </w:tcPr>
          <w:p w14:paraId="63A482AC" w14:textId="059CE15A" w:rsidR="002D5DF2" w:rsidRPr="00BC36B0" w:rsidRDefault="002D5DF2" w:rsidP="002D5DF2">
            <w:pPr>
              <w:pStyle w:val="Table"/>
              <w:spacing w:line="276" w:lineRule="auto"/>
              <w:rPr>
                <w:snapToGrid w:val="0"/>
              </w:rPr>
            </w:pPr>
            <w:r w:rsidRPr="004E0141">
              <w:t>Abiotic resources</w:t>
            </w:r>
          </w:p>
        </w:tc>
        <w:tc>
          <w:tcPr>
            <w:tcW w:w="708" w:type="dxa"/>
          </w:tcPr>
          <w:p w14:paraId="3935DD79" w14:textId="7B45D4B8" w:rsidR="002D5DF2" w:rsidRPr="00BC36B0" w:rsidRDefault="002D5DF2" w:rsidP="002D5DF2">
            <w:pPr>
              <w:pStyle w:val="Table"/>
              <w:spacing w:line="276" w:lineRule="auto"/>
              <w:rPr>
                <w:snapToGrid w:val="0"/>
              </w:rPr>
            </w:pPr>
            <w:r>
              <w:t>ELU</w:t>
            </w:r>
          </w:p>
        </w:tc>
        <w:tc>
          <w:tcPr>
            <w:tcW w:w="1276" w:type="dxa"/>
          </w:tcPr>
          <w:p w14:paraId="627E2E64" w14:textId="3C2A8D36" w:rsidR="002D5DF2" w:rsidRPr="00BC36B0" w:rsidRDefault="002D5DF2" w:rsidP="002D5DF2">
            <w:pPr>
              <w:pStyle w:val="Table"/>
              <w:spacing w:line="276" w:lineRule="auto"/>
              <w:rPr>
                <w:snapToGrid w:val="0"/>
              </w:rPr>
            </w:pPr>
            <w:r w:rsidRPr="004D1154">
              <w:t>5</w:t>
            </w:r>
            <w:r>
              <w:t>,</w:t>
            </w:r>
            <w:r w:rsidRPr="004D1154">
              <w:t>362.15</w:t>
            </w:r>
          </w:p>
        </w:tc>
        <w:tc>
          <w:tcPr>
            <w:tcW w:w="1134" w:type="dxa"/>
          </w:tcPr>
          <w:p w14:paraId="7CB6B3CB" w14:textId="04E36147" w:rsidR="002D5DF2" w:rsidRPr="00A0793A" w:rsidRDefault="002D5DF2" w:rsidP="002D5DF2">
            <w:pPr>
              <w:pStyle w:val="Table"/>
              <w:spacing w:line="276" w:lineRule="auto"/>
            </w:pPr>
            <w:r w:rsidRPr="004D1154">
              <w:t>649.21</w:t>
            </w:r>
          </w:p>
        </w:tc>
        <w:tc>
          <w:tcPr>
            <w:tcW w:w="1101" w:type="dxa"/>
          </w:tcPr>
          <w:p w14:paraId="312470A2" w14:textId="3B0035DA" w:rsidR="002D5DF2" w:rsidRPr="00A0793A" w:rsidRDefault="002D5DF2" w:rsidP="002D5DF2">
            <w:pPr>
              <w:pStyle w:val="Table"/>
              <w:spacing w:line="276" w:lineRule="auto"/>
            </w:pPr>
            <w:r w:rsidRPr="004D1154">
              <w:t>7</w:t>
            </w:r>
            <w:r>
              <w:t>,</w:t>
            </w:r>
            <w:r w:rsidRPr="004D1154">
              <w:t>509.17</w:t>
            </w:r>
          </w:p>
        </w:tc>
        <w:tc>
          <w:tcPr>
            <w:tcW w:w="0" w:type="auto"/>
          </w:tcPr>
          <w:p w14:paraId="2C5E8B00" w14:textId="1AADA484" w:rsidR="002D5DF2" w:rsidRPr="00A0793A" w:rsidRDefault="002D5DF2" w:rsidP="002D5DF2">
            <w:pPr>
              <w:pStyle w:val="Table"/>
              <w:spacing w:line="276" w:lineRule="auto"/>
            </w:pPr>
            <w:r w:rsidRPr="004D1154">
              <w:t>1</w:t>
            </w:r>
            <w:r>
              <w:t>,</w:t>
            </w:r>
            <w:r w:rsidRPr="004D1154">
              <w:t>032.78</w:t>
            </w:r>
          </w:p>
        </w:tc>
      </w:tr>
      <w:tr w:rsidR="00B64584" w:rsidRPr="00BC36B0" w14:paraId="28A860FB" w14:textId="77777777" w:rsidTr="00850CD5">
        <w:trPr>
          <w:trHeight w:val="183"/>
        </w:trPr>
        <w:tc>
          <w:tcPr>
            <w:tcW w:w="1560" w:type="dxa"/>
            <w:tcBorders>
              <w:bottom w:val="single" w:sz="4" w:space="0" w:color="auto"/>
            </w:tcBorders>
            <w:vAlign w:val="center"/>
          </w:tcPr>
          <w:p w14:paraId="279EEE58" w14:textId="7109964E" w:rsidR="00B64584" w:rsidRPr="004E0141" w:rsidRDefault="00B64584" w:rsidP="00B64584">
            <w:pPr>
              <w:pStyle w:val="Table"/>
              <w:spacing w:line="276" w:lineRule="auto"/>
            </w:pPr>
            <w:r>
              <w:t>TOTAL</w:t>
            </w:r>
          </w:p>
        </w:tc>
        <w:tc>
          <w:tcPr>
            <w:tcW w:w="708" w:type="dxa"/>
            <w:tcBorders>
              <w:bottom w:val="single" w:sz="4" w:space="0" w:color="auto"/>
            </w:tcBorders>
          </w:tcPr>
          <w:p w14:paraId="172A6450" w14:textId="72CC0A82" w:rsidR="00B64584" w:rsidRDefault="00B64584" w:rsidP="00B64584">
            <w:pPr>
              <w:pStyle w:val="Table"/>
              <w:spacing w:line="276" w:lineRule="auto"/>
            </w:pPr>
            <w:r>
              <w:t>ELU</w:t>
            </w:r>
          </w:p>
        </w:tc>
        <w:tc>
          <w:tcPr>
            <w:tcW w:w="1276" w:type="dxa"/>
            <w:tcBorders>
              <w:bottom w:val="single" w:sz="4" w:space="0" w:color="auto"/>
            </w:tcBorders>
            <w:vAlign w:val="center"/>
          </w:tcPr>
          <w:p w14:paraId="50570955" w14:textId="549CD833" w:rsidR="00B64584" w:rsidRPr="00451CDF" w:rsidRDefault="00B64584" w:rsidP="00B64584">
            <w:pPr>
              <w:pStyle w:val="Table"/>
              <w:spacing w:line="276" w:lineRule="auto"/>
            </w:pPr>
            <w:r w:rsidRPr="00451CDF">
              <w:t>5,846.67</w:t>
            </w:r>
          </w:p>
        </w:tc>
        <w:tc>
          <w:tcPr>
            <w:tcW w:w="1134" w:type="dxa"/>
            <w:tcBorders>
              <w:bottom w:val="single" w:sz="4" w:space="0" w:color="auto"/>
            </w:tcBorders>
            <w:vAlign w:val="center"/>
          </w:tcPr>
          <w:p w14:paraId="360DEB87" w14:textId="620327C9" w:rsidR="00B64584" w:rsidRPr="004D1154" w:rsidRDefault="00B64584" w:rsidP="00B64584">
            <w:pPr>
              <w:pStyle w:val="Table"/>
              <w:spacing w:line="276" w:lineRule="auto"/>
            </w:pPr>
            <w:r>
              <w:t>877.</w:t>
            </w:r>
            <w:r w:rsidRPr="006325F5">
              <w:t>10</w:t>
            </w:r>
          </w:p>
        </w:tc>
        <w:tc>
          <w:tcPr>
            <w:tcW w:w="1101" w:type="dxa"/>
            <w:tcBorders>
              <w:bottom w:val="single" w:sz="4" w:space="0" w:color="auto"/>
            </w:tcBorders>
            <w:vAlign w:val="center"/>
          </w:tcPr>
          <w:p w14:paraId="4F11783A" w14:textId="5D7D44EA" w:rsidR="00B64584" w:rsidRPr="004D1154" w:rsidRDefault="00B64584" w:rsidP="00B64584">
            <w:pPr>
              <w:pStyle w:val="Table"/>
              <w:spacing w:line="276" w:lineRule="auto"/>
            </w:pPr>
            <w:r w:rsidRPr="006325F5">
              <w:t>7</w:t>
            </w:r>
            <w:r>
              <w:t>,</w:t>
            </w:r>
            <w:r w:rsidRPr="006325F5">
              <w:t>644</w:t>
            </w:r>
            <w:r>
              <w:t>.</w:t>
            </w:r>
            <w:r w:rsidRPr="006325F5">
              <w:t>57</w:t>
            </w:r>
          </w:p>
        </w:tc>
        <w:tc>
          <w:tcPr>
            <w:tcW w:w="0" w:type="auto"/>
            <w:tcBorders>
              <w:bottom w:val="single" w:sz="4" w:space="0" w:color="auto"/>
            </w:tcBorders>
            <w:vAlign w:val="center"/>
          </w:tcPr>
          <w:p w14:paraId="6C3E2F45" w14:textId="0F424485" w:rsidR="00B64584" w:rsidRPr="004D1154" w:rsidRDefault="00B64584" w:rsidP="00B64584">
            <w:pPr>
              <w:pStyle w:val="Table"/>
              <w:spacing w:line="276" w:lineRule="auto"/>
            </w:pPr>
            <w:r w:rsidRPr="006325F5">
              <w:t>1</w:t>
            </w:r>
            <w:r>
              <w:t>,147.</w:t>
            </w:r>
            <w:r w:rsidRPr="006325F5">
              <w:t>05</w:t>
            </w:r>
          </w:p>
        </w:tc>
      </w:tr>
    </w:tbl>
    <w:p w14:paraId="5B34A947" w14:textId="77777777" w:rsidR="002E78E4" w:rsidRDefault="002E78E4" w:rsidP="00301320">
      <w:pPr>
        <w:spacing w:line="276" w:lineRule="auto"/>
        <w:rPr>
          <w:sz w:val="24"/>
          <w:szCs w:val="24"/>
        </w:rPr>
      </w:pPr>
    </w:p>
    <w:p w14:paraId="0DF949A4" w14:textId="77777777" w:rsidR="00301320" w:rsidRPr="002160CB" w:rsidRDefault="00301320" w:rsidP="002160CB"/>
    <w:p w14:paraId="57336A56" w14:textId="32D3B4FC" w:rsidR="002160CB" w:rsidRPr="002160CB" w:rsidRDefault="002160CB" w:rsidP="00745741">
      <w:pPr>
        <w:pStyle w:val="Titolo1"/>
        <w:numPr>
          <w:ilvl w:val="1"/>
          <w:numId w:val="13"/>
        </w:numPr>
        <w:spacing w:before="0" w:after="0" w:line="276" w:lineRule="auto"/>
        <w:rPr>
          <w:snapToGrid w:val="0"/>
        </w:rPr>
      </w:pPr>
      <w:r w:rsidRPr="002160CB">
        <w:rPr>
          <w:snapToGrid w:val="0"/>
        </w:rPr>
        <w:t>Conclusions</w:t>
      </w:r>
    </w:p>
    <w:bookmarkEnd w:id="0"/>
    <w:p w14:paraId="58A9D603" w14:textId="779ED61A" w:rsidR="0000701F" w:rsidRPr="00D17E3B" w:rsidRDefault="0000701F" w:rsidP="0000701F">
      <w:pPr>
        <w:spacing w:line="276" w:lineRule="auto"/>
        <w:rPr>
          <w:sz w:val="24"/>
          <w:szCs w:val="24"/>
        </w:rPr>
      </w:pPr>
      <w:r w:rsidRPr="0000701F">
        <w:rPr>
          <w:sz w:val="24"/>
          <w:szCs w:val="24"/>
        </w:rPr>
        <w:t>Th</w:t>
      </w:r>
      <w:r w:rsidR="00434CC9">
        <w:rPr>
          <w:sz w:val="24"/>
          <w:szCs w:val="24"/>
        </w:rPr>
        <w:t>is study analyzed the</w:t>
      </w:r>
      <w:r w:rsidRPr="0000701F">
        <w:rPr>
          <w:sz w:val="24"/>
          <w:szCs w:val="24"/>
        </w:rPr>
        <w:t xml:space="preserve"> waste management</w:t>
      </w:r>
      <w:r>
        <w:rPr>
          <w:sz w:val="24"/>
          <w:szCs w:val="24"/>
        </w:rPr>
        <w:t xml:space="preserve"> systems </w:t>
      </w:r>
      <w:r w:rsidRPr="0000701F">
        <w:rPr>
          <w:sz w:val="24"/>
          <w:szCs w:val="24"/>
        </w:rPr>
        <w:t>in two reference territories representative of “small communities”</w:t>
      </w:r>
      <w:r w:rsidR="00434CC9">
        <w:rPr>
          <w:sz w:val="24"/>
          <w:szCs w:val="24"/>
        </w:rPr>
        <w:t>, considering the baseline scenario</w:t>
      </w:r>
      <w:r w:rsidR="00D17E3B">
        <w:rPr>
          <w:sz w:val="24"/>
          <w:szCs w:val="24"/>
        </w:rPr>
        <w:t>s</w:t>
      </w:r>
      <w:r w:rsidR="00434CC9">
        <w:rPr>
          <w:sz w:val="24"/>
          <w:szCs w:val="24"/>
        </w:rPr>
        <w:t xml:space="preserve"> and </w:t>
      </w:r>
      <w:r w:rsidR="00D17E3B">
        <w:rPr>
          <w:sz w:val="24"/>
          <w:szCs w:val="24"/>
        </w:rPr>
        <w:t>the scenarios</w:t>
      </w:r>
      <w:r w:rsidR="00D17E3B" w:rsidRPr="00434CC9">
        <w:rPr>
          <w:sz w:val="24"/>
          <w:szCs w:val="24"/>
        </w:rPr>
        <w:t xml:space="preserve"> proposed within the NETWAP project</w:t>
      </w:r>
      <w:r w:rsidR="00D17E3B">
        <w:rPr>
          <w:sz w:val="24"/>
          <w:szCs w:val="24"/>
        </w:rPr>
        <w:t xml:space="preserve">. Results </w:t>
      </w:r>
      <w:r w:rsidRPr="0000701F">
        <w:rPr>
          <w:sz w:val="24"/>
          <w:szCs w:val="24"/>
        </w:rPr>
        <w:t xml:space="preserve">showed that </w:t>
      </w:r>
      <w:r>
        <w:rPr>
          <w:sz w:val="24"/>
          <w:szCs w:val="24"/>
        </w:rPr>
        <w:t xml:space="preserve">a “local and tailored” </w:t>
      </w:r>
      <w:r w:rsidRPr="0000701F">
        <w:rPr>
          <w:sz w:val="24"/>
          <w:szCs w:val="24"/>
        </w:rPr>
        <w:t xml:space="preserve">management system </w:t>
      </w:r>
      <w:r>
        <w:rPr>
          <w:sz w:val="24"/>
          <w:szCs w:val="24"/>
        </w:rPr>
        <w:t xml:space="preserve">is characterized by </w:t>
      </w:r>
      <w:r w:rsidR="00D17E3B">
        <w:rPr>
          <w:sz w:val="24"/>
          <w:szCs w:val="24"/>
        </w:rPr>
        <w:t xml:space="preserve">a </w:t>
      </w:r>
      <w:r>
        <w:rPr>
          <w:sz w:val="24"/>
          <w:szCs w:val="24"/>
        </w:rPr>
        <w:t xml:space="preserve">significant </w:t>
      </w:r>
      <w:r w:rsidRPr="0000701F">
        <w:rPr>
          <w:sz w:val="24"/>
          <w:szCs w:val="24"/>
        </w:rPr>
        <w:t xml:space="preserve">environmental impacts </w:t>
      </w:r>
      <w:r w:rsidR="00B12059" w:rsidRPr="0000701F">
        <w:rPr>
          <w:sz w:val="24"/>
          <w:szCs w:val="24"/>
        </w:rPr>
        <w:t>improvement</w:t>
      </w:r>
      <w:r w:rsidR="00D17E3B">
        <w:rPr>
          <w:sz w:val="24"/>
          <w:szCs w:val="24"/>
        </w:rPr>
        <w:t xml:space="preserve">, </w:t>
      </w:r>
      <w:r w:rsidR="00B12059">
        <w:rPr>
          <w:sz w:val="24"/>
          <w:szCs w:val="24"/>
        </w:rPr>
        <w:t xml:space="preserve">also in terms of </w:t>
      </w:r>
      <w:r w:rsidRPr="0000701F">
        <w:rPr>
          <w:sz w:val="24"/>
          <w:szCs w:val="24"/>
        </w:rPr>
        <w:t>externalities</w:t>
      </w:r>
      <w:r w:rsidR="00B12059" w:rsidRPr="00434CC9">
        <w:rPr>
          <w:sz w:val="24"/>
          <w:szCs w:val="24"/>
        </w:rPr>
        <w:t xml:space="preserve">. The solution proposed within the NETWAP project, in fact, </w:t>
      </w:r>
      <w:r w:rsidR="00B12059" w:rsidRPr="00434CC9">
        <w:rPr>
          <w:sz w:val="24"/>
          <w:szCs w:val="24"/>
        </w:rPr>
        <w:lastRenderedPageBreak/>
        <w:t>not only reduces or eliminates common</w:t>
      </w:r>
      <w:r w:rsidR="00D17E3B">
        <w:rPr>
          <w:sz w:val="24"/>
          <w:szCs w:val="24"/>
        </w:rPr>
        <w:t xml:space="preserve"> waste management</w:t>
      </w:r>
      <w:r w:rsidR="00B12059" w:rsidRPr="00434CC9">
        <w:rPr>
          <w:sz w:val="24"/>
          <w:szCs w:val="24"/>
        </w:rPr>
        <w:t xml:space="preserve"> hotspot </w:t>
      </w:r>
      <w:r w:rsidR="00434CC9">
        <w:rPr>
          <w:sz w:val="24"/>
          <w:szCs w:val="24"/>
        </w:rPr>
        <w:t>(</w:t>
      </w:r>
      <w:proofErr w:type="gramStart"/>
      <w:r w:rsidR="00434CC9">
        <w:rPr>
          <w:sz w:val="24"/>
          <w:szCs w:val="24"/>
        </w:rPr>
        <w:t>i.e.</w:t>
      </w:r>
      <w:proofErr w:type="gramEnd"/>
      <w:r w:rsidR="00B12059" w:rsidRPr="00434CC9">
        <w:rPr>
          <w:sz w:val="24"/>
          <w:szCs w:val="24"/>
        </w:rPr>
        <w:t xml:space="preserve"> waste transportation by truck and by ship</w:t>
      </w:r>
      <w:r w:rsidR="00434CC9">
        <w:rPr>
          <w:sz w:val="24"/>
          <w:szCs w:val="24"/>
        </w:rPr>
        <w:t>)</w:t>
      </w:r>
      <w:r w:rsidR="00B12059" w:rsidRPr="00434CC9">
        <w:rPr>
          <w:sz w:val="24"/>
          <w:szCs w:val="24"/>
        </w:rPr>
        <w:t>, but also affect</w:t>
      </w:r>
      <w:r w:rsidR="00434CC9">
        <w:rPr>
          <w:sz w:val="24"/>
          <w:szCs w:val="24"/>
        </w:rPr>
        <w:t>s</w:t>
      </w:r>
      <w:r w:rsidR="00B12059" w:rsidRPr="00434CC9">
        <w:rPr>
          <w:sz w:val="24"/>
          <w:szCs w:val="24"/>
        </w:rPr>
        <w:t xml:space="preserve"> other </w:t>
      </w:r>
      <w:r w:rsidR="00434CC9" w:rsidRPr="00434CC9">
        <w:rPr>
          <w:sz w:val="24"/>
          <w:szCs w:val="24"/>
        </w:rPr>
        <w:t>specific territorial hotspots</w:t>
      </w:r>
      <w:r w:rsidR="00B12059" w:rsidRPr="00434CC9">
        <w:rPr>
          <w:sz w:val="24"/>
          <w:szCs w:val="24"/>
        </w:rPr>
        <w:t>, such as the temporary storage of waste and the landfilling.</w:t>
      </w:r>
      <w:r w:rsidR="00D17E3B">
        <w:rPr>
          <w:sz w:val="24"/>
          <w:szCs w:val="24"/>
        </w:rPr>
        <w:t xml:space="preserve"> </w:t>
      </w:r>
      <w:r w:rsidR="00434CC9">
        <w:rPr>
          <w:sz w:val="24"/>
          <w:szCs w:val="24"/>
        </w:rPr>
        <w:t>Results</w:t>
      </w:r>
      <w:r w:rsidR="00D17E3B">
        <w:rPr>
          <w:sz w:val="24"/>
          <w:szCs w:val="24"/>
        </w:rPr>
        <w:t>, in general,</w:t>
      </w:r>
      <w:r w:rsidR="00434CC9">
        <w:rPr>
          <w:sz w:val="24"/>
          <w:szCs w:val="24"/>
        </w:rPr>
        <w:t xml:space="preserve"> </w:t>
      </w:r>
      <w:r w:rsidR="00D17E3B">
        <w:rPr>
          <w:sz w:val="24"/>
          <w:szCs w:val="24"/>
        </w:rPr>
        <w:t>also</w:t>
      </w:r>
      <w:r w:rsidRPr="0000701F">
        <w:rPr>
          <w:sz w:val="24"/>
          <w:szCs w:val="24"/>
        </w:rPr>
        <w:t xml:space="preserve"> confirm</w:t>
      </w:r>
      <w:r w:rsidR="00D17E3B">
        <w:rPr>
          <w:sz w:val="24"/>
          <w:szCs w:val="24"/>
        </w:rPr>
        <w:t xml:space="preserve">ed </w:t>
      </w:r>
      <w:r w:rsidRPr="0000701F">
        <w:rPr>
          <w:sz w:val="24"/>
          <w:szCs w:val="24"/>
        </w:rPr>
        <w:t>life cycle-based evaluations as very valuable tools for decision-makers to better understand benefits and costs of waste management policies.</w:t>
      </w:r>
    </w:p>
    <w:p w14:paraId="430C46BF" w14:textId="4902EB46" w:rsidR="00CF1EA4" w:rsidRDefault="00CF1EA4" w:rsidP="002160CB"/>
    <w:p w14:paraId="06C7FAB0" w14:textId="5D5A06CE" w:rsidR="00CF1EA4" w:rsidRPr="00011931" w:rsidRDefault="00DA4E5F" w:rsidP="002160CB">
      <w:pPr>
        <w:pStyle w:val="Titolo1"/>
        <w:numPr>
          <w:ilvl w:val="1"/>
          <w:numId w:val="13"/>
        </w:numPr>
        <w:spacing w:before="0" w:after="0" w:line="276" w:lineRule="auto"/>
        <w:rPr>
          <w:snapToGrid w:val="0"/>
        </w:rPr>
      </w:pPr>
      <w:r>
        <w:rPr>
          <w:snapToGrid w:val="0"/>
        </w:rPr>
        <w:t>Reference</w:t>
      </w:r>
      <w:r w:rsidRPr="002160CB">
        <w:rPr>
          <w:snapToGrid w:val="0"/>
        </w:rPr>
        <w:t>s</w:t>
      </w:r>
    </w:p>
    <w:p w14:paraId="07CE794D" w14:textId="6D03D4AD" w:rsidR="00DD7572" w:rsidRPr="00C025EB" w:rsidRDefault="00DD7572" w:rsidP="008E70CA">
      <w:pPr>
        <w:pStyle w:val="Abstract"/>
        <w:tabs>
          <w:tab w:val="left" w:pos="6379"/>
        </w:tabs>
        <w:spacing w:line="280" w:lineRule="exact"/>
        <w:ind w:left="0" w:right="-28"/>
        <w:rPr>
          <w:sz w:val="22"/>
          <w:szCs w:val="22"/>
          <w:lang w:val="en-GB"/>
        </w:rPr>
      </w:pPr>
      <w:r w:rsidRPr="00C025EB">
        <w:rPr>
          <w:sz w:val="22"/>
          <w:szCs w:val="22"/>
          <w:lang w:val="en-GB"/>
        </w:rPr>
        <w:t xml:space="preserve">Baumann H, Tillman AM </w:t>
      </w:r>
      <w:r w:rsidR="008E70CA" w:rsidRPr="00C025EB">
        <w:rPr>
          <w:sz w:val="22"/>
          <w:szCs w:val="22"/>
          <w:lang w:val="en-GB"/>
        </w:rPr>
        <w:t>(</w:t>
      </w:r>
      <w:r w:rsidRPr="00C025EB">
        <w:rPr>
          <w:sz w:val="22"/>
          <w:szCs w:val="22"/>
          <w:lang w:val="en-GB"/>
        </w:rPr>
        <w:t>2004</w:t>
      </w:r>
      <w:r w:rsidR="008E70CA" w:rsidRPr="00C025EB">
        <w:rPr>
          <w:sz w:val="22"/>
          <w:szCs w:val="22"/>
          <w:lang w:val="en-GB"/>
        </w:rPr>
        <w:t>)</w:t>
      </w:r>
      <w:r w:rsidRPr="00C025EB">
        <w:rPr>
          <w:sz w:val="22"/>
          <w:szCs w:val="22"/>
          <w:lang w:val="en-GB"/>
        </w:rPr>
        <w:t xml:space="preserve"> A Hitch Hikers guide to LCA- An orientation in life cycle assessment methodology and application. Edition 1:3. Lund: Studentlitteratur AB</w:t>
      </w:r>
    </w:p>
    <w:p w14:paraId="198EB6C9" w14:textId="64C65EC7" w:rsidR="004C5D08" w:rsidRPr="00C025EB" w:rsidRDefault="004C5D08" w:rsidP="008E70CA">
      <w:pPr>
        <w:autoSpaceDE w:val="0"/>
        <w:autoSpaceDN w:val="0"/>
        <w:adjustRightInd w:val="0"/>
        <w:spacing w:line="240" w:lineRule="auto"/>
        <w:rPr>
          <w:szCs w:val="22"/>
          <w:lang w:val="en-GB"/>
        </w:rPr>
      </w:pPr>
      <w:r w:rsidRPr="00C025EB">
        <w:rPr>
          <w:szCs w:val="22"/>
          <w:lang w:val="en-GB"/>
        </w:rPr>
        <w:t>EEA (2020) Bio-waste in Europe – turning challenges into opportunities.</w:t>
      </w:r>
      <w:r w:rsidR="008E70CA" w:rsidRPr="00C025EB">
        <w:rPr>
          <w:szCs w:val="22"/>
          <w:lang w:val="en-GB"/>
        </w:rPr>
        <w:t xml:space="preserve"> </w:t>
      </w:r>
      <w:r w:rsidRPr="00C025EB">
        <w:rPr>
          <w:szCs w:val="22"/>
          <w:lang w:val="en-GB"/>
        </w:rPr>
        <w:t xml:space="preserve">European Environment Agency, Luxembourg. </w:t>
      </w:r>
      <w:hyperlink r:id="rId10" w:history="1">
        <w:r w:rsidRPr="00C025EB">
          <w:rPr>
            <w:rStyle w:val="Collegamentoipertestuale"/>
            <w:szCs w:val="22"/>
            <w:lang w:val="en-GB"/>
          </w:rPr>
          <w:t>https://doi.org/10.2800/630938</w:t>
        </w:r>
      </w:hyperlink>
    </w:p>
    <w:p w14:paraId="2AEDC0EB" w14:textId="35B85A4F" w:rsidR="00163FB4" w:rsidRPr="00C025EB" w:rsidRDefault="00163FB4" w:rsidP="008E70CA">
      <w:pPr>
        <w:pStyle w:val="Abstract"/>
        <w:tabs>
          <w:tab w:val="left" w:pos="6379"/>
        </w:tabs>
        <w:spacing w:line="280" w:lineRule="exact"/>
        <w:ind w:left="0" w:right="-28"/>
        <w:rPr>
          <w:sz w:val="22"/>
          <w:szCs w:val="22"/>
          <w:lang w:val="en-GB"/>
        </w:rPr>
      </w:pPr>
      <w:r w:rsidRPr="00C025EB">
        <w:rPr>
          <w:sz w:val="22"/>
          <w:szCs w:val="22"/>
          <w:lang w:val="en-GB"/>
        </w:rPr>
        <w:t>EC (2010) European Commission - Joint Research Centre - Institute for Environment and Sustainability: International Reference Life Cycle Data System (ILCD) Handbook - General guide for Life Cycle Assessment - Detailed guidance</w:t>
      </w:r>
      <w:r w:rsidR="00F6136D">
        <w:rPr>
          <w:sz w:val="22"/>
          <w:szCs w:val="22"/>
          <w:lang w:val="en-GB"/>
        </w:rPr>
        <w:t>.</w:t>
      </w:r>
      <w:r w:rsidRPr="00C025EB">
        <w:rPr>
          <w:sz w:val="22"/>
          <w:szCs w:val="22"/>
          <w:lang w:val="en-GB"/>
        </w:rPr>
        <w:t xml:space="preserve"> First edition March 2010. EUR 24708 EN. Luxembourg. Publications Office of the European Union; 2010</w:t>
      </w:r>
    </w:p>
    <w:p w14:paraId="63D039ED" w14:textId="1BA62AD4" w:rsidR="008E70CA" w:rsidRPr="00C025EB" w:rsidRDefault="00DD7572" w:rsidP="00DD7572">
      <w:pPr>
        <w:pStyle w:val="Abstract"/>
        <w:tabs>
          <w:tab w:val="left" w:pos="6379"/>
        </w:tabs>
        <w:spacing w:line="280" w:lineRule="exact"/>
        <w:ind w:left="0" w:right="-28"/>
        <w:rPr>
          <w:sz w:val="22"/>
          <w:szCs w:val="22"/>
          <w:lang w:val="en-GB"/>
        </w:rPr>
      </w:pPr>
      <w:proofErr w:type="spellStart"/>
      <w:r w:rsidRPr="00C025EB">
        <w:rPr>
          <w:sz w:val="22"/>
          <w:szCs w:val="22"/>
          <w:lang w:val="en-GB"/>
        </w:rPr>
        <w:t>Ekvall</w:t>
      </w:r>
      <w:proofErr w:type="spellEnd"/>
      <w:r w:rsidRPr="00C025EB">
        <w:rPr>
          <w:sz w:val="22"/>
          <w:szCs w:val="22"/>
          <w:lang w:val="en-GB"/>
        </w:rPr>
        <w:t xml:space="preserve"> T, Assefa G, Björklund A, Eriksson O, </w:t>
      </w:r>
      <w:proofErr w:type="spellStart"/>
      <w:r w:rsidRPr="00C025EB">
        <w:rPr>
          <w:sz w:val="22"/>
          <w:szCs w:val="22"/>
          <w:lang w:val="en-GB"/>
        </w:rPr>
        <w:t>Finnveden</w:t>
      </w:r>
      <w:proofErr w:type="spellEnd"/>
      <w:r w:rsidR="008E70CA" w:rsidRPr="00C025EB">
        <w:rPr>
          <w:sz w:val="22"/>
          <w:szCs w:val="22"/>
          <w:lang w:val="en-GB"/>
        </w:rPr>
        <w:t xml:space="preserve"> </w:t>
      </w:r>
      <w:r w:rsidRPr="00C025EB">
        <w:rPr>
          <w:sz w:val="22"/>
          <w:szCs w:val="22"/>
          <w:lang w:val="en-GB"/>
        </w:rPr>
        <w:t xml:space="preserve">G </w:t>
      </w:r>
      <w:r w:rsidR="008E70CA" w:rsidRPr="00C025EB">
        <w:rPr>
          <w:sz w:val="22"/>
          <w:szCs w:val="22"/>
          <w:lang w:val="en-GB"/>
        </w:rPr>
        <w:t>(</w:t>
      </w:r>
      <w:r w:rsidRPr="00C025EB">
        <w:rPr>
          <w:sz w:val="22"/>
          <w:szCs w:val="22"/>
          <w:lang w:val="en-GB"/>
        </w:rPr>
        <w:t>2007</w:t>
      </w:r>
      <w:r w:rsidR="008E70CA" w:rsidRPr="00C025EB">
        <w:rPr>
          <w:sz w:val="22"/>
          <w:szCs w:val="22"/>
          <w:lang w:val="en-GB"/>
        </w:rPr>
        <w:t>)</w:t>
      </w:r>
      <w:r w:rsidRPr="00C025EB">
        <w:rPr>
          <w:sz w:val="22"/>
          <w:szCs w:val="22"/>
          <w:lang w:val="en-GB"/>
        </w:rPr>
        <w:t xml:space="preserve"> What life-cycle assessment does and does not do in assessments of waste management. Waste Management 27, 989-996. </w:t>
      </w:r>
      <w:hyperlink r:id="rId11" w:history="1">
        <w:r w:rsidR="008E70CA" w:rsidRPr="00C025EB">
          <w:rPr>
            <w:rStyle w:val="Collegamentoipertestuale"/>
            <w:sz w:val="22"/>
            <w:szCs w:val="22"/>
            <w:lang w:val="en-GB"/>
          </w:rPr>
          <w:t>https://doi.org/10.1016/j.wasman.2007.02.015</w:t>
        </w:r>
      </w:hyperlink>
    </w:p>
    <w:p w14:paraId="62248631" w14:textId="5D4A1FB4" w:rsidR="00DD7572" w:rsidRDefault="00DD7572" w:rsidP="00DD7572">
      <w:pPr>
        <w:pStyle w:val="Abstract"/>
        <w:tabs>
          <w:tab w:val="left" w:pos="6379"/>
        </w:tabs>
        <w:spacing w:line="280" w:lineRule="exact"/>
        <w:ind w:left="0" w:right="-28"/>
        <w:rPr>
          <w:rStyle w:val="Collegamentoipertestuale"/>
          <w:sz w:val="22"/>
          <w:szCs w:val="22"/>
          <w:lang w:val="en-GB"/>
        </w:rPr>
      </w:pPr>
      <w:proofErr w:type="spellStart"/>
      <w:r w:rsidRPr="00C025EB">
        <w:rPr>
          <w:sz w:val="22"/>
          <w:szCs w:val="22"/>
          <w:lang w:val="en-GB"/>
        </w:rPr>
        <w:t>Goedkoop</w:t>
      </w:r>
      <w:proofErr w:type="spellEnd"/>
      <w:r w:rsidRPr="00C025EB">
        <w:rPr>
          <w:sz w:val="22"/>
          <w:szCs w:val="22"/>
          <w:lang w:val="en-GB"/>
        </w:rPr>
        <w:t xml:space="preserve"> M, </w:t>
      </w:r>
      <w:proofErr w:type="spellStart"/>
      <w:r w:rsidRPr="00C025EB">
        <w:rPr>
          <w:sz w:val="22"/>
          <w:szCs w:val="22"/>
          <w:lang w:val="en-GB"/>
        </w:rPr>
        <w:t>Heijungs</w:t>
      </w:r>
      <w:proofErr w:type="spellEnd"/>
      <w:r w:rsidRPr="00C025EB">
        <w:rPr>
          <w:sz w:val="22"/>
          <w:szCs w:val="22"/>
          <w:lang w:val="en-GB"/>
        </w:rPr>
        <w:t xml:space="preserve"> R, </w:t>
      </w:r>
      <w:proofErr w:type="spellStart"/>
      <w:r w:rsidRPr="00C025EB">
        <w:rPr>
          <w:sz w:val="22"/>
          <w:szCs w:val="22"/>
          <w:lang w:val="en-GB"/>
        </w:rPr>
        <w:t>Huijbregts</w:t>
      </w:r>
      <w:proofErr w:type="spellEnd"/>
      <w:r w:rsidRPr="00C025EB">
        <w:rPr>
          <w:sz w:val="22"/>
          <w:szCs w:val="22"/>
          <w:lang w:val="en-GB"/>
        </w:rPr>
        <w:t xml:space="preserve"> M, </w:t>
      </w:r>
      <w:proofErr w:type="spellStart"/>
      <w:r w:rsidRPr="00C025EB">
        <w:rPr>
          <w:sz w:val="22"/>
          <w:szCs w:val="22"/>
          <w:lang w:val="en-GB"/>
        </w:rPr>
        <w:t>DeSchryver</w:t>
      </w:r>
      <w:proofErr w:type="spellEnd"/>
      <w:r w:rsidRPr="00C025EB">
        <w:rPr>
          <w:sz w:val="22"/>
          <w:szCs w:val="22"/>
          <w:lang w:val="en-GB"/>
        </w:rPr>
        <w:t xml:space="preserve"> A, </w:t>
      </w:r>
      <w:proofErr w:type="spellStart"/>
      <w:r w:rsidRPr="00C025EB">
        <w:rPr>
          <w:sz w:val="22"/>
          <w:szCs w:val="22"/>
          <w:lang w:val="en-GB"/>
        </w:rPr>
        <w:t>Struijs</w:t>
      </w:r>
      <w:proofErr w:type="spellEnd"/>
      <w:r w:rsidRPr="00C025EB">
        <w:rPr>
          <w:sz w:val="22"/>
          <w:szCs w:val="22"/>
          <w:lang w:val="en-GB"/>
        </w:rPr>
        <w:t xml:space="preserve"> J, </w:t>
      </w:r>
      <w:proofErr w:type="spellStart"/>
      <w:r w:rsidRPr="00C025EB">
        <w:rPr>
          <w:sz w:val="22"/>
          <w:szCs w:val="22"/>
          <w:lang w:val="en-GB"/>
        </w:rPr>
        <w:t>VanZelm</w:t>
      </w:r>
      <w:proofErr w:type="spellEnd"/>
      <w:r w:rsidRPr="00C025EB">
        <w:rPr>
          <w:sz w:val="22"/>
          <w:szCs w:val="22"/>
          <w:lang w:val="en-GB"/>
        </w:rPr>
        <w:t xml:space="preserve"> R</w:t>
      </w:r>
      <w:r w:rsidR="008E70CA" w:rsidRPr="00C025EB">
        <w:rPr>
          <w:sz w:val="22"/>
          <w:szCs w:val="22"/>
          <w:lang w:val="en-GB"/>
        </w:rPr>
        <w:t xml:space="preserve"> (</w:t>
      </w:r>
      <w:r w:rsidRPr="00C025EB">
        <w:rPr>
          <w:sz w:val="22"/>
          <w:szCs w:val="22"/>
          <w:lang w:val="en-GB"/>
        </w:rPr>
        <w:t>2009</w:t>
      </w:r>
      <w:r w:rsidR="008E70CA" w:rsidRPr="00C025EB">
        <w:rPr>
          <w:sz w:val="22"/>
          <w:szCs w:val="22"/>
          <w:lang w:val="en-GB"/>
        </w:rPr>
        <w:t>)</w:t>
      </w:r>
      <w:r w:rsidRPr="00C025EB">
        <w:rPr>
          <w:sz w:val="22"/>
          <w:szCs w:val="22"/>
          <w:lang w:val="en-GB"/>
        </w:rPr>
        <w:t xml:space="preserve"> </w:t>
      </w:r>
      <w:proofErr w:type="spellStart"/>
      <w:r w:rsidRPr="00C025EB">
        <w:rPr>
          <w:sz w:val="22"/>
          <w:szCs w:val="22"/>
          <w:lang w:val="en-GB"/>
        </w:rPr>
        <w:t>ReCiPe</w:t>
      </w:r>
      <w:proofErr w:type="spellEnd"/>
      <w:r w:rsidRPr="00C025EB">
        <w:rPr>
          <w:sz w:val="22"/>
          <w:szCs w:val="22"/>
          <w:lang w:val="en-GB"/>
        </w:rPr>
        <w:t xml:space="preserve"> 2008 — a life cycle impact assessment method which comprises harmonised category indicators at the midpoint and the endpoint level. Report I: Characterisation. Den Haag. </w:t>
      </w:r>
      <w:hyperlink r:id="rId12" w:history="1">
        <w:r w:rsidR="008E70CA" w:rsidRPr="00C025EB">
          <w:rPr>
            <w:rStyle w:val="Collegamentoipertestuale"/>
            <w:sz w:val="22"/>
            <w:szCs w:val="22"/>
            <w:lang w:val="en-GB"/>
          </w:rPr>
          <w:t>https://doi.org/10.13140/RG.2.1.4872.6640</w:t>
        </w:r>
      </w:hyperlink>
    </w:p>
    <w:p w14:paraId="3EA3FB1F" w14:textId="358D7525" w:rsidR="00C440C2" w:rsidRPr="00C440C2" w:rsidRDefault="00F6136D" w:rsidP="00F6136D">
      <w:pPr>
        <w:pStyle w:val="Abstract"/>
        <w:tabs>
          <w:tab w:val="left" w:pos="6379"/>
        </w:tabs>
        <w:spacing w:line="280" w:lineRule="exact"/>
        <w:ind w:left="0" w:right="-28"/>
        <w:rPr>
          <w:sz w:val="22"/>
          <w:szCs w:val="22"/>
        </w:rPr>
      </w:pPr>
      <w:r w:rsidRPr="00F6136D">
        <w:rPr>
          <w:sz w:val="22"/>
          <w:szCs w:val="22"/>
        </w:rPr>
        <w:t>HR (2020)</w:t>
      </w:r>
      <w:r>
        <w:rPr>
          <w:sz w:val="22"/>
          <w:szCs w:val="22"/>
        </w:rPr>
        <w:t xml:space="preserve"> </w:t>
      </w:r>
      <w:r w:rsidRPr="00F6136D">
        <w:rPr>
          <w:sz w:val="22"/>
          <w:szCs w:val="22"/>
          <w:lang w:val="en-GB"/>
        </w:rPr>
        <w:t>Government of the Republic of Croatia</w:t>
      </w:r>
      <w:r>
        <w:rPr>
          <w:sz w:val="22"/>
          <w:szCs w:val="22"/>
          <w:lang w:val="en-GB"/>
        </w:rPr>
        <w:t xml:space="preserve"> - </w:t>
      </w:r>
      <w:r w:rsidRPr="00F6136D">
        <w:rPr>
          <w:sz w:val="22"/>
          <w:szCs w:val="22"/>
          <w:lang w:val="en-GB"/>
        </w:rPr>
        <w:t>Waste Management Plan of the Republic of Croatia for the period 2017-2022.</w:t>
      </w:r>
    </w:p>
    <w:p w14:paraId="71B558BA" w14:textId="7C6D598B" w:rsidR="00DD7572" w:rsidRPr="00C025EB" w:rsidRDefault="00DD7572" w:rsidP="00DD7572">
      <w:pPr>
        <w:pStyle w:val="Abstract"/>
        <w:tabs>
          <w:tab w:val="left" w:pos="6379"/>
        </w:tabs>
        <w:spacing w:line="280" w:lineRule="exact"/>
        <w:ind w:left="0" w:right="-28"/>
        <w:rPr>
          <w:sz w:val="22"/>
          <w:szCs w:val="22"/>
          <w:lang w:val="en-GB"/>
        </w:rPr>
      </w:pPr>
      <w:r w:rsidRPr="00C025EB">
        <w:rPr>
          <w:sz w:val="22"/>
          <w:szCs w:val="22"/>
          <w:lang w:val="en-GB"/>
        </w:rPr>
        <w:t>ISO (2006, a). ISO</w:t>
      </w:r>
      <w:r w:rsidR="00CE7537" w:rsidRPr="00C025EB">
        <w:rPr>
          <w:sz w:val="22"/>
          <w:szCs w:val="22"/>
          <w:lang w:val="en-GB"/>
        </w:rPr>
        <w:t xml:space="preserve"> 14040 -</w:t>
      </w:r>
      <w:r w:rsidRPr="00C025EB">
        <w:rPr>
          <w:sz w:val="22"/>
          <w:szCs w:val="22"/>
          <w:lang w:val="en-GB"/>
        </w:rPr>
        <w:t xml:space="preserve"> Environmental Management and Life Cycle Assessment and Principles and Framework. International Organization for Standardization, Geneva, Switzerland</w:t>
      </w:r>
    </w:p>
    <w:p w14:paraId="5519DB85" w14:textId="0A112954" w:rsidR="00DD7572" w:rsidRDefault="00DD7572" w:rsidP="00DD7572">
      <w:pPr>
        <w:pStyle w:val="Abstract"/>
        <w:tabs>
          <w:tab w:val="left" w:pos="6379"/>
        </w:tabs>
        <w:spacing w:line="280" w:lineRule="exact"/>
        <w:ind w:left="0" w:right="-28"/>
        <w:rPr>
          <w:sz w:val="22"/>
          <w:szCs w:val="22"/>
          <w:lang w:val="en-GB"/>
        </w:rPr>
      </w:pPr>
      <w:r w:rsidRPr="00C025EB">
        <w:rPr>
          <w:sz w:val="22"/>
          <w:szCs w:val="22"/>
          <w:lang w:val="en-GB"/>
        </w:rPr>
        <w:t xml:space="preserve">ISO (2006, b). ISO </w:t>
      </w:r>
      <w:r w:rsidR="00CE7537" w:rsidRPr="00C025EB">
        <w:rPr>
          <w:sz w:val="22"/>
          <w:szCs w:val="22"/>
          <w:lang w:val="en-GB"/>
        </w:rPr>
        <w:t>14044 -</w:t>
      </w:r>
      <w:r w:rsidRPr="00C025EB">
        <w:rPr>
          <w:sz w:val="22"/>
          <w:szCs w:val="22"/>
          <w:lang w:val="en-GB"/>
        </w:rPr>
        <w:t xml:space="preserve"> Environmental Management - Life Cycle Assessment - Requirements and Guidelines. International Organization for Standardization, Geneva, Switzerland</w:t>
      </w:r>
    </w:p>
    <w:p w14:paraId="7FDE069E" w14:textId="6C52AF80" w:rsidR="005E220E" w:rsidRPr="005A7AAB" w:rsidRDefault="005E220E" w:rsidP="00DD7572">
      <w:pPr>
        <w:pStyle w:val="Abstract"/>
        <w:tabs>
          <w:tab w:val="left" w:pos="6379"/>
        </w:tabs>
        <w:spacing w:line="280" w:lineRule="exact"/>
        <w:ind w:left="0" w:right="-28"/>
        <w:rPr>
          <w:sz w:val="22"/>
          <w:szCs w:val="22"/>
          <w:lang w:val="it-IT"/>
        </w:rPr>
      </w:pPr>
      <w:proofErr w:type="spellStart"/>
      <w:r w:rsidRPr="005A7AAB">
        <w:rPr>
          <w:sz w:val="22"/>
          <w:szCs w:val="22"/>
          <w:lang w:val="en-GB"/>
        </w:rPr>
        <w:t>PRé</w:t>
      </w:r>
      <w:proofErr w:type="spellEnd"/>
      <w:r w:rsidRPr="005A7AAB">
        <w:rPr>
          <w:sz w:val="22"/>
          <w:szCs w:val="22"/>
          <w:lang w:val="en-GB"/>
        </w:rPr>
        <w:t xml:space="preserve"> (2022) </w:t>
      </w:r>
      <w:proofErr w:type="spellStart"/>
      <w:r w:rsidRPr="005A7AAB">
        <w:rPr>
          <w:sz w:val="22"/>
          <w:szCs w:val="22"/>
          <w:lang w:val="en-GB"/>
        </w:rPr>
        <w:t>SimaPro</w:t>
      </w:r>
      <w:proofErr w:type="spellEnd"/>
      <w:r w:rsidRPr="005A7AAB">
        <w:rPr>
          <w:sz w:val="22"/>
          <w:szCs w:val="22"/>
          <w:lang w:val="en-GB"/>
        </w:rPr>
        <w:t xml:space="preserve"> software. </w:t>
      </w:r>
      <w:hyperlink r:id="rId13" w:history="1">
        <w:r w:rsidR="007F6837" w:rsidRPr="00D04E07">
          <w:rPr>
            <w:rStyle w:val="Collegamentoipertestuale"/>
            <w:sz w:val="22"/>
            <w:szCs w:val="22"/>
            <w:lang w:val="en-GB"/>
          </w:rPr>
          <w:t>https://simapro.com</w:t>
        </w:r>
      </w:hyperlink>
      <w:r w:rsidRPr="005E220E">
        <w:rPr>
          <w:sz w:val="22"/>
          <w:szCs w:val="22"/>
          <w:lang w:val="en-GB"/>
        </w:rPr>
        <w:t xml:space="preserve">. </w:t>
      </w:r>
      <w:proofErr w:type="spellStart"/>
      <w:r w:rsidRPr="005A7AAB">
        <w:rPr>
          <w:sz w:val="22"/>
          <w:szCs w:val="22"/>
          <w:lang w:val="it-IT"/>
        </w:rPr>
        <w:t>Accessed</w:t>
      </w:r>
      <w:proofErr w:type="spellEnd"/>
      <w:r w:rsidRPr="005A7AAB">
        <w:rPr>
          <w:sz w:val="22"/>
          <w:szCs w:val="22"/>
          <w:lang w:val="it-IT"/>
        </w:rPr>
        <w:t xml:space="preserve"> 24 </w:t>
      </w:r>
      <w:proofErr w:type="spellStart"/>
      <w:r w:rsidRPr="005A7AAB">
        <w:rPr>
          <w:sz w:val="22"/>
          <w:szCs w:val="22"/>
          <w:lang w:val="it-IT"/>
        </w:rPr>
        <w:t>May</w:t>
      </w:r>
      <w:proofErr w:type="spellEnd"/>
      <w:r w:rsidRPr="005A7AAB">
        <w:rPr>
          <w:sz w:val="22"/>
          <w:szCs w:val="22"/>
          <w:lang w:val="it-IT"/>
        </w:rPr>
        <w:t xml:space="preserve"> 2022</w:t>
      </w:r>
    </w:p>
    <w:p w14:paraId="5BA0F290" w14:textId="663060E5" w:rsidR="00941560" w:rsidRPr="00D17E3B" w:rsidRDefault="00DD7572" w:rsidP="00D17E3B">
      <w:pPr>
        <w:pStyle w:val="Abstract"/>
        <w:tabs>
          <w:tab w:val="left" w:pos="6379"/>
        </w:tabs>
        <w:spacing w:line="280" w:lineRule="exact"/>
        <w:ind w:left="0" w:right="-30"/>
        <w:rPr>
          <w:sz w:val="22"/>
          <w:szCs w:val="22"/>
          <w:lang w:val="it-IT"/>
        </w:rPr>
      </w:pPr>
      <w:r w:rsidRPr="00F6136D">
        <w:rPr>
          <w:sz w:val="22"/>
          <w:szCs w:val="22"/>
          <w:lang w:val="it-IT"/>
        </w:rPr>
        <w:t xml:space="preserve">Ripa M, Fiorentino G, Vacca V, </w:t>
      </w:r>
      <w:proofErr w:type="spellStart"/>
      <w:r w:rsidRPr="00F6136D">
        <w:rPr>
          <w:sz w:val="22"/>
          <w:szCs w:val="22"/>
          <w:lang w:val="it-IT"/>
        </w:rPr>
        <w:t>Ulgiati</w:t>
      </w:r>
      <w:proofErr w:type="spellEnd"/>
      <w:r w:rsidRPr="00F6136D">
        <w:rPr>
          <w:sz w:val="22"/>
          <w:szCs w:val="22"/>
          <w:lang w:val="it-IT"/>
        </w:rPr>
        <w:t xml:space="preserve"> S </w:t>
      </w:r>
      <w:r w:rsidR="008E70CA" w:rsidRPr="00F6136D">
        <w:rPr>
          <w:sz w:val="22"/>
          <w:szCs w:val="22"/>
          <w:lang w:val="it-IT"/>
        </w:rPr>
        <w:t>(</w:t>
      </w:r>
      <w:r w:rsidRPr="00F6136D">
        <w:rPr>
          <w:sz w:val="22"/>
          <w:szCs w:val="22"/>
          <w:lang w:val="it-IT"/>
        </w:rPr>
        <w:t>2017</w:t>
      </w:r>
      <w:r w:rsidR="008E70CA" w:rsidRPr="00F6136D">
        <w:rPr>
          <w:sz w:val="22"/>
          <w:szCs w:val="22"/>
          <w:lang w:val="it-IT"/>
        </w:rPr>
        <w:t>)</w:t>
      </w:r>
      <w:r w:rsidRPr="00F6136D">
        <w:rPr>
          <w:sz w:val="22"/>
          <w:szCs w:val="22"/>
          <w:lang w:val="it-IT"/>
        </w:rPr>
        <w:t xml:space="preserve">. </w:t>
      </w:r>
      <w:r w:rsidRPr="00C025EB">
        <w:rPr>
          <w:sz w:val="22"/>
          <w:szCs w:val="22"/>
          <w:lang w:val="en-GB"/>
        </w:rPr>
        <w:t xml:space="preserve">The relevance of site-specific data in Life Cycle Assessment (LCA). The case of the municipal solid waste management in the metropolitan city of Naples (Italy). </w:t>
      </w:r>
      <w:r w:rsidRPr="00C025EB">
        <w:rPr>
          <w:sz w:val="22"/>
          <w:szCs w:val="22"/>
          <w:lang w:val="it-IT"/>
        </w:rPr>
        <w:t xml:space="preserve">Journal of </w:t>
      </w:r>
      <w:proofErr w:type="spellStart"/>
      <w:r w:rsidRPr="00C025EB">
        <w:rPr>
          <w:sz w:val="22"/>
          <w:szCs w:val="22"/>
          <w:lang w:val="it-IT"/>
        </w:rPr>
        <w:t>Cleaner</w:t>
      </w:r>
      <w:proofErr w:type="spellEnd"/>
      <w:r w:rsidRPr="00C025EB">
        <w:rPr>
          <w:sz w:val="22"/>
          <w:szCs w:val="22"/>
          <w:lang w:val="it-IT"/>
        </w:rPr>
        <w:t xml:space="preserve"> Production 142, 445–460. </w:t>
      </w:r>
      <w:hyperlink r:id="rId14" w:history="1">
        <w:r w:rsidR="00C025EB" w:rsidRPr="00C025EB">
          <w:rPr>
            <w:rStyle w:val="Collegamentoipertestuale"/>
            <w:sz w:val="22"/>
            <w:szCs w:val="22"/>
            <w:lang w:val="it-IT"/>
          </w:rPr>
          <w:t>https://doi.org/10.1016/j.jclepro.2016.09.149</w:t>
        </w:r>
      </w:hyperlink>
    </w:p>
    <w:sectPr w:rsidR="00941560" w:rsidRPr="00D17E3B" w:rsidSect="00E43F28">
      <w:headerReference w:type="even" r:id="rId15"/>
      <w:headerReference w:type="default" r:id="rId16"/>
      <w:headerReference w:type="first" r:id="rId17"/>
      <w:footerReference w:type="first" r:id="rId1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3BAA" w14:textId="77777777" w:rsidR="00C16382" w:rsidRDefault="00C16382">
      <w:pPr>
        <w:spacing w:line="240" w:lineRule="auto"/>
      </w:pPr>
      <w:r>
        <w:separator/>
      </w:r>
    </w:p>
  </w:endnote>
  <w:endnote w:type="continuationSeparator" w:id="0">
    <w:p w14:paraId="677013E5" w14:textId="77777777" w:rsidR="00C16382" w:rsidRDefault="00C16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9C02044"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F9397A">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DF72" w14:textId="77777777" w:rsidR="00C16382" w:rsidRDefault="00C16382">
      <w:pPr>
        <w:spacing w:line="240" w:lineRule="auto"/>
      </w:pPr>
      <w:r>
        <w:separator/>
      </w:r>
    </w:p>
  </w:footnote>
  <w:footnote w:type="continuationSeparator" w:id="0">
    <w:p w14:paraId="3E47A6EC" w14:textId="77777777" w:rsidR="00C16382" w:rsidRDefault="00C16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27D6F11" w:rsidR="00A138D7" w:rsidRPr="00292EF8"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15B6F26"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292EF8">
      <w:rPr>
        <w:rStyle w:val="Numeropagina"/>
        <w:sz w:val="18"/>
        <w:lang w:val="it-IT"/>
      </w:rPr>
      <w:instrText xml:space="preserve">PAGE  </w:instrText>
    </w:r>
    <w:r w:rsidR="00A56CDE" w:rsidRPr="000E2F27">
      <w:rPr>
        <w:rStyle w:val="Numeropagina"/>
        <w:sz w:val="18"/>
      </w:rPr>
      <w:fldChar w:fldCharType="separate"/>
    </w:r>
    <w:r w:rsidR="00AB7DE6">
      <w:rPr>
        <w:rStyle w:val="Numeropagina"/>
        <w:noProof/>
        <w:sz w:val="18"/>
        <w:lang w:val="it-IT"/>
      </w:rPr>
      <w:t>8</w:t>
    </w:r>
    <w:r w:rsidR="00A56CDE" w:rsidRPr="000E2F27">
      <w:rPr>
        <w:rStyle w:val="Numeropagina"/>
        <w:sz w:val="18"/>
      </w:rPr>
      <w:fldChar w:fldCharType="end"/>
    </w:r>
    <w:r w:rsidR="00A56CDE" w:rsidRPr="00292EF8">
      <w:rPr>
        <w:rStyle w:val="Numeropagina"/>
        <w:sz w:val="18"/>
        <w:lang w:val="it-IT"/>
      </w:rPr>
      <w:tab/>
    </w:r>
    <w:r w:rsidR="00292EF8" w:rsidRPr="00292EF8">
      <w:rPr>
        <w:i/>
        <w:sz w:val="18"/>
        <w:lang w:val="it-IT"/>
      </w:rPr>
      <w:t>G</w:t>
    </w:r>
    <w:r w:rsidR="00292EF8">
      <w:rPr>
        <w:i/>
        <w:sz w:val="18"/>
        <w:lang w:val="it-IT"/>
      </w:rPr>
      <w:t xml:space="preserve">. </w:t>
    </w:r>
    <w:r w:rsidR="00292EF8" w:rsidRPr="00292EF8">
      <w:rPr>
        <w:i/>
        <w:sz w:val="18"/>
        <w:lang w:val="it-IT"/>
      </w:rPr>
      <w:t>Fiorentino, T</w:t>
    </w:r>
    <w:r w:rsidR="00292EF8">
      <w:rPr>
        <w:i/>
        <w:sz w:val="18"/>
        <w:lang w:val="it-IT"/>
      </w:rPr>
      <w:t xml:space="preserve">. </w:t>
    </w:r>
    <w:r w:rsidR="00292EF8" w:rsidRPr="00292EF8">
      <w:rPr>
        <w:i/>
        <w:sz w:val="18"/>
        <w:lang w:val="it-IT"/>
      </w:rPr>
      <w:t>Beltrani, L</w:t>
    </w:r>
    <w:r w:rsidR="00292EF8">
      <w:rPr>
        <w:i/>
        <w:sz w:val="18"/>
        <w:lang w:val="it-IT"/>
      </w:rPr>
      <w:t xml:space="preserve">. </w:t>
    </w:r>
    <w:r w:rsidR="00292EF8" w:rsidRPr="00292EF8">
      <w:rPr>
        <w:i/>
        <w:sz w:val="18"/>
        <w:lang w:val="it-IT"/>
      </w:rPr>
      <w:t>Cafiero, F</w:t>
    </w:r>
    <w:r w:rsidR="00292EF8">
      <w:rPr>
        <w:i/>
        <w:sz w:val="18"/>
        <w:lang w:val="it-IT"/>
      </w:rPr>
      <w:t xml:space="preserve">. </w:t>
    </w:r>
    <w:r w:rsidR="00292EF8" w:rsidRPr="00292EF8">
      <w:rPr>
        <w:i/>
        <w:sz w:val="18"/>
        <w:lang w:val="it-IT"/>
      </w:rPr>
      <w:t>Scrucca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6F2DB072"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D940AFD"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C04DF4" w:rsidRPr="00C04DF4">
      <w:rPr>
        <w:i/>
        <w:noProof/>
        <w:sz w:val="18"/>
        <w:lang w:val="en-SG" w:eastAsia="en-SG"/>
      </w:rPr>
      <w:t>Sustainable organic waste management in small communities: evidence from life cycle based evaluations</w:t>
    </w:r>
    <w:r w:rsidR="00476E8C" w:rsidRPr="000E2F27">
      <w:rPr>
        <w:i/>
        <w:noProof/>
        <w:sz w:val="18"/>
        <w:lang w:val="en-SG" w:eastAsia="en-SG"/>
      </w:rPr>
      <w:tab/>
    </w:r>
    <w:r w:rsidR="00C04DF4">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AB7DE6">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D184BA0"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B3C1F5A"/>
    <w:multiLevelType w:val="hybridMultilevel"/>
    <w:tmpl w:val="0178B65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8"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9"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0"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1"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2" w15:restartNumberingAfterBreak="0">
    <w:nsid w:val="6264638E"/>
    <w:multiLevelType w:val="hybridMultilevel"/>
    <w:tmpl w:val="0726B18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637804507">
    <w:abstractNumId w:val="11"/>
  </w:num>
  <w:num w:numId="2" w16cid:durableId="1032536649">
    <w:abstractNumId w:val="10"/>
  </w:num>
  <w:num w:numId="3" w16cid:durableId="685639604">
    <w:abstractNumId w:val="4"/>
  </w:num>
  <w:num w:numId="4" w16cid:durableId="867332640">
    <w:abstractNumId w:val="15"/>
  </w:num>
  <w:num w:numId="5" w16cid:durableId="1736470853">
    <w:abstractNumId w:val="5"/>
  </w:num>
  <w:num w:numId="6" w16cid:durableId="1737626104">
    <w:abstractNumId w:val="2"/>
  </w:num>
  <w:num w:numId="7" w16cid:durableId="1436556596">
    <w:abstractNumId w:val="6"/>
  </w:num>
  <w:num w:numId="8" w16cid:durableId="159085512">
    <w:abstractNumId w:val="7"/>
  </w:num>
  <w:num w:numId="9" w16cid:durableId="1930389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4689520">
    <w:abstractNumId w:val="0"/>
  </w:num>
  <w:num w:numId="11" w16cid:durableId="86730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821896">
    <w:abstractNumId w:val="13"/>
  </w:num>
  <w:num w:numId="13" w16cid:durableId="1956213137">
    <w:abstractNumId w:val="3"/>
  </w:num>
  <w:num w:numId="14" w16cid:durableId="757017472">
    <w:abstractNumId w:val="12"/>
  </w:num>
  <w:num w:numId="15" w16cid:durableId="614412750">
    <w:abstractNumId w:val="1"/>
  </w:num>
  <w:num w:numId="16" w16cid:durableId="1431268473">
    <w:abstractNumId w:val="0"/>
  </w:num>
  <w:num w:numId="17" w16cid:durableId="1161434693">
    <w:abstractNumId w:val="2"/>
  </w:num>
  <w:num w:numId="18" w16cid:durableId="160703556">
    <w:abstractNumId w:val="0"/>
  </w:num>
  <w:num w:numId="19" w16cid:durableId="983584789">
    <w:abstractNumId w:val="2"/>
  </w:num>
  <w:num w:numId="20" w16cid:durableId="126911677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trackRevisions/>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1077"/>
    <w:rsid w:val="00002565"/>
    <w:rsid w:val="00006F22"/>
    <w:rsid w:val="0000701F"/>
    <w:rsid w:val="0001134B"/>
    <w:rsid w:val="00011663"/>
    <w:rsid w:val="00011931"/>
    <w:rsid w:val="00013FAC"/>
    <w:rsid w:val="000207D2"/>
    <w:rsid w:val="000273E9"/>
    <w:rsid w:val="00034334"/>
    <w:rsid w:val="000343A6"/>
    <w:rsid w:val="000358C0"/>
    <w:rsid w:val="00041620"/>
    <w:rsid w:val="00041C51"/>
    <w:rsid w:val="00041DE3"/>
    <w:rsid w:val="00054B55"/>
    <w:rsid w:val="00055617"/>
    <w:rsid w:val="00055AC5"/>
    <w:rsid w:val="000600CD"/>
    <w:rsid w:val="000604F5"/>
    <w:rsid w:val="00062998"/>
    <w:rsid w:val="000736C9"/>
    <w:rsid w:val="0007387C"/>
    <w:rsid w:val="0007584D"/>
    <w:rsid w:val="000771BE"/>
    <w:rsid w:val="00091C61"/>
    <w:rsid w:val="00096893"/>
    <w:rsid w:val="00096B47"/>
    <w:rsid w:val="000A0084"/>
    <w:rsid w:val="000A2B96"/>
    <w:rsid w:val="000A596C"/>
    <w:rsid w:val="000A7398"/>
    <w:rsid w:val="000B5086"/>
    <w:rsid w:val="000C16F2"/>
    <w:rsid w:val="000C50AB"/>
    <w:rsid w:val="000C693B"/>
    <w:rsid w:val="000D5C93"/>
    <w:rsid w:val="000E23C4"/>
    <w:rsid w:val="000E2F27"/>
    <w:rsid w:val="000F254D"/>
    <w:rsid w:val="000F5341"/>
    <w:rsid w:val="001002D8"/>
    <w:rsid w:val="00101F0B"/>
    <w:rsid w:val="00107A8A"/>
    <w:rsid w:val="00107BCB"/>
    <w:rsid w:val="00114E91"/>
    <w:rsid w:val="00115B90"/>
    <w:rsid w:val="00122983"/>
    <w:rsid w:val="00125DB4"/>
    <w:rsid w:val="00130D45"/>
    <w:rsid w:val="00132754"/>
    <w:rsid w:val="001334DD"/>
    <w:rsid w:val="001429F4"/>
    <w:rsid w:val="00150F65"/>
    <w:rsid w:val="00151DC5"/>
    <w:rsid w:val="001540CF"/>
    <w:rsid w:val="00163FB4"/>
    <w:rsid w:val="001646F6"/>
    <w:rsid w:val="00164B0B"/>
    <w:rsid w:val="00171CEC"/>
    <w:rsid w:val="001745CA"/>
    <w:rsid w:val="001800A3"/>
    <w:rsid w:val="00180BB3"/>
    <w:rsid w:val="00181E67"/>
    <w:rsid w:val="0018792D"/>
    <w:rsid w:val="00194854"/>
    <w:rsid w:val="00195E82"/>
    <w:rsid w:val="00197107"/>
    <w:rsid w:val="00197312"/>
    <w:rsid w:val="0019771E"/>
    <w:rsid w:val="001A52A5"/>
    <w:rsid w:val="001A5F1A"/>
    <w:rsid w:val="001B1B69"/>
    <w:rsid w:val="001B43AB"/>
    <w:rsid w:val="001C41D2"/>
    <w:rsid w:val="001D184B"/>
    <w:rsid w:val="001D480B"/>
    <w:rsid w:val="001D7DF9"/>
    <w:rsid w:val="001E1D6F"/>
    <w:rsid w:val="001E38A2"/>
    <w:rsid w:val="001E44C7"/>
    <w:rsid w:val="001F215F"/>
    <w:rsid w:val="001F4C68"/>
    <w:rsid w:val="001F6BAD"/>
    <w:rsid w:val="00200467"/>
    <w:rsid w:val="00201FCF"/>
    <w:rsid w:val="002028C0"/>
    <w:rsid w:val="00205C1E"/>
    <w:rsid w:val="0020681C"/>
    <w:rsid w:val="00214440"/>
    <w:rsid w:val="00215D25"/>
    <w:rsid w:val="002160CB"/>
    <w:rsid w:val="00231470"/>
    <w:rsid w:val="002350DC"/>
    <w:rsid w:val="002415C4"/>
    <w:rsid w:val="00247384"/>
    <w:rsid w:val="00251C05"/>
    <w:rsid w:val="002524D4"/>
    <w:rsid w:val="002549A8"/>
    <w:rsid w:val="00256E13"/>
    <w:rsid w:val="0026025E"/>
    <w:rsid w:val="00260E32"/>
    <w:rsid w:val="0026349E"/>
    <w:rsid w:val="00265B71"/>
    <w:rsid w:val="002660BC"/>
    <w:rsid w:val="00276C2E"/>
    <w:rsid w:val="002807E5"/>
    <w:rsid w:val="00281505"/>
    <w:rsid w:val="00281F6D"/>
    <w:rsid w:val="00282157"/>
    <w:rsid w:val="00287F3D"/>
    <w:rsid w:val="00292EF8"/>
    <w:rsid w:val="002946A4"/>
    <w:rsid w:val="00296ECD"/>
    <w:rsid w:val="002A0B0E"/>
    <w:rsid w:val="002A2910"/>
    <w:rsid w:val="002A45C3"/>
    <w:rsid w:val="002A6792"/>
    <w:rsid w:val="002B33EB"/>
    <w:rsid w:val="002B4172"/>
    <w:rsid w:val="002C06E7"/>
    <w:rsid w:val="002C1A19"/>
    <w:rsid w:val="002C3CED"/>
    <w:rsid w:val="002C5CB4"/>
    <w:rsid w:val="002D29FD"/>
    <w:rsid w:val="002D3231"/>
    <w:rsid w:val="002D414C"/>
    <w:rsid w:val="002D5DF2"/>
    <w:rsid w:val="002D7FA3"/>
    <w:rsid w:val="002E4DAC"/>
    <w:rsid w:val="002E6684"/>
    <w:rsid w:val="002E78E4"/>
    <w:rsid w:val="002E7E31"/>
    <w:rsid w:val="002F01ED"/>
    <w:rsid w:val="002F20DC"/>
    <w:rsid w:val="002F7330"/>
    <w:rsid w:val="00301320"/>
    <w:rsid w:val="003069D3"/>
    <w:rsid w:val="003111B2"/>
    <w:rsid w:val="00323789"/>
    <w:rsid w:val="00324DA4"/>
    <w:rsid w:val="0033032F"/>
    <w:rsid w:val="00332921"/>
    <w:rsid w:val="00335F68"/>
    <w:rsid w:val="003360BF"/>
    <w:rsid w:val="0033631D"/>
    <w:rsid w:val="00336420"/>
    <w:rsid w:val="00341B64"/>
    <w:rsid w:val="00341D1E"/>
    <w:rsid w:val="003436C5"/>
    <w:rsid w:val="003508AC"/>
    <w:rsid w:val="00354949"/>
    <w:rsid w:val="003609D7"/>
    <w:rsid w:val="00362D5B"/>
    <w:rsid w:val="00362DC1"/>
    <w:rsid w:val="003635BE"/>
    <w:rsid w:val="00364272"/>
    <w:rsid w:val="003719E6"/>
    <w:rsid w:val="00372272"/>
    <w:rsid w:val="00373C13"/>
    <w:rsid w:val="003812D5"/>
    <w:rsid w:val="0038280F"/>
    <w:rsid w:val="00392A63"/>
    <w:rsid w:val="00393E3E"/>
    <w:rsid w:val="00397F6D"/>
    <w:rsid w:val="003A0F90"/>
    <w:rsid w:val="003A4089"/>
    <w:rsid w:val="003B2BC3"/>
    <w:rsid w:val="003B392B"/>
    <w:rsid w:val="003B446B"/>
    <w:rsid w:val="003C6FDC"/>
    <w:rsid w:val="003D681B"/>
    <w:rsid w:val="003E156F"/>
    <w:rsid w:val="003E5CC5"/>
    <w:rsid w:val="003F21E5"/>
    <w:rsid w:val="00400544"/>
    <w:rsid w:val="00401346"/>
    <w:rsid w:val="00402E4D"/>
    <w:rsid w:val="00412D22"/>
    <w:rsid w:val="004136C5"/>
    <w:rsid w:val="00414BD9"/>
    <w:rsid w:val="00416BA3"/>
    <w:rsid w:val="00417671"/>
    <w:rsid w:val="004178FA"/>
    <w:rsid w:val="00417DA2"/>
    <w:rsid w:val="004225DE"/>
    <w:rsid w:val="004226E9"/>
    <w:rsid w:val="00425A66"/>
    <w:rsid w:val="00427E64"/>
    <w:rsid w:val="00430738"/>
    <w:rsid w:val="004321CB"/>
    <w:rsid w:val="00434CC9"/>
    <w:rsid w:val="00445735"/>
    <w:rsid w:val="004479AA"/>
    <w:rsid w:val="00451CDF"/>
    <w:rsid w:val="00452DE7"/>
    <w:rsid w:val="00453F74"/>
    <w:rsid w:val="004554B8"/>
    <w:rsid w:val="0046224F"/>
    <w:rsid w:val="00462CBA"/>
    <w:rsid w:val="00464BF3"/>
    <w:rsid w:val="00466742"/>
    <w:rsid w:val="00470F6D"/>
    <w:rsid w:val="00474C6A"/>
    <w:rsid w:val="00476E8C"/>
    <w:rsid w:val="0048706B"/>
    <w:rsid w:val="00496DA2"/>
    <w:rsid w:val="004A6ABE"/>
    <w:rsid w:val="004B2624"/>
    <w:rsid w:val="004B385A"/>
    <w:rsid w:val="004C0397"/>
    <w:rsid w:val="004C0B1B"/>
    <w:rsid w:val="004C5D08"/>
    <w:rsid w:val="004C7AE9"/>
    <w:rsid w:val="004D03EE"/>
    <w:rsid w:val="004D7CBE"/>
    <w:rsid w:val="004E442E"/>
    <w:rsid w:val="004E54C3"/>
    <w:rsid w:val="004F3F3C"/>
    <w:rsid w:val="004F6371"/>
    <w:rsid w:val="005052EC"/>
    <w:rsid w:val="0050550F"/>
    <w:rsid w:val="00516571"/>
    <w:rsid w:val="005275B0"/>
    <w:rsid w:val="005308EB"/>
    <w:rsid w:val="005327E5"/>
    <w:rsid w:val="00533F65"/>
    <w:rsid w:val="0053464C"/>
    <w:rsid w:val="00541159"/>
    <w:rsid w:val="00546FE3"/>
    <w:rsid w:val="005501B1"/>
    <w:rsid w:val="00553BA1"/>
    <w:rsid w:val="005567E0"/>
    <w:rsid w:val="0056238C"/>
    <w:rsid w:val="00563921"/>
    <w:rsid w:val="005648AF"/>
    <w:rsid w:val="00566851"/>
    <w:rsid w:val="005672E6"/>
    <w:rsid w:val="00577E65"/>
    <w:rsid w:val="0059291C"/>
    <w:rsid w:val="00594E12"/>
    <w:rsid w:val="00596504"/>
    <w:rsid w:val="005A7AAB"/>
    <w:rsid w:val="005B22D7"/>
    <w:rsid w:val="005B238B"/>
    <w:rsid w:val="005B7822"/>
    <w:rsid w:val="005C400D"/>
    <w:rsid w:val="005C4AA9"/>
    <w:rsid w:val="005C503A"/>
    <w:rsid w:val="005D2441"/>
    <w:rsid w:val="005D25F1"/>
    <w:rsid w:val="005D2BB9"/>
    <w:rsid w:val="005E220E"/>
    <w:rsid w:val="005E4032"/>
    <w:rsid w:val="005F12D1"/>
    <w:rsid w:val="005F2769"/>
    <w:rsid w:val="00607D09"/>
    <w:rsid w:val="00607FDE"/>
    <w:rsid w:val="00614C57"/>
    <w:rsid w:val="00616655"/>
    <w:rsid w:val="00616FBE"/>
    <w:rsid w:val="00617AE9"/>
    <w:rsid w:val="00622050"/>
    <w:rsid w:val="006232D0"/>
    <w:rsid w:val="0062644D"/>
    <w:rsid w:val="00626616"/>
    <w:rsid w:val="006325F5"/>
    <w:rsid w:val="006334AA"/>
    <w:rsid w:val="00633639"/>
    <w:rsid w:val="00642205"/>
    <w:rsid w:val="0064475B"/>
    <w:rsid w:val="00647807"/>
    <w:rsid w:val="00667426"/>
    <w:rsid w:val="00667DF4"/>
    <w:rsid w:val="006739BC"/>
    <w:rsid w:val="00680158"/>
    <w:rsid w:val="006913D2"/>
    <w:rsid w:val="006957D8"/>
    <w:rsid w:val="006A1A68"/>
    <w:rsid w:val="006A2DE1"/>
    <w:rsid w:val="006A5F51"/>
    <w:rsid w:val="006A7075"/>
    <w:rsid w:val="006B2F24"/>
    <w:rsid w:val="006B4EB3"/>
    <w:rsid w:val="006B7466"/>
    <w:rsid w:val="006C12C8"/>
    <w:rsid w:val="006C7CB5"/>
    <w:rsid w:val="006D5BDA"/>
    <w:rsid w:val="006D7E12"/>
    <w:rsid w:val="006F55CA"/>
    <w:rsid w:val="00701A95"/>
    <w:rsid w:val="00703E5B"/>
    <w:rsid w:val="00706B35"/>
    <w:rsid w:val="007070FD"/>
    <w:rsid w:val="00707D3A"/>
    <w:rsid w:val="00717EF2"/>
    <w:rsid w:val="00734E09"/>
    <w:rsid w:val="00740C3C"/>
    <w:rsid w:val="007410FD"/>
    <w:rsid w:val="00742701"/>
    <w:rsid w:val="007456FD"/>
    <w:rsid w:val="00745741"/>
    <w:rsid w:val="00745D4D"/>
    <w:rsid w:val="00746831"/>
    <w:rsid w:val="00746EEB"/>
    <w:rsid w:val="007543F6"/>
    <w:rsid w:val="00754E01"/>
    <w:rsid w:val="00755819"/>
    <w:rsid w:val="00757B23"/>
    <w:rsid w:val="00757F36"/>
    <w:rsid w:val="007639DD"/>
    <w:rsid w:val="00770002"/>
    <w:rsid w:val="00770CD7"/>
    <w:rsid w:val="007733CE"/>
    <w:rsid w:val="007740B5"/>
    <w:rsid w:val="007743D3"/>
    <w:rsid w:val="007808F3"/>
    <w:rsid w:val="007849F4"/>
    <w:rsid w:val="00784F76"/>
    <w:rsid w:val="007854CD"/>
    <w:rsid w:val="00785C31"/>
    <w:rsid w:val="00787225"/>
    <w:rsid w:val="00791B0C"/>
    <w:rsid w:val="007960EE"/>
    <w:rsid w:val="007A7E8D"/>
    <w:rsid w:val="007B0738"/>
    <w:rsid w:val="007B567F"/>
    <w:rsid w:val="007D0E64"/>
    <w:rsid w:val="007D4C47"/>
    <w:rsid w:val="007E2A4C"/>
    <w:rsid w:val="007F2C96"/>
    <w:rsid w:val="007F33D4"/>
    <w:rsid w:val="007F5DC2"/>
    <w:rsid w:val="007F6837"/>
    <w:rsid w:val="007F726C"/>
    <w:rsid w:val="007F7EDC"/>
    <w:rsid w:val="008062C5"/>
    <w:rsid w:val="00810715"/>
    <w:rsid w:val="00810A29"/>
    <w:rsid w:val="00811C43"/>
    <w:rsid w:val="00813091"/>
    <w:rsid w:val="00813818"/>
    <w:rsid w:val="00820F66"/>
    <w:rsid w:val="00822E8A"/>
    <w:rsid w:val="008235E8"/>
    <w:rsid w:val="008349D8"/>
    <w:rsid w:val="00836890"/>
    <w:rsid w:val="00842480"/>
    <w:rsid w:val="00855A7B"/>
    <w:rsid w:val="00856EDD"/>
    <w:rsid w:val="00863CB5"/>
    <w:rsid w:val="00864C5F"/>
    <w:rsid w:val="00866640"/>
    <w:rsid w:val="00867EB1"/>
    <w:rsid w:val="00870B2F"/>
    <w:rsid w:val="008743F1"/>
    <w:rsid w:val="00883ADA"/>
    <w:rsid w:val="00885E21"/>
    <w:rsid w:val="00886930"/>
    <w:rsid w:val="00886CCF"/>
    <w:rsid w:val="00890039"/>
    <w:rsid w:val="008950D5"/>
    <w:rsid w:val="008A3CBB"/>
    <w:rsid w:val="008A662B"/>
    <w:rsid w:val="008A6BEC"/>
    <w:rsid w:val="008B058F"/>
    <w:rsid w:val="008B0E64"/>
    <w:rsid w:val="008B1538"/>
    <w:rsid w:val="008B4D69"/>
    <w:rsid w:val="008B5AAC"/>
    <w:rsid w:val="008C1A0D"/>
    <w:rsid w:val="008C4818"/>
    <w:rsid w:val="008C685C"/>
    <w:rsid w:val="008D4F9B"/>
    <w:rsid w:val="008D59D4"/>
    <w:rsid w:val="008E4662"/>
    <w:rsid w:val="008E70CA"/>
    <w:rsid w:val="008F2AE1"/>
    <w:rsid w:val="008F43D1"/>
    <w:rsid w:val="008F6B46"/>
    <w:rsid w:val="00900106"/>
    <w:rsid w:val="009128B3"/>
    <w:rsid w:val="00913BEA"/>
    <w:rsid w:val="00914484"/>
    <w:rsid w:val="00922EDF"/>
    <w:rsid w:val="00925C93"/>
    <w:rsid w:val="00926432"/>
    <w:rsid w:val="00927B58"/>
    <w:rsid w:val="0093138F"/>
    <w:rsid w:val="0093288E"/>
    <w:rsid w:val="00932A8F"/>
    <w:rsid w:val="00933404"/>
    <w:rsid w:val="00941560"/>
    <w:rsid w:val="00943340"/>
    <w:rsid w:val="00947FA5"/>
    <w:rsid w:val="0095003F"/>
    <w:rsid w:val="00962F68"/>
    <w:rsid w:val="0096745D"/>
    <w:rsid w:val="0097219A"/>
    <w:rsid w:val="00982020"/>
    <w:rsid w:val="00982CEF"/>
    <w:rsid w:val="009848F2"/>
    <w:rsid w:val="009902F4"/>
    <w:rsid w:val="00994A05"/>
    <w:rsid w:val="00994D6B"/>
    <w:rsid w:val="009A4835"/>
    <w:rsid w:val="009B02A3"/>
    <w:rsid w:val="009C2010"/>
    <w:rsid w:val="009C4022"/>
    <w:rsid w:val="009C6B67"/>
    <w:rsid w:val="009D0521"/>
    <w:rsid w:val="009D0E30"/>
    <w:rsid w:val="009D3A6F"/>
    <w:rsid w:val="009D479A"/>
    <w:rsid w:val="009D6661"/>
    <w:rsid w:val="009D7165"/>
    <w:rsid w:val="009D76D2"/>
    <w:rsid w:val="009E23F3"/>
    <w:rsid w:val="009E690F"/>
    <w:rsid w:val="009F28A0"/>
    <w:rsid w:val="009F68F7"/>
    <w:rsid w:val="00A1065E"/>
    <w:rsid w:val="00A110F9"/>
    <w:rsid w:val="00A1240E"/>
    <w:rsid w:val="00A12967"/>
    <w:rsid w:val="00A12B66"/>
    <w:rsid w:val="00A138D7"/>
    <w:rsid w:val="00A168C4"/>
    <w:rsid w:val="00A17B32"/>
    <w:rsid w:val="00A23B91"/>
    <w:rsid w:val="00A36643"/>
    <w:rsid w:val="00A370E2"/>
    <w:rsid w:val="00A45249"/>
    <w:rsid w:val="00A45CB2"/>
    <w:rsid w:val="00A468DC"/>
    <w:rsid w:val="00A46E86"/>
    <w:rsid w:val="00A528F3"/>
    <w:rsid w:val="00A53732"/>
    <w:rsid w:val="00A552C4"/>
    <w:rsid w:val="00A56CDE"/>
    <w:rsid w:val="00A6135E"/>
    <w:rsid w:val="00A61854"/>
    <w:rsid w:val="00A6613B"/>
    <w:rsid w:val="00A667EE"/>
    <w:rsid w:val="00A72C83"/>
    <w:rsid w:val="00A77727"/>
    <w:rsid w:val="00A80BE1"/>
    <w:rsid w:val="00A8330C"/>
    <w:rsid w:val="00A86D67"/>
    <w:rsid w:val="00A90561"/>
    <w:rsid w:val="00A9260A"/>
    <w:rsid w:val="00AA44B5"/>
    <w:rsid w:val="00AB3AE7"/>
    <w:rsid w:val="00AB7DE6"/>
    <w:rsid w:val="00AC7913"/>
    <w:rsid w:val="00AC7BF3"/>
    <w:rsid w:val="00AD2AE9"/>
    <w:rsid w:val="00AD785D"/>
    <w:rsid w:val="00AE1F85"/>
    <w:rsid w:val="00AF02EA"/>
    <w:rsid w:val="00AF1114"/>
    <w:rsid w:val="00AF3380"/>
    <w:rsid w:val="00AF7D8E"/>
    <w:rsid w:val="00B027D1"/>
    <w:rsid w:val="00B033BC"/>
    <w:rsid w:val="00B0708D"/>
    <w:rsid w:val="00B07E02"/>
    <w:rsid w:val="00B10CED"/>
    <w:rsid w:val="00B12059"/>
    <w:rsid w:val="00B149BD"/>
    <w:rsid w:val="00B14C45"/>
    <w:rsid w:val="00B214D7"/>
    <w:rsid w:val="00B24C67"/>
    <w:rsid w:val="00B367C1"/>
    <w:rsid w:val="00B453CE"/>
    <w:rsid w:val="00B469F2"/>
    <w:rsid w:val="00B53A9E"/>
    <w:rsid w:val="00B57452"/>
    <w:rsid w:val="00B60916"/>
    <w:rsid w:val="00B6419A"/>
    <w:rsid w:val="00B64584"/>
    <w:rsid w:val="00B72A9E"/>
    <w:rsid w:val="00B80A7C"/>
    <w:rsid w:val="00B811A3"/>
    <w:rsid w:val="00B817CF"/>
    <w:rsid w:val="00B848B1"/>
    <w:rsid w:val="00B910C8"/>
    <w:rsid w:val="00BA503B"/>
    <w:rsid w:val="00BB0078"/>
    <w:rsid w:val="00BB5183"/>
    <w:rsid w:val="00BB6BD5"/>
    <w:rsid w:val="00BC3E12"/>
    <w:rsid w:val="00BC57E4"/>
    <w:rsid w:val="00BC60EE"/>
    <w:rsid w:val="00BD2EA4"/>
    <w:rsid w:val="00BD4DA7"/>
    <w:rsid w:val="00BD5DF7"/>
    <w:rsid w:val="00BE1ABB"/>
    <w:rsid w:val="00BE731C"/>
    <w:rsid w:val="00BF1316"/>
    <w:rsid w:val="00BF44A7"/>
    <w:rsid w:val="00C025EB"/>
    <w:rsid w:val="00C04DF4"/>
    <w:rsid w:val="00C051F5"/>
    <w:rsid w:val="00C05871"/>
    <w:rsid w:val="00C15C34"/>
    <w:rsid w:val="00C16382"/>
    <w:rsid w:val="00C21EFD"/>
    <w:rsid w:val="00C22525"/>
    <w:rsid w:val="00C25E10"/>
    <w:rsid w:val="00C327DF"/>
    <w:rsid w:val="00C32A69"/>
    <w:rsid w:val="00C36740"/>
    <w:rsid w:val="00C43441"/>
    <w:rsid w:val="00C440C2"/>
    <w:rsid w:val="00C47221"/>
    <w:rsid w:val="00C47B9A"/>
    <w:rsid w:val="00C56538"/>
    <w:rsid w:val="00C5684B"/>
    <w:rsid w:val="00C57690"/>
    <w:rsid w:val="00C72DFB"/>
    <w:rsid w:val="00C764D5"/>
    <w:rsid w:val="00C82890"/>
    <w:rsid w:val="00C84C2F"/>
    <w:rsid w:val="00C87367"/>
    <w:rsid w:val="00CA001C"/>
    <w:rsid w:val="00CA1199"/>
    <w:rsid w:val="00CA21DA"/>
    <w:rsid w:val="00CA2BB2"/>
    <w:rsid w:val="00CA7FFA"/>
    <w:rsid w:val="00CB1552"/>
    <w:rsid w:val="00CB58DC"/>
    <w:rsid w:val="00CC03AA"/>
    <w:rsid w:val="00CC04A2"/>
    <w:rsid w:val="00CC07F8"/>
    <w:rsid w:val="00CC3E0D"/>
    <w:rsid w:val="00CD18DF"/>
    <w:rsid w:val="00CD5605"/>
    <w:rsid w:val="00CD74E8"/>
    <w:rsid w:val="00CE0383"/>
    <w:rsid w:val="00CE217F"/>
    <w:rsid w:val="00CE7537"/>
    <w:rsid w:val="00CF0E98"/>
    <w:rsid w:val="00CF1EA4"/>
    <w:rsid w:val="00CF74EC"/>
    <w:rsid w:val="00D0043D"/>
    <w:rsid w:val="00D02EA3"/>
    <w:rsid w:val="00D07C01"/>
    <w:rsid w:val="00D17E3B"/>
    <w:rsid w:val="00D20263"/>
    <w:rsid w:val="00D21BA9"/>
    <w:rsid w:val="00D22B5A"/>
    <w:rsid w:val="00D24030"/>
    <w:rsid w:val="00D33858"/>
    <w:rsid w:val="00D36B12"/>
    <w:rsid w:val="00D40645"/>
    <w:rsid w:val="00D42278"/>
    <w:rsid w:val="00D42803"/>
    <w:rsid w:val="00D50412"/>
    <w:rsid w:val="00D52A20"/>
    <w:rsid w:val="00D5468B"/>
    <w:rsid w:val="00D551B9"/>
    <w:rsid w:val="00D5596B"/>
    <w:rsid w:val="00D55B9F"/>
    <w:rsid w:val="00D56539"/>
    <w:rsid w:val="00D566BC"/>
    <w:rsid w:val="00D60C7A"/>
    <w:rsid w:val="00D617D8"/>
    <w:rsid w:val="00D65CAD"/>
    <w:rsid w:val="00D66C5D"/>
    <w:rsid w:val="00D66ED0"/>
    <w:rsid w:val="00D84BE5"/>
    <w:rsid w:val="00D90731"/>
    <w:rsid w:val="00DA4E5F"/>
    <w:rsid w:val="00DB4002"/>
    <w:rsid w:val="00DB4976"/>
    <w:rsid w:val="00DB4AE0"/>
    <w:rsid w:val="00DB7B7D"/>
    <w:rsid w:val="00DC3898"/>
    <w:rsid w:val="00DD3D5B"/>
    <w:rsid w:val="00DD4ED3"/>
    <w:rsid w:val="00DD7572"/>
    <w:rsid w:val="00DE293F"/>
    <w:rsid w:val="00DE29A6"/>
    <w:rsid w:val="00DE6CE1"/>
    <w:rsid w:val="00DF0510"/>
    <w:rsid w:val="00DF0DBE"/>
    <w:rsid w:val="00DF13A1"/>
    <w:rsid w:val="00DF1E35"/>
    <w:rsid w:val="00DF2FB4"/>
    <w:rsid w:val="00E02792"/>
    <w:rsid w:val="00E05CC8"/>
    <w:rsid w:val="00E12E41"/>
    <w:rsid w:val="00E14513"/>
    <w:rsid w:val="00E1477C"/>
    <w:rsid w:val="00E16CB3"/>
    <w:rsid w:val="00E23375"/>
    <w:rsid w:val="00E364ED"/>
    <w:rsid w:val="00E43F28"/>
    <w:rsid w:val="00E5025A"/>
    <w:rsid w:val="00E5642A"/>
    <w:rsid w:val="00E62979"/>
    <w:rsid w:val="00E64A7C"/>
    <w:rsid w:val="00E66E69"/>
    <w:rsid w:val="00E73C1A"/>
    <w:rsid w:val="00E75785"/>
    <w:rsid w:val="00E771C1"/>
    <w:rsid w:val="00E8137F"/>
    <w:rsid w:val="00E817C0"/>
    <w:rsid w:val="00E94FB9"/>
    <w:rsid w:val="00E9559E"/>
    <w:rsid w:val="00EA42AA"/>
    <w:rsid w:val="00EB31D3"/>
    <w:rsid w:val="00EB616B"/>
    <w:rsid w:val="00EB6346"/>
    <w:rsid w:val="00EB6EB5"/>
    <w:rsid w:val="00EB7BC4"/>
    <w:rsid w:val="00EC01B1"/>
    <w:rsid w:val="00EC0855"/>
    <w:rsid w:val="00EC193B"/>
    <w:rsid w:val="00ED29B0"/>
    <w:rsid w:val="00ED3556"/>
    <w:rsid w:val="00ED3BDA"/>
    <w:rsid w:val="00EE3B7E"/>
    <w:rsid w:val="00EE6A5A"/>
    <w:rsid w:val="00EF1750"/>
    <w:rsid w:val="00EF3243"/>
    <w:rsid w:val="00EF32B6"/>
    <w:rsid w:val="00EF4E7A"/>
    <w:rsid w:val="00F04049"/>
    <w:rsid w:val="00F115BF"/>
    <w:rsid w:val="00F12BC6"/>
    <w:rsid w:val="00F133C5"/>
    <w:rsid w:val="00F244BF"/>
    <w:rsid w:val="00F26CCF"/>
    <w:rsid w:val="00F27400"/>
    <w:rsid w:val="00F31EA8"/>
    <w:rsid w:val="00F32081"/>
    <w:rsid w:val="00F43024"/>
    <w:rsid w:val="00F463C7"/>
    <w:rsid w:val="00F5081D"/>
    <w:rsid w:val="00F5759C"/>
    <w:rsid w:val="00F605AB"/>
    <w:rsid w:val="00F61060"/>
    <w:rsid w:val="00F6136D"/>
    <w:rsid w:val="00F6402D"/>
    <w:rsid w:val="00F645D6"/>
    <w:rsid w:val="00F77123"/>
    <w:rsid w:val="00F87A09"/>
    <w:rsid w:val="00F9397A"/>
    <w:rsid w:val="00FA03BC"/>
    <w:rsid w:val="00FA394E"/>
    <w:rsid w:val="00FA6A4A"/>
    <w:rsid w:val="00FB037F"/>
    <w:rsid w:val="00FB126F"/>
    <w:rsid w:val="00FB3213"/>
    <w:rsid w:val="00FB4A7F"/>
    <w:rsid w:val="00FB55C5"/>
    <w:rsid w:val="00FB6DC9"/>
    <w:rsid w:val="00FB7056"/>
    <w:rsid w:val="00FB70FF"/>
    <w:rsid w:val="00FC0610"/>
    <w:rsid w:val="00FC3A4D"/>
    <w:rsid w:val="00FC48EF"/>
    <w:rsid w:val="00FD1453"/>
    <w:rsid w:val="00FE1F78"/>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docId w15:val="{94B542A8-417E-4554-90B8-9950302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9"/>
      </w:numPr>
      <w:spacing w:before="120" w:after="120" w:line="280" w:lineRule="exact"/>
      <w:contextualSpacing/>
      <w:jc w:val="both"/>
    </w:pPr>
    <w:rPr>
      <w:sz w:val="22"/>
    </w:rPr>
  </w:style>
  <w:style w:type="paragraph" w:customStyle="1" w:styleId="Arabiclist">
    <w:name w:val="Arabic list"/>
    <w:basedOn w:val="Normale"/>
    <w:rsid w:val="002F7330"/>
    <w:pPr>
      <w:numPr>
        <w:numId w:val="10"/>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2"/>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2028C0"/>
    <w:pPr>
      <w:ind w:left="720"/>
      <w:contextualSpacing/>
    </w:pPr>
  </w:style>
  <w:style w:type="character" w:styleId="Rimandocommento">
    <w:name w:val="annotation reference"/>
    <w:basedOn w:val="Carpredefinitoparagrafo"/>
    <w:uiPriority w:val="99"/>
    <w:semiHidden/>
    <w:unhideWhenUsed/>
    <w:rsid w:val="009C2010"/>
    <w:rPr>
      <w:sz w:val="16"/>
      <w:szCs w:val="16"/>
    </w:rPr>
  </w:style>
  <w:style w:type="paragraph" w:styleId="Testocommento">
    <w:name w:val="annotation text"/>
    <w:basedOn w:val="Normale"/>
    <w:link w:val="TestocommentoCarattere"/>
    <w:uiPriority w:val="99"/>
    <w:semiHidden/>
    <w:unhideWhenUsed/>
    <w:rsid w:val="009C2010"/>
    <w:pPr>
      <w:spacing w:line="240" w:lineRule="auto"/>
    </w:pPr>
    <w:rPr>
      <w:sz w:val="20"/>
    </w:rPr>
  </w:style>
  <w:style w:type="character" w:customStyle="1" w:styleId="TestocommentoCarattere">
    <w:name w:val="Testo commento Carattere"/>
    <w:basedOn w:val="Carpredefinitoparagrafo"/>
    <w:link w:val="Testocommento"/>
    <w:uiPriority w:val="99"/>
    <w:semiHidden/>
    <w:rsid w:val="009C2010"/>
  </w:style>
  <w:style w:type="paragraph" w:styleId="Soggettocommento">
    <w:name w:val="annotation subject"/>
    <w:basedOn w:val="Testocommento"/>
    <w:next w:val="Testocommento"/>
    <w:link w:val="SoggettocommentoCarattere"/>
    <w:uiPriority w:val="99"/>
    <w:semiHidden/>
    <w:unhideWhenUsed/>
    <w:rsid w:val="009C2010"/>
    <w:rPr>
      <w:b/>
      <w:bCs/>
    </w:rPr>
  </w:style>
  <w:style w:type="character" w:customStyle="1" w:styleId="SoggettocommentoCarattere">
    <w:name w:val="Soggetto commento Carattere"/>
    <w:basedOn w:val="TestocommentoCarattere"/>
    <w:link w:val="Soggettocommento"/>
    <w:uiPriority w:val="99"/>
    <w:semiHidden/>
    <w:rsid w:val="009C2010"/>
    <w:rPr>
      <w:b/>
      <w:bCs/>
    </w:rPr>
  </w:style>
  <w:style w:type="paragraph" w:styleId="Revisione">
    <w:name w:val="Revision"/>
    <w:hidden/>
    <w:uiPriority w:val="99"/>
    <w:semiHidden/>
    <w:rsid w:val="00195E82"/>
    <w:rPr>
      <w:sz w:val="22"/>
    </w:rPr>
  </w:style>
  <w:style w:type="character" w:customStyle="1" w:styleId="Menzionenonrisolta2">
    <w:name w:val="Menzione non risolta2"/>
    <w:basedOn w:val="Carpredefinitoparagrafo"/>
    <w:uiPriority w:val="99"/>
    <w:semiHidden/>
    <w:unhideWhenUsed/>
    <w:rsid w:val="002A0B0E"/>
    <w:rPr>
      <w:color w:val="605E5C"/>
      <w:shd w:val="clear" w:color="auto" w:fill="E1DFDD"/>
    </w:rPr>
  </w:style>
  <w:style w:type="character" w:customStyle="1" w:styleId="Menzionenonrisolta3">
    <w:name w:val="Menzione non risolta3"/>
    <w:basedOn w:val="Carpredefinitoparagrafo"/>
    <w:uiPriority w:val="99"/>
    <w:semiHidden/>
    <w:unhideWhenUsed/>
    <w:rsid w:val="005E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0505">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17820663">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536">
      <w:bodyDiv w:val="1"/>
      <w:marLeft w:val="0"/>
      <w:marRight w:val="0"/>
      <w:marTop w:val="0"/>
      <w:marBottom w:val="0"/>
      <w:divBdr>
        <w:top w:val="none" w:sz="0" w:space="0" w:color="auto"/>
        <w:left w:val="none" w:sz="0" w:space="0" w:color="auto"/>
        <w:bottom w:val="none" w:sz="0" w:space="0" w:color="auto"/>
        <w:right w:val="none" w:sz="0" w:space="0" w:color="auto"/>
      </w:divBdr>
    </w:div>
    <w:div w:id="1618682684">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mapr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140/RG.2.1.4872.66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wasman.2007.02.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2800/6309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jclepro.2016.09.1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6E79-ACD1-443D-A8CA-24F1E112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TotalTime>
  <Pages>8</Pages>
  <Words>2549</Words>
  <Characters>14530</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Company> </Company>
  <LinksUpToDate>false</LinksUpToDate>
  <CharactersWithSpaces>17045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Scrucca</dc:creator>
  <cp:lastModifiedBy>Flavio Scrucca</cp:lastModifiedBy>
  <cp:revision>3</cp:revision>
  <cp:lastPrinted>2015-09-03T03:20:00Z</cp:lastPrinted>
  <dcterms:created xsi:type="dcterms:W3CDTF">2022-06-20T17:39:00Z</dcterms:created>
  <dcterms:modified xsi:type="dcterms:W3CDTF">2022-06-21T18:15:00Z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