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38DBE93" w:rsidR="009848F2" w:rsidRDefault="009848F2" w:rsidP="009848F2">
      <w:pPr>
        <w:pStyle w:val="ChapterTitle"/>
        <w:tabs>
          <w:tab w:val="left" w:pos="5812"/>
          <w:tab w:val="left" w:pos="5954"/>
          <w:tab w:val="left" w:pos="6096"/>
          <w:tab w:val="left" w:pos="6237"/>
        </w:tabs>
        <w:spacing w:after="0" w:line="240" w:lineRule="auto"/>
        <w:ind w:left="0" w:right="-28"/>
        <w:jc w:val="left"/>
        <w:rPr>
          <w:color w:val="FF0000"/>
          <w:sz w:val="28"/>
        </w:rPr>
      </w:pPr>
      <w:r>
        <w:rPr>
          <w:sz w:val="28"/>
        </w:rPr>
        <w:t>Chapter N</w:t>
      </w:r>
      <w:r w:rsidR="007808F3">
        <w:rPr>
          <w:sz w:val="28"/>
        </w:rPr>
        <w:t xml:space="preserve"> </w:t>
      </w:r>
    </w:p>
    <w:p w14:paraId="6FD4CC90" w14:textId="77777777" w:rsidR="0082615C" w:rsidRDefault="0082615C" w:rsidP="009848F2">
      <w:pPr>
        <w:pStyle w:val="ChapterTitle"/>
        <w:tabs>
          <w:tab w:val="left" w:pos="5812"/>
          <w:tab w:val="left" w:pos="5954"/>
          <w:tab w:val="left" w:pos="6096"/>
          <w:tab w:val="left" w:pos="6237"/>
        </w:tabs>
        <w:spacing w:after="0" w:line="240" w:lineRule="auto"/>
        <w:ind w:left="0" w:right="-28"/>
        <w:jc w:val="left"/>
        <w:rPr>
          <w:sz w:val="28"/>
        </w:rPr>
      </w:pPr>
    </w:p>
    <w:p w14:paraId="4CF469F1" w14:textId="6EFCC748" w:rsidR="001267AF" w:rsidRPr="00E91D76" w:rsidRDefault="00381F24" w:rsidP="001267AF">
      <w:pPr>
        <w:pStyle w:val="ChapterTitle"/>
        <w:tabs>
          <w:tab w:val="left" w:pos="5812"/>
          <w:tab w:val="left" w:pos="5954"/>
          <w:tab w:val="left" w:pos="6096"/>
          <w:tab w:val="left" w:pos="6237"/>
        </w:tabs>
        <w:spacing w:after="0" w:line="240" w:lineRule="auto"/>
        <w:ind w:left="0" w:right="-28"/>
        <w:jc w:val="left"/>
        <w:rPr>
          <w:sz w:val="28"/>
        </w:rPr>
      </w:pPr>
      <w:bookmarkStart w:id="0" w:name="_Hlk107489250"/>
      <w:r w:rsidRPr="00E91D76">
        <w:rPr>
          <w:sz w:val="28"/>
        </w:rPr>
        <w:t xml:space="preserve">A framework for carbon footprint </w:t>
      </w:r>
      <w:r w:rsidR="002125D8" w:rsidRPr="00E91D76">
        <w:rPr>
          <w:sz w:val="28"/>
        </w:rPr>
        <w:t>assessment</w:t>
      </w:r>
      <w:r w:rsidRPr="00E91D76">
        <w:rPr>
          <w:sz w:val="28"/>
        </w:rPr>
        <w:t xml:space="preserve"> in tourism sector</w:t>
      </w:r>
      <w:r w:rsidR="001267AF" w:rsidRPr="00E91D76">
        <w:rPr>
          <w:sz w:val="28"/>
        </w:rPr>
        <w:t xml:space="preserve"> </w:t>
      </w:r>
    </w:p>
    <w:bookmarkEnd w:id="0"/>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40A98F30" w:rsidR="002F7330" w:rsidRPr="00206B2E" w:rsidRDefault="00206B2E" w:rsidP="00D66ED0">
      <w:pPr>
        <w:pStyle w:val="Author"/>
        <w:spacing w:line="276" w:lineRule="auto"/>
        <w:rPr>
          <w:sz w:val="24"/>
          <w:lang w:val="it-IT"/>
        </w:rPr>
      </w:pPr>
      <w:r w:rsidRPr="00206B2E">
        <w:rPr>
          <w:sz w:val="24"/>
          <w:lang w:val="it-IT"/>
        </w:rPr>
        <w:t>Teodoro Gallucci</w:t>
      </w:r>
      <w:r>
        <w:rPr>
          <w:sz w:val="24"/>
          <w:vertAlign w:val="superscript"/>
          <w:lang w:val="it-IT"/>
        </w:rPr>
        <w:t>1</w:t>
      </w:r>
      <w:r w:rsidR="009F68F7" w:rsidRPr="00206B2E">
        <w:rPr>
          <w:sz w:val="24"/>
          <w:lang w:val="it-IT"/>
        </w:rPr>
        <w:t xml:space="preserve">, </w:t>
      </w:r>
      <w:r>
        <w:rPr>
          <w:sz w:val="24"/>
          <w:lang w:val="it-IT"/>
        </w:rPr>
        <w:t>Rossana Strippoli</w:t>
      </w:r>
      <w:r>
        <w:rPr>
          <w:sz w:val="24"/>
          <w:vertAlign w:val="superscript"/>
          <w:lang w:val="it-IT"/>
        </w:rPr>
        <w:t>2</w:t>
      </w:r>
      <w:r w:rsidR="009F68F7" w:rsidRPr="00206B2E">
        <w:rPr>
          <w:sz w:val="24"/>
          <w:lang w:val="it-IT"/>
        </w:rPr>
        <w:t>,</w:t>
      </w:r>
      <w:r>
        <w:rPr>
          <w:sz w:val="24"/>
          <w:lang w:val="it-IT"/>
        </w:rPr>
        <w:t xml:space="preserve"> Giovanni Lagioia</w:t>
      </w:r>
      <w:r>
        <w:rPr>
          <w:sz w:val="24"/>
          <w:vertAlign w:val="superscript"/>
          <w:lang w:val="it-IT"/>
        </w:rPr>
        <w:t>3</w:t>
      </w:r>
      <w:r>
        <w:rPr>
          <w:sz w:val="24"/>
          <w:lang w:val="it-IT"/>
        </w:rPr>
        <w:t>, Carlo Ingrao</w:t>
      </w:r>
      <w:r>
        <w:rPr>
          <w:sz w:val="24"/>
          <w:vertAlign w:val="superscript"/>
          <w:lang w:val="it-IT"/>
        </w:rPr>
        <w:t>4</w:t>
      </w:r>
      <w:r>
        <w:rPr>
          <w:sz w:val="24"/>
          <w:lang w:val="it-IT"/>
        </w:rPr>
        <w:t>, Vera Amicarelli</w:t>
      </w:r>
      <w:r>
        <w:rPr>
          <w:sz w:val="24"/>
          <w:vertAlign w:val="superscript"/>
          <w:lang w:val="it-IT"/>
        </w:rPr>
        <w:t>5</w:t>
      </w:r>
      <w:r>
        <w:rPr>
          <w:sz w:val="24"/>
          <w:lang w:val="it-IT"/>
        </w:rPr>
        <w:t>, Annarita Paiano</w:t>
      </w:r>
      <w:r>
        <w:rPr>
          <w:sz w:val="24"/>
          <w:vertAlign w:val="superscript"/>
          <w:lang w:val="it-IT"/>
        </w:rPr>
        <w:t>6</w:t>
      </w:r>
      <w:r w:rsidR="009F68F7" w:rsidRPr="00206B2E">
        <w:rPr>
          <w:sz w:val="24"/>
          <w:lang w:val="it-IT"/>
        </w:rPr>
        <w:t xml:space="preserve"> </w:t>
      </w:r>
    </w:p>
    <w:p w14:paraId="16DA0DBA" w14:textId="67B9CFA7" w:rsidR="00D07C01" w:rsidRDefault="0058287A" w:rsidP="009848F2">
      <w:pPr>
        <w:pStyle w:val="Affiliation"/>
        <w:spacing w:line="276" w:lineRule="auto"/>
      </w:pPr>
      <w:r>
        <w:rPr>
          <w:sz w:val="24"/>
          <w:vertAlign w:val="superscript"/>
        </w:rPr>
        <w:t>1,2,3,4,5,6</w:t>
      </w:r>
      <w:r w:rsidR="00206B2E" w:rsidRPr="00206B2E">
        <w:t xml:space="preserve"> </w:t>
      </w:r>
      <w:r w:rsidR="00206B2E">
        <w:t xml:space="preserve">Department of Economics, Management and Business Law, University of Bari Aldo Moro, Largo </w:t>
      </w:r>
      <w:proofErr w:type="spellStart"/>
      <w:r w:rsidR="00206B2E">
        <w:t>Abbazia</w:t>
      </w:r>
      <w:proofErr w:type="spellEnd"/>
      <w:r w:rsidR="00206B2E">
        <w:t xml:space="preserve"> Santa </w:t>
      </w:r>
      <w:proofErr w:type="spellStart"/>
      <w:r w:rsidR="00206B2E">
        <w:t>Scolastica</w:t>
      </w:r>
      <w:proofErr w:type="spellEnd"/>
      <w:r w:rsidR="00206B2E">
        <w:t>, 53 – 70124 Bari, Italy</w:t>
      </w:r>
    </w:p>
    <w:p w14:paraId="2181B678" w14:textId="2FCC5E36" w:rsidR="009848F2" w:rsidRPr="00C90141" w:rsidRDefault="002340E9" w:rsidP="009733F7">
      <w:pPr>
        <w:pStyle w:val="Affiliation"/>
        <w:spacing w:line="276" w:lineRule="auto"/>
      </w:pPr>
      <w:hyperlink r:id="rId7" w:history="1">
        <w:r w:rsidR="001C17A9" w:rsidRPr="00C90141">
          <w:rPr>
            <w:rStyle w:val="Collegamentoipertestuale"/>
            <w:color w:val="auto"/>
            <w:u w:val="none"/>
            <w:vertAlign w:val="superscript"/>
          </w:rPr>
          <w:t>1</w:t>
        </w:r>
        <w:r w:rsidR="001C17A9" w:rsidRPr="00C90141">
          <w:rPr>
            <w:rStyle w:val="Collegamentoipertestuale"/>
          </w:rPr>
          <w:t>teodoro.gallucci@uniba.it</w:t>
        </w:r>
      </w:hyperlink>
      <w:r w:rsidR="00022FF1" w:rsidRPr="00C90141">
        <w:t xml:space="preserve"> </w:t>
      </w:r>
      <w:r w:rsidR="00145538" w:rsidRPr="00C90141">
        <w:t>0000-0003-4453-4269</w:t>
      </w:r>
      <w:r w:rsidR="00A12967" w:rsidRPr="00C90141">
        <w:t xml:space="preserve">; </w:t>
      </w:r>
      <w:hyperlink r:id="rId8" w:history="1">
        <w:r w:rsidR="001C17A9" w:rsidRPr="00C90141">
          <w:rPr>
            <w:rStyle w:val="Collegamentoipertestuale"/>
            <w:color w:val="auto"/>
            <w:u w:val="none"/>
            <w:vertAlign w:val="superscript"/>
          </w:rPr>
          <w:t>2</w:t>
        </w:r>
        <w:r w:rsidR="001C17A9" w:rsidRPr="00C90141">
          <w:rPr>
            <w:rStyle w:val="Collegamentoipertestuale"/>
          </w:rPr>
          <w:t>rossana.strippoli@uniba.it</w:t>
        </w:r>
      </w:hyperlink>
      <w:r w:rsidR="00022FF1" w:rsidRPr="00C90141">
        <w:t xml:space="preserve"> </w:t>
      </w:r>
      <w:r w:rsidR="00DD64E3" w:rsidRPr="00C90141">
        <w:t>0000-0002-9780-3672</w:t>
      </w:r>
      <w:r w:rsidR="00145538" w:rsidRPr="00C90141">
        <w:t xml:space="preserve">, </w:t>
      </w:r>
      <w:r w:rsidR="00145538" w:rsidRPr="00C90141">
        <w:rPr>
          <w:vertAlign w:val="superscript"/>
        </w:rPr>
        <w:t>3</w:t>
      </w:r>
      <w:hyperlink r:id="rId9" w:history="1">
        <w:r w:rsidR="001C17A9" w:rsidRPr="00C90141">
          <w:rPr>
            <w:rStyle w:val="Collegamentoipertestuale"/>
          </w:rPr>
          <w:t>giovanni.lagioia@uniba.it</w:t>
        </w:r>
      </w:hyperlink>
      <w:r w:rsidR="00E64886">
        <w:t xml:space="preserve"> </w:t>
      </w:r>
      <w:r w:rsidR="00F842DC" w:rsidRPr="00C90141">
        <w:t>0000-0002-7044-602X</w:t>
      </w:r>
      <w:r w:rsidR="00A12967" w:rsidRPr="00C90141">
        <w:t>;</w:t>
      </w:r>
      <w:r w:rsidR="00341361" w:rsidRPr="00C90141">
        <w:t xml:space="preserve"> </w:t>
      </w:r>
      <w:r w:rsidR="00077203" w:rsidRPr="00C90141">
        <w:rPr>
          <w:vertAlign w:val="superscript"/>
        </w:rPr>
        <w:t>4</w:t>
      </w:r>
      <w:hyperlink r:id="rId10" w:history="1">
        <w:r w:rsidR="001C17A9" w:rsidRPr="00C90141">
          <w:rPr>
            <w:rStyle w:val="Collegamentoipertestuale"/>
          </w:rPr>
          <w:t>carlo.ingrao@uniba.it</w:t>
        </w:r>
      </w:hyperlink>
      <w:r w:rsidR="00077203" w:rsidRPr="00C90141">
        <w:t xml:space="preserve"> </w:t>
      </w:r>
      <w:r w:rsidR="00486657" w:rsidRPr="00C90141">
        <w:t>0000-0002-3359-2458</w:t>
      </w:r>
      <w:r w:rsidR="00077203" w:rsidRPr="00C90141">
        <w:t xml:space="preserve">; </w:t>
      </w:r>
      <w:r w:rsidR="00077203" w:rsidRPr="00C90141">
        <w:rPr>
          <w:vertAlign w:val="superscript"/>
        </w:rPr>
        <w:t>5</w:t>
      </w:r>
      <w:hyperlink r:id="rId11" w:history="1">
        <w:r w:rsidR="001C17A9" w:rsidRPr="00C90141">
          <w:rPr>
            <w:rStyle w:val="Collegamentoipertestuale"/>
          </w:rPr>
          <w:t>vera.amicarelli@uniba.it</w:t>
        </w:r>
      </w:hyperlink>
      <w:r w:rsidR="00077203" w:rsidRPr="00C90141">
        <w:t xml:space="preserve"> </w:t>
      </w:r>
      <w:r w:rsidR="00BE3707" w:rsidRPr="00C90141">
        <w:t>0000-0003-0115-1356</w:t>
      </w:r>
      <w:r w:rsidR="00077203" w:rsidRPr="00C90141">
        <w:t xml:space="preserve">; </w:t>
      </w:r>
      <w:r w:rsidR="005F72C2" w:rsidRPr="00C90141">
        <w:rPr>
          <w:vertAlign w:val="superscript"/>
        </w:rPr>
        <w:t>6</w:t>
      </w:r>
      <w:hyperlink r:id="rId12" w:history="1">
        <w:r w:rsidR="001C17A9" w:rsidRPr="00C90141">
          <w:rPr>
            <w:rStyle w:val="Collegamentoipertestuale"/>
          </w:rPr>
          <w:t>annarita.paiano@uniba.it</w:t>
        </w:r>
      </w:hyperlink>
      <w:r w:rsidR="005F72C2" w:rsidRPr="00C90141">
        <w:t xml:space="preserve"> </w:t>
      </w:r>
      <w:r w:rsidR="005F4D3C" w:rsidRPr="00C90141">
        <w:t>0000-0001-7718-538X.</w:t>
      </w:r>
    </w:p>
    <w:p w14:paraId="0841DE3B" w14:textId="1549051A" w:rsidR="002F7330" w:rsidRPr="005E1CE9" w:rsidRDefault="009848F2" w:rsidP="009848F2">
      <w:pPr>
        <w:pStyle w:val="Affiliation"/>
        <w:spacing w:line="276" w:lineRule="auto"/>
        <w:jc w:val="both"/>
        <w:rPr>
          <w:lang w:val="en-GB"/>
        </w:rPr>
      </w:pPr>
      <w:r w:rsidRPr="005E1CE9">
        <w:rPr>
          <w:lang w:val="en-GB"/>
        </w:rPr>
        <w:t xml:space="preserve">Corresponding author: </w:t>
      </w:r>
      <w:r w:rsidR="00AF07AC" w:rsidRPr="005E1CE9">
        <w:rPr>
          <w:lang w:val="en-GB"/>
        </w:rPr>
        <w:t xml:space="preserve">Rossana </w:t>
      </w:r>
      <w:r w:rsidR="00754F98" w:rsidRPr="005E1CE9">
        <w:rPr>
          <w:lang w:val="en-GB"/>
        </w:rPr>
        <w:t xml:space="preserve">Strippoli, </w:t>
      </w:r>
      <w:hyperlink r:id="rId13" w:history="1">
        <w:r w:rsidR="00047671" w:rsidRPr="005E1CE9">
          <w:rPr>
            <w:rStyle w:val="Collegamentoipertestuale"/>
            <w:lang w:val="en-GB"/>
          </w:rPr>
          <w:t>rossana.strippoli@uniba.it</w:t>
        </w:r>
      </w:hyperlink>
      <w:r w:rsidR="00047671" w:rsidRPr="005E1CE9">
        <w:rPr>
          <w:lang w:val="en-GB"/>
        </w:rPr>
        <w:t>.</w:t>
      </w:r>
    </w:p>
    <w:p w14:paraId="61F73F98" w14:textId="77777777" w:rsidR="007B567F" w:rsidRPr="005E1CE9" w:rsidRDefault="007B567F" w:rsidP="00D66ED0">
      <w:pPr>
        <w:pStyle w:val="Abstract"/>
        <w:tabs>
          <w:tab w:val="left" w:pos="6379"/>
        </w:tabs>
        <w:spacing w:line="276" w:lineRule="auto"/>
        <w:ind w:left="0" w:right="-30"/>
        <w:rPr>
          <w:b/>
          <w:sz w:val="22"/>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4827E38"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30BC1CB8" w14:textId="0280F9E3" w:rsidR="001C7758" w:rsidRPr="002C30CC" w:rsidRDefault="004225DE" w:rsidP="001C7758">
      <w:pPr>
        <w:pStyle w:val="Abstract"/>
        <w:tabs>
          <w:tab w:val="left" w:pos="6379"/>
        </w:tabs>
        <w:spacing w:line="276" w:lineRule="auto"/>
        <w:ind w:left="0" w:right="-30"/>
        <w:rPr>
          <w:snapToGrid/>
          <w:color w:val="FF0000"/>
          <w:sz w:val="22"/>
        </w:rPr>
      </w:pPr>
      <w:r w:rsidRPr="004225DE">
        <w:rPr>
          <w:b/>
          <w:sz w:val="22"/>
        </w:rPr>
        <w:t>Abstract.</w:t>
      </w:r>
      <w:r w:rsidRPr="004225DE">
        <w:rPr>
          <w:sz w:val="22"/>
        </w:rPr>
        <w:t xml:space="preserve"> </w:t>
      </w:r>
      <w:r w:rsidR="002C30CC" w:rsidRPr="002C30CC">
        <w:rPr>
          <w:snapToGrid/>
          <w:sz w:val="22"/>
        </w:rPr>
        <w:t xml:space="preserve">Climate change and global warming are among the most important challenges we face nowadays. For this reason, the greenhouse gas (GHG) emission assessment has become the research topic of many studies. One of the indicators that best allows to determine the environmental impacts of anthropogenic activities is the measurement of the Carbon Footprint (CF). The tourism industry, in this context, is the cause of negative environmental impacts and it represents about 8% of global GHG emissions. Therefore, the purpose of this preliminary study is to provide a framework, through ISO 14064-1:2018 standards, which aims to: a) defining the main environmental pressure in a Mediterranean micro-destination between </w:t>
      </w:r>
      <w:proofErr w:type="spellStart"/>
      <w:r w:rsidR="002C30CC" w:rsidRPr="002C30CC">
        <w:rPr>
          <w:snapToGrid/>
          <w:sz w:val="22"/>
        </w:rPr>
        <w:t>Monopoli</w:t>
      </w:r>
      <w:proofErr w:type="spellEnd"/>
      <w:r w:rsidR="002C30CC" w:rsidRPr="002C30CC">
        <w:rPr>
          <w:snapToGrid/>
          <w:sz w:val="22"/>
        </w:rPr>
        <w:t xml:space="preserve"> (BA) and Fasano (BR) municipalities in Apulia region; b) enhancing and promoting the sustainable tourism growth of this area through the assessment, monitoring, and reduction of the CF of the organizations involved. </w:t>
      </w:r>
      <w:r w:rsidR="007E73BA" w:rsidRPr="005E1CE9">
        <w:rPr>
          <w:snapToGrid/>
          <w:sz w:val="22"/>
        </w:rPr>
        <w:t>Main results show th</w:t>
      </w:r>
      <w:r w:rsidR="007D6A2C" w:rsidRPr="005E1CE9">
        <w:rPr>
          <w:snapToGrid/>
          <w:sz w:val="22"/>
        </w:rPr>
        <w:t>e</w:t>
      </w:r>
      <w:r w:rsidR="007D6A2C" w:rsidRPr="005E1CE9">
        <w:t xml:space="preserve"> </w:t>
      </w:r>
      <w:r w:rsidR="007D6A2C" w:rsidRPr="005E1CE9">
        <w:rPr>
          <w:snapToGrid/>
          <w:sz w:val="22"/>
        </w:rPr>
        <w:t>difficulty in choosing a suitable functional unit for the tourism industry that combine all the organizations that belong to the micro-destination</w:t>
      </w:r>
      <w:r w:rsidR="005373C0" w:rsidRPr="005E1CE9">
        <w:rPr>
          <w:snapToGrid/>
          <w:sz w:val="22"/>
        </w:rPr>
        <w:t xml:space="preserve">, as well as the </w:t>
      </w:r>
      <w:r w:rsidR="004E60DD" w:rsidRPr="005E1CE9">
        <w:rPr>
          <w:snapToGrid/>
          <w:sz w:val="22"/>
        </w:rPr>
        <w:t xml:space="preserve">obstacle in obtaining </w:t>
      </w:r>
      <w:r w:rsidR="002B6BF0" w:rsidRPr="005E1CE9">
        <w:rPr>
          <w:snapToGrid/>
          <w:sz w:val="22"/>
        </w:rPr>
        <w:t xml:space="preserve">accurate </w:t>
      </w:r>
      <w:r w:rsidR="004E60DD" w:rsidRPr="005E1CE9">
        <w:rPr>
          <w:snapToGrid/>
          <w:sz w:val="22"/>
        </w:rPr>
        <w:t>data</w:t>
      </w:r>
      <w:r w:rsidR="00983405" w:rsidRPr="005E1CE9">
        <w:rPr>
          <w:snapToGrid/>
          <w:sz w:val="22"/>
        </w:rPr>
        <w:t>.</w:t>
      </w:r>
      <w:r w:rsidR="004E60DD" w:rsidRPr="005E1CE9">
        <w:rPr>
          <w:snapToGrid/>
          <w:sz w:val="22"/>
        </w:rPr>
        <w:t xml:space="preserve"> </w:t>
      </w:r>
      <w:r w:rsidR="00F71820" w:rsidRPr="005E1CE9">
        <w:rPr>
          <w:snapToGrid/>
          <w:sz w:val="22"/>
        </w:rPr>
        <w:t>The future research study will provide the assessment of GHG emissions of the tourism organizations involved in the examined area</w:t>
      </w:r>
      <w:r w:rsidR="005F462A" w:rsidRPr="005E1CE9">
        <w:rPr>
          <w:snapToGrid/>
          <w:sz w:val="22"/>
        </w:rPr>
        <w:t>.</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15F4E9B7"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B43BE5">
        <w:rPr>
          <w:snapToGrid/>
          <w:sz w:val="22"/>
        </w:rPr>
        <w:t>C</w:t>
      </w:r>
      <w:r w:rsidR="00B43BE5" w:rsidRPr="00B43BE5">
        <w:rPr>
          <w:snapToGrid/>
          <w:sz w:val="22"/>
        </w:rPr>
        <w:t xml:space="preserve">arbon footprint, tourism, low-carbon tourism </w:t>
      </w:r>
      <w:r w:rsidR="004D751F" w:rsidRPr="00B43BE5">
        <w:rPr>
          <w:snapToGrid/>
          <w:sz w:val="22"/>
        </w:rPr>
        <w:t>organizations</w:t>
      </w:r>
      <w:r w:rsidR="00B43BE5">
        <w:rPr>
          <w:snapToGrid/>
          <w:sz w:val="22"/>
        </w:rPr>
        <w:t>.</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EFCD658"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7AE8EF34" w14:textId="3ECBEE69" w:rsidR="008C685C" w:rsidRPr="00B01A8D" w:rsidRDefault="008C685C" w:rsidP="00683E87">
      <w:pPr>
        <w:pStyle w:val="Titolo1"/>
        <w:numPr>
          <w:ilvl w:val="0"/>
          <w:numId w:val="47"/>
        </w:numPr>
        <w:spacing w:before="0" w:after="0" w:line="276" w:lineRule="auto"/>
        <w:rPr>
          <w:snapToGrid w:val="0"/>
          <w:sz w:val="24"/>
          <w:szCs w:val="24"/>
        </w:rPr>
      </w:pPr>
      <w:r w:rsidRPr="00B01A8D">
        <w:rPr>
          <w:snapToGrid w:val="0"/>
          <w:sz w:val="24"/>
          <w:szCs w:val="24"/>
        </w:rPr>
        <w:t>Introduction</w:t>
      </w:r>
    </w:p>
    <w:p w14:paraId="3DD48C1A" w14:textId="24B6649A" w:rsidR="00A948C8" w:rsidRPr="00B01A8D" w:rsidRDefault="00683E87" w:rsidP="00683E87">
      <w:pPr>
        <w:spacing w:line="276" w:lineRule="auto"/>
        <w:rPr>
          <w:sz w:val="24"/>
          <w:szCs w:val="24"/>
        </w:rPr>
      </w:pPr>
      <w:r w:rsidRPr="00683E87">
        <w:rPr>
          <w:sz w:val="24"/>
          <w:szCs w:val="24"/>
        </w:rPr>
        <w:t>Climate change and global warming are among the most important challenges we face nowadays. Carbon Footprint (CF) can be defined as “The quantity of GHGs expressed in terms of CO2-e, emitted into the atmosphere by an individual, organization, process, product, or event from within a specified boundary” (Pandey et al., 2011). It is considered a sustainable development indicator since allows to determine the environmental impacts of anthropogenic activities causing climate change (Rico et al., 2019). In this context, the travel and tourism sector represent about 8% of global greenhouse gas (GHG) emissions (</w:t>
      </w:r>
      <w:proofErr w:type="spellStart"/>
      <w:r w:rsidRPr="00683E87">
        <w:rPr>
          <w:sz w:val="24"/>
          <w:szCs w:val="24"/>
        </w:rPr>
        <w:t>Koçak</w:t>
      </w:r>
      <w:proofErr w:type="spellEnd"/>
      <w:r w:rsidRPr="00683E87">
        <w:rPr>
          <w:sz w:val="24"/>
          <w:szCs w:val="24"/>
        </w:rPr>
        <w:t xml:space="preserve"> et al., 2020). However, this sector generated huge benefits for the economic growth of a country, in fact in 2019, according to the World Travel &amp; Tourism Council (2021), this industry generated 10.4% of global Gross Domestic Product. </w:t>
      </w:r>
      <w:r w:rsidR="004A2559" w:rsidRPr="006C2A31">
        <w:rPr>
          <w:color w:val="000000" w:themeColor="text1"/>
          <w:sz w:val="24"/>
          <w:szCs w:val="24"/>
        </w:rPr>
        <w:t>In accordance with</w:t>
      </w:r>
      <w:r w:rsidR="004A2559" w:rsidRPr="004A2559">
        <w:rPr>
          <w:color w:val="FF0000"/>
          <w:sz w:val="24"/>
          <w:szCs w:val="24"/>
        </w:rPr>
        <w:t xml:space="preserve"> </w:t>
      </w:r>
      <w:proofErr w:type="spellStart"/>
      <w:r w:rsidR="00F63907" w:rsidRPr="00683E87">
        <w:rPr>
          <w:sz w:val="24"/>
          <w:szCs w:val="24"/>
        </w:rPr>
        <w:t>Filimonau</w:t>
      </w:r>
      <w:proofErr w:type="spellEnd"/>
      <w:r w:rsidR="00F63907" w:rsidRPr="00683E87">
        <w:rPr>
          <w:sz w:val="24"/>
          <w:szCs w:val="24"/>
        </w:rPr>
        <w:t xml:space="preserve"> et al.</w:t>
      </w:r>
      <w:r w:rsidR="00F63907">
        <w:rPr>
          <w:sz w:val="24"/>
          <w:szCs w:val="24"/>
        </w:rPr>
        <w:t xml:space="preserve"> (201</w:t>
      </w:r>
      <w:r w:rsidR="00CE04A6">
        <w:rPr>
          <w:sz w:val="24"/>
          <w:szCs w:val="24"/>
        </w:rPr>
        <w:t>3</w:t>
      </w:r>
      <w:r w:rsidR="00F63907">
        <w:rPr>
          <w:sz w:val="24"/>
          <w:szCs w:val="24"/>
        </w:rPr>
        <w:t>)</w:t>
      </w:r>
      <w:r w:rsidR="00F63907" w:rsidRPr="00683E87">
        <w:rPr>
          <w:sz w:val="24"/>
          <w:szCs w:val="24"/>
        </w:rPr>
        <w:t xml:space="preserve"> </w:t>
      </w:r>
      <w:r w:rsidRPr="00683E87">
        <w:rPr>
          <w:sz w:val="24"/>
          <w:szCs w:val="24"/>
        </w:rPr>
        <w:t>there is a need to develop a specific and innovative methodological approach for the CF assessment in the field of tourism, especially when it focuses on a specific territorial destination</w:t>
      </w:r>
      <w:r w:rsidR="00CE04A6">
        <w:rPr>
          <w:sz w:val="24"/>
          <w:szCs w:val="24"/>
        </w:rPr>
        <w:t xml:space="preserve">. </w:t>
      </w:r>
      <w:r w:rsidRPr="00683E87">
        <w:rPr>
          <w:sz w:val="24"/>
          <w:szCs w:val="24"/>
        </w:rPr>
        <w:t xml:space="preserve">There is a body of literature that focuses on estimating the CF of the tourism industry (Sun, 2014; Cai, 2016; </w:t>
      </w:r>
      <w:proofErr w:type="spellStart"/>
      <w:r w:rsidRPr="00683E87">
        <w:rPr>
          <w:sz w:val="24"/>
          <w:szCs w:val="24"/>
        </w:rPr>
        <w:t>Lanzen</w:t>
      </w:r>
      <w:proofErr w:type="spellEnd"/>
      <w:r w:rsidRPr="00683E87">
        <w:rPr>
          <w:sz w:val="24"/>
          <w:szCs w:val="24"/>
        </w:rPr>
        <w:t xml:space="preserve"> et al., 2018; Kitamura et al., 2020; Sun and </w:t>
      </w:r>
      <w:proofErr w:type="spellStart"/>
      <w:r w:rsidRPr="00683E87">
        <w:rPr>
          <w:sz w:val="24"/>
          <w:szCs w:val="24"/>
        </w:rPr>
        <w:t>Drakeman</w:t>
      </w:r>
      <w:proofErr w:type="spellEnd"/>
      <w:r w:rsidRPr="00683E87">
        <w:rPr>
          <w:sz w:val="24"/>
          <w:szCs w:val="24"/>
        </w:rPr>
        <w:t>, 2020) with different calculating methods, but there are few research using ISO 14064</w:t>
      </w:r>
      <w:r w:rsidR="00D95405">
        <w:rPr>
          <w:sz w:val="24"/>
          <w:szCs w:val="24"/>
        </w:rPr>
        <w:t>-1:2018 standards</w:t>
      </w:r>
      <w:r w:rsidRPr="00683E87">
        <w:rPr>
          <w:sz w:val="24"/>
          <w:szCs w:val="24"/>
        </w:rPr>
        <w:t xml:space="preserve"> in tourism as a guide for GHG reporting. This is the main reason to develop a methodological and replicable framework to be adapted to the tourism phenomena in a micro-destination of a Mediterranean site located in Apulia region. Hence, this framework and the assessment of the Carbon Footprint could allow the identified micro-destination to reach a territorial and economic sustainable development, through the adoption of the ISO 14064-1:2018 standards. We choose to assess the CF of this micro-destination as preliminary research because this paper is part of a key output of the European project Cross-border Cooperation Program 2014 - 2020 Interreg V-A Italy – Croatia, named “TAKE IT SLOW - Smart and Slow Tourism Supporting Adriatic Heritage for Tomorrow”, which aims to develop sustainable tourism in a micro-destination in Apulia region (European Union, 2019).</w:t>
      </w:r>
    </w:p>
    <w:p w14:paraId="5CE56D4E" w14:textId="70D4E022" w:rsidR="00C224D1" w:rsidRPr="00DF7BC5" w:rsidRDefault="00E670CE" w:rsidP="00DF7BC5">
      <w:pPr>
        <w:pStyle w:val="Titolo1"/>
        <w:numPr>
          <w:ilvl w:val="0"/>
          <w:numId w:val="47"/>
        </w:numPr>
        <w:spacing w:before="0" w:after="0" w:line="276" w:lineRule="auto"/>
        <w:rPr>
          <w:snapToGrid w:val="0"/>
          <w:sz w:val="24"/>
          <w:szCs w:val="24"/>
        </w:rPr>
      </w:pPr>
      <w:r w:rsidRPr="00DF7BC5">
        <w:rPr>
          <w:snapToGrid w:val="0"/>
          <w:sz w:val="24"/>
          <w:szCs w:val="24"/>
        </w:rPr>
        <w:lastRenderedPageBreak/>
        <w:t>Material and methods</w:t>
      </w:r>
    </w:p>
    <w:p w14:paraId="31A75FD4" w14:textId="2162479E" w:rsidR="00683E87" w:rsidRPr="00DF7BC5" w:rsidRDefault="00DF7BC5" w:rsidP="00DF7BC5">
      <w:pPr>
        <w:spacing w:line="276" w:lineRule="auto"/>
        <w:rPr>
          <w:sz w:val="24"/>
          <w:szCs w:val="24"/>
        </w:rPr>
      </w:pPr>
      <w:r w:rsidRPr="00DF7BC5">
        <w:rPr>
          <w:sz w:val="24"/>
          <w:szCs w:val="24"/>
        </w:rPr>
        <w:t>The framework methodology was based on ISO 14064-1:2018 standards “Specification with guidance at the organization level for quantification and reporting of greenhouse gas emissions and removals” (Wintergreen and Delaney, 2009; ISO 14064-1:2018) and it has been adapted to the tourism sector. According to the ISO 14064</w:t>
      </w:r>
      <w:r w:rsidR="005C03B4">
        <w:rPr>
          <w:sz w:val="24"/>
          <w:szCs w:val="24"/>
        </w:rPr>
        <w:t>-1:2018 standards</w:t>
      </w:r>
      <w:r w:rsidRPr="00DF7BC5">
        <w:rPr>
          <w:sz w:val="24"/>
          <w:szCs w:val="24"/>
        </w:rPr>
        <w:t xml:space="preserve"> and to a recent study by Choudhary et al. (2018), a five-step methodology for GHG quantification and reporting has been defined, as Figure 1 displays.</w:t>
      </w:r>
    </w:p>
    <w:p w14:paraId="590700EF" w14:textId="271346C2" w:rsidR="00D24F11" w:rsidRPr="00B01A8D" w:rsidRDefault="00F86EFC" w:rsidP="00BB43D0">
      <w:pPr>
        <w:spacing w:line="276" w:lineRule="auto"/>
        <w:jc w:val="center"/>
        <w:rPr>
          <w:sz w:val="24"/>
          <w:szCs w:val="24"/>
        </w:rPr>
      </w:pPr>
      <w:r w:rsidRPr="00B01A8D">
        <w:rPr>
          <w:noProof/>
          <w:sz w:val="24"/>
          <w:szCs w:val="24"/>
        </w:rPr>
        <w:drawing>
          <wp:inline distT="0" distB="0" distL="0" distR="0" wp14:anchorId="391A9DAF" wp14:editId="018EE37C">
            <wp:extent cx="3276600" cy="1939141"/>
            <wp:effectExtent l="0" t="0" r="0" b="444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 47"/>
                    <pic:cNvPicPr/>
                  </pic:nvPicPr>
                  <pic:blipFill rotWithShape="1">
                    <a:blip r:embed="rId14">
                      <a:extLst>
                        <a:ext uri="{28A0092B-C50C-407E-A947-70E740481C1C}">
                          <a14:useLocalDpi xmlns:a14="http://schemas.microsoft.com/office/drawing/2010/main" val="0"/>
                        </a:ext>
                      </a:extLst>
                    </a:blip>
                    <a:srcRect l="2649"/>
                    <a:stretch/>
                  </pic:blipFill>
                  <pic:spPr bwMode="auto">
                    <a:xfrm>
                      <a:off x="0" y="0"/>
                      <a:ext cx="3283506" cy="1943228"/>
                    </a:xfrm>
                    <a:prstGeom prst="rect">
                      <a:avLst/>
                    </a:prstGeom>
                    <a:ln>
                      <a:noFill/>
                    </a:ln>
                    <a:extLst>
                      <a:ext uri="{53640926-AAD7-44D8-BBD7-CCE9431645EC}">
                        <a14:shadowObscured xmlns:a14="http://schemas.microsoft.com/office/drawing/2010/main"/>
                      </a:ext>
                    </a:extLst>
                  </pic:spPr>
                </pic:pic>
              </a:graphicData>
            </a:graphic>
          </wp:inline>
        </w:drawing>
      </w:r>
    </w:p>
    <w:p w14:paraId="7CBBADE2" w14:textId="1C594824" w:rsidR="00D24F11" w:rsidRDefault="00D24F11" w:rsidP="00A862D4">
      <w:pPr>
        <w:pStyle w:val="FigureCaption"/>
        <w:spacing w:line="276" w:lineRule="auto"/>
        <w:jc w:val="left"/>
        <w:rPr>
          <w:szCs w:val="18"/>
        </w:rPr>
      </w:pPr>
      <w:r w:rsidRPr="00B01A8D">
        <w:rPr>
          <w:szCs w:val="18"/>
        </w:rPr>
        <w:t xml:space="preserve">Fig. 1. Five-step methodology for GHG </w:t>
      </w:r>
      <w:r w:rsidR="007334C7">
        <w:rPr>
          <w:szCs w:val="18"/>
        </w:rPr>
        <w:t>quantification and reporting</w:t>
      </w:r>
      <w:r w:rsidRPr="00B01A8D">
        <w:rPr>
          <w:szCs w:val="18"/>
        </w:rPr>
        <w:t xml:space="preserve"> in the tourism sector.</w:t>
      </w:r>
    </w:p>
    <w:p w14:paraId="0177EC33" w14:textId="22754B04" w:rsidR="009555AD" w:rsidRDefault="00A862D4" w:rsidP="004719DB">
      <w:pPr>
        <w:pStyle w:val="FigureCaption"/>
        <w:spacing w:line="276" w:lineRule="auto"/>
        <w:jc w:val="left"/>
        <w:rPr>
          <w:szCs w:val="18"/>
        </w:rPr>
      </w:pPr>
      <w:r w:rsidRPr="00A862D4">
        <w:rPr>
          <w:szCs w:val="18"/>
        </w:rPr>
        <w:t xml:space="preserve">Sources: </w:t>
      </w:r>
      <w:r>
        <w:rPr>
          <w:szCs w:val="18"/>
        </w:rPr>
        <w:t xml:space="preserve">personal elaboration of the authors </w:t>
      </w:r>
      <w:r w:rsidR="00AC0149">
        <w:rPr>
          <w:szCs w:val="18"/>
        </w:rPr>
        <w:t xml:space="preserve">based on </w:t>
      </w:r>
      <w:r w:rsidR="00AC0149" w:rsidRPr="00AC0149">
        <w:rPr>
          <w:szCs w:val="18"/>
        </w:rPr>
        <w:t xml:space="preserve">Choudhary et al. (2018) </w:t>
      </w:r>
      <w:r w:rsidR="009D676E">
        <w:rPr>
          <w:szCs w:val="18"/>
        </w:rPr>
        <w:t>research</w:t>
      </w:r>
      <w:r w:rsidR="004719DB">
        <w:rPr>
          <w:szCs w:val="18"/>
        </w:rPr>
        <w:t xml:space="preserve"> and </w:t>
      </w:r>
      <w:r w:rsidR="004719DB" w:rsidRPr="004719DB">
        <w:rPr>
          <w:szCs w:val="18"/>
        </w:rPr>
        <w:t>ISO 14064-1:2018 standards</w:t>
      </w:r>
      <w:r w:rsidR="009D676E">
        <w:rPr>
          <w:szCs w:val="18"/>
        </w:rPr>
        <w:t xml:space="preserve">. </w:t>
      </w:r>
    </w:p>
    <w:p w14:paraId="43B54CDC" w14:textId="77777777" w:rsidR="004719DB" w:rsidRDefault="004719DB" w:rsidP="004719DB">
      <w:pPr>
        <w:pStyle w:val="FigureCaption"/>
        <w:spacing w:line="276" w:lineRule="auto"/>
        <w:jc w:val="left"/>
        <w:rPr>
          <w:sz w:val="24"/>
          <w:szCs w:val="24"/>
        </w:rPr>
      </w:pPr>
    </w:p>
    <w:p w14:paraId="2B23E442" w14:textId="77777777" w:rsidR="002C58F3" w:rsidRPr="002C58F3" w:rsidRDefault="002C58F3" w:rsidP="002C58F3">
      <w:pPr>
        <w:spacing w:line="276" w:lineRule="auto"/>
        <w:rPr>
          <w:sz w:val="24"/>
          <w:szCs w:val="24"/>
          <w:lang w:val="en-GB"/>
        </w:rPr>
      </w:pPr>
      <w:r w:rsidRPr="002C58F3">
        <w:rPr>
          <w:sz w:val="24"/>
          <w:szCs w:val="24"/>
          <w:lang w:val="en-GB"/>
        </w:rPr>
        <w:t xml:space="preserve">The first step concerns the identification of the tourist area and the organizations involved (such as accommodation, food, and beverage, crafts, tourist agencies, rental services, etc.). </w:t>
      </w:r>
    </w:p>
    <w:p w14:paraId="1AF88FB8" w14:textId="77777777" w:rsidR="002C58F3" w:rsidRPr="002C58F3" w:rsidRDefault="002C58F3" w:rsidP="002C58F3">
      <w:pPr>
        <w:spacing w:line="276" w:lineRule="auto"/>
        <w:rPr>
          <w:sz w:val="24"/>
          <w:szCs w:val="24"/>
          <w:lang w:val="en-GB"/>
        </w:rPr>
      </w:pPr>
      <w:r w:rsidRPr="002C58F3">
        <w:rPr>
          <w:sz w:val="24"/>
          <w:szCs w:val="24"/>
          <w:lang w:val="en-GB"/>
        </w:rPr>
        <w:t xml:space="preserve">The second step involves the choice of methodology to quantify the CF and it depends on the dimension of the selected area. Among the different methods used for accounting for CF in the tourism sector, the most widely used are the top-down and the bottom-up approach. The first is based on tourism expenditure, calculated by using secondary data, such as statistical information, and it is considered transparent, not economically expensive, and easy to replicate. This method is preferred for nations or large territories, and it allows CF comparison between tourism and other economic sectors. The second approach is based on tourism activity, calculated by using primary data, such as interviews or questionnaires, and </w:t>
      </w:r>
      <w:r w:rsidRPr="002C58F3">
        <w:rPr>
          <w:sz w:val="24"/>
          <w:szCs w:val="24"/>
          <w:lang w:val="en-GB"/>
        </w:rPr>
        <w:lastRenderedPageBreak/>
        <w:t>it is considered more detailed and accurate, but also more expensive in terms of time and money costs. This method is preferred for regions or small territories.</w:t>
      </w:r>
    </w:p>
    <w:p w14:paraId="4CAE5438" w14:textId="77777777" w:rsidR="002C58F3" w:rsidRPr="002C58F3" w:rsidRDefault="002C58F3" w:rsidP="002C58F3">
      <w:pPr>
        <w:spacing w:line="276" w:lineRule="auto"/>
        <w:rPr>
          <w:sz w:val="24"/>
          <w:szCs w:val="24"/>
          <w:lang w:val="en-GB"/>
        </w:rPr>
      </w:pPr>
      <w:r w:rsidRPr="002C58F3">
        <w:rPr>
          <w:sz w:val="24"/>
          <w:szCs w:val="24"/>
          <w:lang w:val="en-GB"/>
        </w:rPr>
        <w:t xml:space="preserve">Then, the inclusion and exclusion criteria to </w:t>
      </w:r>
      <w:proofErr w:type="spellStart"/>
      <w:r w:rsidRPr="002C58F3">
        <w:rPr>
          <w:sz w:val="24"/>
          <w:szCs w:val="24"/>
          <w:lang w:val="en-GB"/>
        </w:rPr>
        <w:t>analyze</w:t>
      </w:r>
      <w:proofErr w:type="spellEnd"/>
      <w:r w:rsidRPr="002C58F3">
        <w:rPr>
          <w:sz w:val="24"/>
          <w:szCs w:val="24"/>
          <w:lang w:val="en-GB"/>
        </w:rPr>
        <w:t xml:space="preserve"> and quantify the direct and indirect GHG emissions are identified in the third step. The organization shall specify the kind of GHG emissions considered (CO2, CH4, N2O, etc.) and compare the impacts generated by the different gases by converting the quantity of each type of GHG to tons of CO2-e using suitable Global Warming Potential (GWP) index.</w:t>
      </w:r>
    </w:p>
    <w:p w14:paraId="56E1C208" w14:textId="77777777" w:rsidR="002C58F3" w:rsidRPr="002C58F3" w:rsidRDefault="002C58F3" w:rsidP="002C58F3">
      <w:pPr>
        <w:spacing w:line="276" w:lineRule="auto"/>
        <w:rPr>
          <w:sz w:val="24"/>
          <w:szCs w:val="24"/>
          <w:lang w:val="en-GB"/>
        </w:rPr>
      </w:pPr>
      <w:r w:rsidRPr="002C58F3">
        <w:rPr>
          <w:sz w:val="24"/>
          <w:szCs w:val="24"/>
          <w:lang w:val="en-GB"/>
        </w:rPr>
        <w:t>The fourth step concerns the collection of data in an identified period, following the inclusion and exclusion criteria expressed in the previous step.</w:t>
      </w:r>
    </w:p>
    <w:p w14:paraId="2DDD9702" w14:textId="77777777" w:rsidR="002C58F3" w:rsidRPr="002C58F3" w:rsidRDefault="002C58F3" w:rsidP="002C58F3">
      <w:pPr>
        <w:spacing w:line="276" w:lineRule="auto"/>
        <w:rPr>
          <w:sz w:val="24"/>
          <w:szCs w:val="24"/>
          <w:lang w:val="en-GB"/>
        </w:rPr>
      </w:pPr>
      <w:r w:rsidRPr="002C58F3">
        <w:rPr>
          <w:sz w:val="24"/>
          <w:szCs w:val="24"/>
          <w:lang w:val="en-GB"/>
        </w:rPr>
        <w:t xml:space="preserve">Lastly, in the fifth step, the organizational GHG emissions are calculated through the </w:t>
      </w:r>
      <w:proofErr w:type="gramStart"/>
      <w:r w:rsidRPr="002C58F3">
        <w:rPr>
          <w:sz w:val="24"/>
          <w:szCs w:val="24"/>
          <w:lang w:val="en-GB"/>
        </w:rPr>
        <w:t>aforementioned steps</w:t>
      </w:r>
      <w:proofErr w:type="gramEnd"/>
      <w:r w:rsidRPr="002C58F3">
        <w:rPr>
          <w:sz w:val="24"/>
          <w:szCs w:val="24"/>
          <w:lang w:val="en-GB"/>
        </w:rPr>
        <w:t xml:space="preserve">, and the results are shown in a GHG report. </w:t>
      </w:r>
    </w:p>
    <w:p w14:paraId="28F6E2FF" w14:textId="77777777" w:rsidR="002C58F3" w:rsidRPr="002C58F3" w:rsidRDefault="002C58F3" w:rsidP="002C58F3">
      <w:pPr>
        <w:spacing w:line="276" w:lineRule="auto"/>
        <w:rPr>
          <w:sz w:val="24"/>
          <w:szCs w:val="24"/>
          <w:lang w:val="en-GB"/>
        </w:rPr>
      </w:pPr>
      <w:r w:rsidRPr="002C58F3">
        <w:rPr>
          <w:sz w:val="24"/>
          <w:szCs w:val="24"/>
          <w:lang w:val="en-GB"/>
        </w:rPr>
        <w:t>This preliminary study focuses on the first three steps of the proposed framework related to B&amp;Bs and travel agencies included in the considered</w:t>
      </w:r>
    </w:p>
    <w:p w14:paraId="0C203601" w14:textId="1BE31155" w:rsidR="001E59B1" w:rsidRDefault="002C58F3" w:rsidP="002C58F3">
      <w:pPr>
        <w:spacing w:line="276" w:lineRule="auto"/>
        <w:rPr>
          <w:sz w:val="24"/>
          <w:szCs w:val="24"/>
          <w:lang w:val="en-GB"/>
        </w:rPr>
      </w:pPr>
      <w:r w:rsidRPr="002C58F3">
        <w:rPr>
          <w:sz w:val="24"/>
          <w:szCs w:val="24"/>
          <w:lang w:val="en-GB"/>
        </w:rPr>
        <w:t>Apulia micro-destination applying a bottom-up approach.</w:t>
      </w:r>
    </w:p>
    <w:p w14:paraId="711CB8B3" w14:textId="77777777" w:rsidR="002C58F3" w:rsidRPr="00B01A8D" w:rsidRDefault="002C58F3" w:rsidP="008356A4">
      <w:pPr>
        <w:spacing w:line="276" w:lineRule="auto"/>
        <w:rPr>
          <w:sz w:val="24"/>
          <w:szCs w:val="24"/>
          <w:lang w:val="en-GB"/>
        </w:rPr>
      </w:pPr>
    </w:p>
    <w:p w14:paraId="239C21C4" w14:textId="6A41B80D" w:rsidR="00E670CE" w:rsidRPr="00B01A8D" w:rsidRDefault="00E670CE" w:rsidP="008356A4">
      <w:pPr>
        <w:pStyle w:val="Titolo1"/>
        <w:numPr>
          <w:ilvl w:val="0"/>
          <w:numId w:val="47"/>
        </w:numPr>
        <w:spacing w:before="0" w:after="0" w:line="276" w:lineRule="auto"/>
        <w:rPr>
          <w:snapToGrid w:val="0"/>
          <w:sz w:val="24"/>
          <w:szCs w:val="24"/>
        </w:rPr>
      </w:pPr>
      <w:r w:rsidRPr="00B01A8D">
        <w:rPr>
          <w:snapToGrid w:val="0"/>
          <w:sz w:val="24"/>
          <w:szCs w:val="24"/>
        </w:rPr>
        <w:t xml:space="preserve">Results and discussions </w:t>
      </w:r>
    </w:p>
    <w:p w14:paraId="76986E45" w14:textId="67053B75" w:rsidR="00014CAF" w:rsidRPr="00014CAF" w:rsidRDefault="00014CAF" w:rsidP="008356A4">
      <w:pPr>
        <w:spacing w:line="276" w:lineRule="auto"/>
        <w:rPr>
          <w:sz w:val="24"/>
          <w:szCs w:val="24"/>
        </w:rPr>
      </w:pPr>
      <w:r w:rsidRPr="00014CAF">
        <w:rPr>
          <w:sz w:val="24"/>
          <w:szCs w:val="24"/>
        </w:rPr>
        <w:t xml:space="preserve">The tourist area identified in the European project is a Mediterranean micro-destination delimited by the area between </w:t>
      </w:r>
      <w:proofErr w:type="spellStart"/>
      <w:r w:rsidRPr="00014CAF">
        <w:rPr>
          <w:sz w:val="24"/>
          <w:szCs w:val="24"/>
        </w:rPr>
        <w:t>Monopoli</w:t>
      </w:r>
      <w:proofErr w:type="spellEnd"/>
      <w:r w:rsidRPr="00014CAF">
        <w:rPr>
          <w:sz w:val="24"/>
          <w:szCs w:val="24"/>
        </w:rPr>
        <w:t xml:space="preserve"> (BA) and Fasano (BR) municipalities in Apulia region. According to the demographic report provided by ISTAT (2020), </w:t>
      </w:r>
      <w:proofErr w:type="spellStart"/>
      <w:r w:rsidRPr="00014CAF">
        <w:rPr>
          <w:sz w:val="24"/>
          <w:szCs w:val="24"/>
        </w:rPr>
        <w:t>Monopoli</w:t>
      </w:r>
      <w:proofErr w:type="spellEnd"/>
      <w:r w:rsidRPr="00014CAF">
        <w:rPr>
          <w:sz w:val="24"/>
          <w:szCs w:val="24"/>
        </w:rPr>
        <w:t xml:space="preserve"> has a population of 48,101 inhabitants and Fasano of 39,025. The area considered is about 157 </w:t>
      </w:r>
      <w:r w:rsidR="004E1F00" w:rsidRPr="00014CAF">
        <w:rPr>
          <w:sz w:val="24"/>
          <w:szCs w:val="24"/>
        </w:rPr>
        <w:t xml:space="preserve">km² </w:t>
      </w:r>
      <w:r w:rsidRPr="00014CAF">
        <w:rPr>
          <w:sz w:val="24"/>
          <w:szCs w:val="24"/>
        </w:rPr>
        <w:t xml:space="preserve">for </w:t>
      </w:r>
      <w:proofErr w:type="spellStart"/>
      <w:r w:rsidRPr="00014CAF">
        <w:rPr>
          <w:sz w:val="24"/>
          <w:szCs w:val="24"/>
        </w:rPr>
        <w:t>Monopoli</w:t>
      </w:r>
      <w:proofErr w:type="spellEnd"/>
      <w:r w:rsidRPr="00014CAF">
        <w:rPr>
          <w:sz w:val="24"/>
          <w:szCs w:val="24"/>
        </w:rPr>
        <w:t xml:space="preserve"> and 131 km² for Fasano (ISTAT, 2022). Moreover, according to the annual tourist movement report provided by Puglia </w:t>
      </w:r>
      <w:proofErr w:type="spellStart"/>
      <w:r w:rsidRPr="00014CAF">
        <w:rPr>
          <w:sz w:val="24"/>
          <w:szCs w:val="24"/>
        </w:rPr>
        <w:t>Promozione</w:t>
      </w:r>
      <w:proofErr w:type="spellEnd"/>
      <w:r w:rsidRPr="00014CAF">
        <w:rPr>
          <w:sz w:val="24"/>
          <w:szCs w:val="24"/>
        </w:rPr>
        <w:t xml:space="preserve"> - Regional Tourism Agency (2022) these areas registered, in the whole 2021, domestic and foreign tourist arrivals of 233,407 people (46% in </w:t>
      </w:r>
      <w:proofErr w:type="spellStart"/>
      <w:r w:rsidRPr="00014CAF">
        <w:rPr>
          <w:sz w:val="24"/>
          <w:szCs w:val="24"/>
        </w:rPr>
        <w:t>Monopoli</w:t>
      </w:r>
      <w:proofErr w:type="spellEnd"/>
      <w:r w:rsidRPr="00014CAF">
        <w:rPr>
          <w:sz w:val="24"/>
          <w:szCs w:val="24"/>
        </w:rPr>
        <w:t xml:space="preserve"> and 54% in Fasano) totalizing 853,023 nights (equal to 3-4 nights per tourist) of which less than 42% spent in </w:t>
      </w:r>
      <w:proofErr w:type="spellStart"/>
      <w:r w:rsidRPr="00014CAF">
        <w:rPr>
          <w:sz w:val="24"/>
          <w:szCs w:val="24"/>
        </w:rPr>
        <w:t>Monopoli</w:t>
      </w:r>
      <w:proofErr w:type="spellEnd"/>
      <w:r w:rsidRPr="00014CAF">
        <w:rPr>
          <w:sz w:val="24"/>
          <w:szCs w:val="24"/>
        </w:rPr>
        <w:t xml:space="preserve"> and more than 58% in Fasano. These data can be compared to tourist arrivals and the presence of Apulia region in 2021, respectively 3,336,729 people and 13,875,537 </w:t>
      </w:r>
      <w:r w:rsidRPr="00014CAF">
        <w:rPr>
          <w:sz w:val="24"/>
          <w:szCs w:val="24"/>
        </w:rPr>
        <w:lastRenderedPageBreak/>
        <w:t xml:space="preserve">nights. Hence, tourist flows in </w:t>
      </w:r>
      <w:proofErr w:type="spellStart"/>
      <w:proofErr w:type="gramStart"/>
      <w:r w:rsidRPr="00014CAF">
        <w:rPr>
          <w:sz w:val="24"/>
          <w:szCs w:val="24"/>
        </w:rPr>
        <w:t>Monopoli</w:t>
      </w:r>
      <w:proofErr w:type="spellEnd"/>
      <w:proofErr w:type="gramEnd"/>
      <w:r w:rsidRPr="00014CAF">
        <w:rPr>
          <w:sz w:val="24"/>
          <w:szCs w:val="24"/>
        </w:rPr>
        <w:t xml:space="preserve"> and Fasano municipalities represent about 7% of the total tourist flows in Apulia. </w:t>
      </w:r>
    </w:p>
    <w:p w14:paraId="50CB56DC" w14:textId="77777777" w:rsidR="00014CAF" w:rsidRPr="00014CAF" w:rsidRDefault="00014CAF" w:rsidP="008356A4">
      <w:pPr>
        <w:spacing w:line="276" w:lineRule="auto"/>
        <w:rPr>
          <w:sz w:val="24"/>
          <w:szCs w:val="24"/>
        </w:rPr>
      </w:pPr>
      <w:r w:rsidRPr="00014CAF">
        <w:rPr>
          <w:sz w:val="24"/>
          <w:szCs w:val="24"/>
        </w:rPr>
        <w:t xml:space="preserve">Concerning the second step, we choose the bottom-up approach for the CF assessment because it is suitable for small territories and is considered more detailed and accurate. </w:t>
      </w:r>
    </w:p>
    <w:p w14:paraId="5BA5DDC2" w14:textId="7DADB363" w:rsidR="00F81C45" w:rsidRDefault="00014CAF" w:rsidP="008356A4">
      <w:pPr>
        <w:spacing w:line="276" w:lineRule="auto"/>
        <w:rPr>
          <w:sz w:val="24"/>
          <w:szCs w:val="24"/>
        </w:rPr>
      </w:pPr>
      <w:r w:rsidRPr="00014CAF">
        <w:rPr>
          <w:sz w:val="24"/>
          <w:szCs w:val="24"/>
        </w:rPr>
        <w:t>In addition, for the third step, the criteria chosen for the GHG emissions assessment are shown in Table 1.</w:t>
      </w:r>
    </w:p>
    <w:p w14:paraId="0BC7E0C4" w14:textId="77777777" w:rsidR="008356A4" w:rsidRDefault="008356A4" w:rsidP="00014CAF">
      <w:pPr>
        <w:spacing w:line="276" w:lineRule="auto"/>
        <w:rPr>
          <w:sz w:val="24"/>
          <w:szCs w:val="24"/>
        </w:rPr>
      </w:pPr>
    </w:p>
    <w:p w14:paraId="2A6E6C4B" w14:textId="77777777" w:rsidR="00865F96" w:rsidRDefault="00865F96" w:rsidP="00865F96">
      <w:pPr>
        <w:pStyle w:val="NormaleWeb"/>
        <w:spacing w:before="0" w:beforeAutospacing="0" w:after="0" w:afterAutospacing="0"/>
        <w:jc w:val="center"/>
        <w:rPr>
          <w:color w:val="0E101A"/>
          <w:sz w:val="18"/>
          <w:szCs w:val="18"/>
          <w:lang w:val="en-US"/>
        </w:rPr>
      </w:pPr>
      <w:r w:rsidRPr="00D21BF9">
        <w:rPr>
          <w:color w:val="0E101A"/>
          <w:sz w:val="18"/>
          <w:szCs w:val="18"/>
          <w:lang w:val="en-US"/>
        </w:rPr>
        <w:t>Table 1</w:t>
      </w:r>
      <w:r>
        <w:rPr>
          <w:color w:val="0E101A"/>
          <w:sz w:val="18"/>
          <w:szCs w:val="18"/>
          <w:lang w:val="en-US"/>
        </w:rPr>
        <w:t>.</w:t>
      </w:r>
      <w:r w:rsidRPr="00D21BF9">
        <w:rPr>
          <w:color w:val="0E101A"/>
          <w:sz w:val="18"/>
          <w:szCs w:val="18"/>
          <w:lang w:val="en-US"/>
        </w:rPr>
        <w:t xml:space="preserve"> Chosen criteria for the GHG emissions assessment</w:t>
      </w:r>
      <w:r>
        <w:rPr>
          <w:color w:val="0E101A"/>
          <w:sz w:val="18"/>
          <w:szCs w:val="18"/>
          <w:lang w:val="en-US"/>
        </w:rPr>
        <w:t>.</w:t>
      </w:r>
    </w:p>
    <w:p w14:paraId="693D4B11" w14:textId="77777777" w:rsidR="00865F96" w:rsidRPr="001D1FA5" w:rsidRDefault="00865F96" w:rsidP="00865F96">
      <w:pPr>
        <w:pStyle w:val="NormaleWeb"/>
        <w:spacing w:before="0" w:beforeAutospacing="0" w:after="0" w:afterAutospacing="0"/>
        <w:jc w:val="center"/>
        <w:rPr>
          <w:color w:val="0E101A"/>
          <w:sz w:val="18"/>
          <w:szCs w:val="18"/>
          <w:lang w:val="en-US"/>
        </w:rPr>
      </w:pPr>
    </w:p>
    <w:tbl>
      <w:tblPr>
        <w:tblW w:w="5670" w:type="dxa"/>
        <w:jc w:val="center"/>
        <w:tblLayout w:type="fixed"/>
        <w:tblLook w:val="0000" w:firstRow="0" w:lastRow="0" w:firstColumn="0" w:lastColumn="0" w:noHBand="0" w:noVBand="0"/>
      </w:tblPr>
      <w:tblGrid>
        <w:gridCol w:w="3402"/>
        <w:gridCol w:w="2268"/>
      </w:tblGrid>
      <w:tr w:rsidR="00865F96" w:rsidRPr="00BC36B0" w14:paraId="6F85857B" w14:textId="77777777" w:rsidTr="0074382B">
        <w:trPr>
          <w:trHeight w:val="567"/>
          <w:jc w:val="center"/>
        </w:trPr>
        <w:tc>
          <w:tcPr>
            <w:tcW w:w="3402" w:type="dxa"/>
            <w:tcBorders>
              <w:top w:val="single" w:sz="4" w:space="0" w:color="auto"/>
              <w:bottom w:val="single" w:sz="4" w:space="0" w:color="auto"/>
            </w:tcBorders>
            <w:vAlign w:val="center"/>
          </w:tcPr>
          <w:p w14:paraId="6F75B280" w14:textId="77777777" w:rsidR="00865F96" w:rsidRPr="00BF7B6C" w:rsidRDefault="00865F96" w:rsidP="0074382B">
            <w:pPr>
              <w:pStyle w:val="Table"/>
              <w:spacing w:line="276" w:lineRule="auto"/>
              <w:jc w:val="center"/>
              <w:rPr>
                <w:b/>
                <w:bCs/>
                <w:snapToGrid w:val="0"/>
              </w:rPr>
            </w:pPr>
            <w:r w:rsidRPr="00BF7B6C">
              <w:rPr>
                <w:b/>
                <w:bCs/>
                <w:snapToGrid w:val="0"/>
              </w:rPr>
              <w:t>Items</w:t>
            </w:r>
          </w:p>
        </w:tc>
        <w:tc>
          <w:tcPr>
            <w:tcW w:w="2268" w:type="dxa"/>
            <w:tcBorders>
              <w:top w:val="single" w:sz="4" w:space="0" w:color="auto"/>
              <w:bottom w:val="single" w:sz="4" w:space="0" w:color="auto"/>
            </w:tcBorders>
            <w:vAlign w:val="center"/>
          </w:tcPr>
          <w:p w14:paraId="114DC4D9" w14:textId="77777777" w:rsidR="00865F96" w:rsidRPr="00BF7B6C" w:rsidRDefault="00865F96" w:rsidP="0074382B">
            <w:pPr>
              <w:pStyle w:val="Table"/>
              <w:spacing w:line="276" w:lineRule="auto"/>
              <w:jc w:val="center"/>
              <w:rPr>
                <w:b/>
                <w:bCs/>
                <w:snapToGrid w:val="0"/>
              </w:rPr>
            </w:pPr>
            <w:r w:rsidRPr="00BF7B6C">
              <w:rPr>
                <w:b/>
                <w:bCs/>
                <w:snapToGrid w:val="0"/>
              </w:rPr>
              <w:t>Evaluation methods</w:t>
            </w:r>
          </w:p>
        </w:tc>
      </w:tr>
      <w:tr w:rsidR="00865F96" w:rsidRPr="00BC36B0" w14:paraId="0DB21518" w14:textId="77777777" w:rsidTr="0094101E">
        <w:trPr>
          <w:trHeight w:val="567"/>
          <w:jc w:val="center"/>
        </w:trPr>
        <w:tc>
          <w:tcPr>
            <w:tcW w:w="3402" w:type="dxa"/>
            <w:tcBorders>
              <w:top w:val="single" w:sz="4" w:space="0" w:color="auto"/>
              <w:bottom w:val="single" w:sz="4" w:space="0" w:color="auto"/>
            </w:tcBorders>
            <w:vAlign w:val="center"/>
          </w:tcPr>
          <w:p w14:paraId="705EB8EA" w14:textId="77777777" w:rsidR="00865F96" w:rsidRPr="00BC36B0" w:rsidRDefault="00865F96" w:rsidP="0094101E">
            <w:pPr>
              <w:pStyle w:val="Table"/>
              <w:spacing w:line="276" w:lineRule="auto"/>
              <w:jc w:val="center"/>
              <w:rPr>
                <w:snapToGrid w:val="0"/>
              </w:rPr>
            </w:pPr>
            <w:r>
              <w:rPr>
                <w:snapToGrid w:val="0"/>
              </w:rPr>
              <w:t>T</w:t>
            </w:r>
            <w:r w:rsidRPr="009D3601">
              <w:rPr>
                <w:snapToGrid w:val="0"/>
              </w:rPr>
              <w:t>echnological systems (e.g., electrical, heating, air conditioning, sanitary and water systems)</w:t>
            </w:r>
          </w:p>
        </w:tc>
        <w:tc>
          <w:tcPr>
            <w:tcW w:w="2268" w:type="dxa"/>
            <w:tcBorders>
              <w:top w:val="single" w:sz="4" w:space="0" w:color="auto"/>
              <w:bottom w:val="single" w:sz="4" w:space="0" w:color="auto"/>
            </w:tcBorders>
            <w:vAlign w:val="center"/>
          </w:tcPr>
          <w:p w14:paraId="7CE8E54F" w14:textId="77777777" w:rsidR="00865F96" w:rsidRPr="00BC36B0" w:rsidRDefault="00865F96" w:rsidP="0074382B">
            <w:pPr>
              <w:pStyle w:val="Table"/>
              <w:spacing w:line="276" w:lineRule="auto"/>
              <w:jc w:val="center"/>
              <w:rPr>
                <w:snapToGrid w:val="0"/>
              </w:rPr>
            </w:pPr>
            <w:r>
              <w:rPr>
                <w:snapToGrid w:val="0"/>
              </w:rPr>
              <w:t>Survey</w:t>
            </w:r>
          </w:p>
        </w:tc>
      </w:tr>
      <w:tr w:rsidR="00865F96" w:rsidRPr="00BC36B0" w14:paraId="3AF668B1" w14:textId="77777777" w:rsidTr="0094101E">
        <w:trPr>
          <w:trHeight w:val="567"/>
          <w:jc w:val="center"/>
        </w:trPr>
        <w:tc>
          <w:tcPr>
            <w:tcW w:w="3402" w:type="dxa"/>
            <w:tcBorders>
              <w:top w:val="single" w:sz="4" w:space="0" w:color="auto"/>
              <w:bottom w:val="single" w:sz="4" w:space="0" w:color="auto"/>
            </w:tcBorders>
            <w:vAlign w:val="center"/>
          </w:tcPr>
          <w:p w14:paraId="03DFE3E8" w14:textId="77777777" w:rsidR="00865F96" w:rsidRPr="00BC36B0" w:rsidRDefault="00865F96" w:rsidP="0094101E">
            <w:pPr>
              <w:pStyle w:val="Table"/>
              <w:spacing w:line="276" w:lineRule="auto"/>
              <w:jc w:val="center"/>
              <w:rPr>
                <w:snapToGrid w:val="0"/>
              </w:rPr>
            </w:pPr>
            <w:r>
              <w:rPr>
                <w:snapToGrid w:val="0"/>
              </w:rPr>
              <w:t>Electricity consumption</w:t>
            </w:r>
            <w:r>
              <w:t xml:space="preserve"> </w:t>
            </w:r>
            <w:r w:rsidRPr="0047762E">
              <w:rPr>
                <w:snapToGrid w:val="0"/>
              </w:rPr>
              <w:t>referring to the year 2021</w:t>
            </w:r>
          </w:p>
        </w:tc>
        <w:tc>
          <w:tcPr>
            <w:tcW w:w="2268" w:type="dxa"/>
            <w:tcBorders>
              <w:top w:val="single" w:sz="4" w:space="0" w:color="auto"/>
              <w:bottom w:val="single" w:sz="4" w:space="0" w:color="auto"/>
            </w:tcBorders>
            <w:vAlign w:val="center"/>
          </w:tcPr>
          <w:p w14:paraId="3F36F8DF" w14:textId="77777777" w:rsidR="00865F96" w:rsidRPr="00BC36B0" w:rsidRDefault="00865F96" w:rsidP="0074382B">
            <w:pPr>
              <w:pStyle w:val="Table"/>
              <w:spacing w:line="276" w:lineRule="auto"/>
              <w:jc w:val="center"/>
              <w:rPr>
                <w:snapToGrid w:val="0"/>
              </w:rPr>
            </w:pPr>
            <w:r>
              <w:rPr>
                <w:snapToGrid w:val="0"/>
              </w:rPr>
              <w:t>E</w:t>
            </w:r>
            <w:r w:rsidRPr="0047762E">
              <w:rPr>
                <w:snapToGrid w:val="0"/>
              </w:rPr>
              <w:t>lectricity invoices</w:t>
            </w:r>
          </w:p>
        </w:tc>
      </w:tr>
      <w:tr w:rsidR="00865F96" w:rsidRPr="00BC36B0" w14:paraId="3E4EDBE5" w14:textId="77777777" w:rsidTr="0094101E">
        <w:trPr>
          <w:trHeight w:val="567"/>
          <w:jc w:val="center"/>
        </w:trPr>
        <w:tc>
          <w:tcPr>
            <w:tcW w:w="3402" w:type="dxa"/>
            <w:tcBorders>
              <w:top w:val="single" w:sz="4" w:space="0" w:color="auto"/>
              <w:bottom w:val="single" w:sz="4" w:space="0" w:color="auto"/>
            </w:tcBorders>
            <w:vAlign w:val="center"/>
          </w:tcPr>
          <w:p w14:paraId="1A1B1470" w14:textId="77777777" w:rsidR="00865F96" w:rsidRPr="00BC36B0" w:rsidRDefault="00865F96" w:rsidP="0094101E">
            <w:pPr>
              <w:pStyle w:val="Table"/>
              <w:spacing w:line="276" w:lineRule="auto"/>
              <w:jc w:val="center"/>
              <w:rPr>
                <w:snapToGrid w:val="0"/>
              </w:rPr>
            </w:pPr>
            <w:r>
              <w:rPr>
                <w:snapToGrid w:val="0"/>
              </w:rPr>
              <w:t>Electricity production</w:t>
            </w:r>
            <w:r>
              <w:t xml:space="preserve"> </w:t>
            </w:r>
            <w:r w:rsidRPr="0047762E">
              <w:rPr>
                <w:snapToGrid w:val="0"/>
              </w:rPr>
              <w:t>referring to the year 2021</w:t>
            </w:r>
            <w:r>
              <w:rPr>
                <w:snapToGrid w:val="0"/>
              </w:rPr>
              <w:t xml:space="preserve"> (if any)</w:t>
            </w:r>
          </w:p>
        </w:tc>
        <w:tc>
          <w:tcPr>
            <w:tcW w:w="2268" w:type="dxa"/>
            <w:tcBorders>
              <w:top w:val="single" w:sz="4" w:space="0" w:color="auto"/>
              <w:bottom w:val="single" w:sz="4" w:space="0" w:color="auto"/>
            </w:tcBorders>
            <w:vAlign w:val="center"/>
          </w:tcPr>
          <w:p w14:paraId="1BEBC0C4" w14:textId="0D1C9489" w:rsidR="00865F96" w:rsidRPr="00BC36B0" w:rsidRDefault="005A30AC" w:rsidP="0074382B">
            <w:pPr>
              <w:pStyle w:val="Table"/>
              <w:spacing w:line="276" w:lineRule="auto"/>
              <w:jc w:val="center"/>
              <w:rPr>
                <w:snapToGrid w:val="0"/>
              </w:rPr>
            </w:pPr>
            <w:r>
              <w:rPr>
                <w:snapToGrid w:val="0"/>
              </w:rPr>
              <w:t>Survey</w:t>
            </w:r>
          </w:p>
        </w:tc>
      </w:tr>
      <w:tr w:rsidR="00865F96" w:rsidRPr="00BC36B0" w14:paraId="0563D1F1" w14:textId="77777777" w:rsidTr="0094101E">
        <w:trPr>
          <w:trHeight w:val="567"/>
          <w:jc w:val="center"/>
        </w:trPr>
        <w:tc>
          <w:tcPr>
            <w:tcW w:w="3402" w:type="dxa"/>
            <w:tcBorders>
              <w:top w:val="single" w:sz="4" w:space="0" w:color="auto"/>
              <w:bottom w:val="single" w:sz="4" w:space="0" w:color="auto"/>
            </w:tcBorders>
            <w:vAlign w:val="center"/>
          </w:tcPr>
          <w:p w14:paraId="7256BEF9" w14:textId="77777777" w:rsidR="00865F96" w:rsidRPr="00BC36B0" w:rsidRDefault="00865F96" w:rsidP="0094101E">
            <w:pPr>
              <w:pStyle w:val="Table"/>
              <w:spacing w:line="276" w:lineRule="auto"/>
              <w:jc w:val="center"/>
              <w:rPr>
                <w:snapToGrid w:val="0"/>
              </w:rPr>
            </w:pPr>
            <w:r w:rsidRPr="00980A0C">
              <w:rPr>
                <w:snapToGrid w:val="0"/>
              </w:rPr>
              <w:t>GAS/LPG consumption</w:t>
            </w:r>
            <w:r>
              <w:t xml:space="preserve"> </w:t>
            </w:r>
            <w:r w:rsidRPr="009B16C9">
              <w:rPr>
                <w:snapToGrid w:val="0"/>
              </w:rPr>
              <w:t>for the year 2021</w:t>
            </w:r>
          </w:p>
        </w:tc>
        <w:tc>
          <w:tcPr>
            <w:tcW w:w="2268" w:type="dxa"/>
            <w:tcBorders>
              <w:top w:val="single" w:sz="4" w:space="0" w:color="auto"/>
              <w:bottom w:val="single" w:sz="4" w:space="0" w:color="auto"/>
            </w:tcBorders>
            <w:vAlign w:val="center"/>
          </w:tcPr>
          <w:p w14:paraId="04E94E0C" w14:textId="77777777" w:rsidR="00865F96" w:rsidRPr="00BC36B0" w:rsidRDefault="00865F96" w:rsidP="0074382B">
            <w:pPr>
              <w:pStyle w:val="Table"/>
              <w:spacing w:line="276" w:lineRule="auto"/>
              <w:jc w:val="center"/>
              <w:rPr>
                <w:snapToGrid w:val="0"/>
              </w:rPr>
            </w:pPr>
            <w:r>
              <w:rPr>
                <w:snapToGrid w:val="0"/>
              </w:rPr>
              <w:t>I</w:t>
            </w:r>
            <w:r w:rsidRPr="00941491">
              <w:rPr>
                <w:snapToGrid w:val="0"/>
              </w:rPr>
              <w:t>nvoices/</w:t>
            </w:r>
            <w:r>
              <w:rPr>
                <w:snapToGrid w:val="0"/>
              </w:rPr>
              <w:t>B</w:t>
            </w:r>
            <w:r w:rsidRPr="00941491">
              <w:rPr>
                <w:snapToGrid w:val="0"/>
              </w:rPr>
              <w:t>ills</w:t>
            </w:r>
          </w:p>
        </w:tc>
      </w:tr>
      <w:tr w:rsidR="00865F96" w:rsidRPr="00BC36B0" w14:paraId="0C114E3D" w14:textId="77777777" w:rsidTr="0094101E">
        <w:trPr>
          <w:trHeight w:val="567"/>
          <w:jc w:val="center"/>
        </w:trPr>
        <w:tc>
          <w:tcPr>
            <w:tcW w:w="3402" w:type="dxa"/>
            <w:tcBorders>
              <w:top w:val="single" w:sz="4" w:space="0" w:color="auto"/>
              <w:bottom w:val="single" w:sz="4" w:space="0" w:color="auto"/>
            </w:tcBorders>
            <w:vAlign w:val="center"/>
          </w:tcPr>
          <w:p w14:paraId="6179CB23" w14:textId="77777777" w:rsidR="00865F96" w:rsidRPr="00980A0C" w:rsidRDefault="00865F96" w:rsidP="002E2EBD">
            <w:pPr>
              <w:pStyle w:val="Table"/>
              <w:spacing w:line="276" w:lineRule="auto"/>
              <w:rPr>
                <w:snapToGrid w:val="0"/>
              </w:rPr>
            </w:pPr>
            <w:r>
              <w:rPr>
                <w:snapToGrid w:val="0"/>
              </w:rPr>
              <w:t>Inventory of h</w:t>
            </w:r>
            <w:r w:rsidRPr="00A137C5">
              <w:rPr>
                <w:snapToGrid w:val="0"/>
              </w:rPr>
              <w:t>eat pump systems (split/fan coil)</w:t>
            </w:r>
          </w:p>
        </w:tc>
        <w:tc>
          <w:tcPr>
            <w:tcW w:w="2268" w:type="dxa"/>
            <w:tcBorders>
              <w:top w:val="single" w:sz="4" w:space="0" w:color="auto"/>
              <w:bottom w:val="single" w:sz="4" w:space="0" w:color="auto"/>
            </w:tcBorders>
            <w:vAlign w:val="center"/>
          </w:tcPr>
          <w:p w14:paraId="1872ED96" w14:textId="37535EC8" w:rsidR="00865F96" w:rsidRPr="00BC36B0" w:rsidRDefault="00865F96" w:rsidP="0074382B">
            <w:pPr>
              <w:pStyle w:val="Table"/>
              <w:spacing w:line="276" w:lineRule="auto"/>
              <w:jc w:val="center"/>
              <w:rPr>
                <w:snapToGrid w:val="0"/>
              </w:rPr>
            </w:pPr>
            <w:r>
              <w:rPr>
                <w:snapToGrid w:val="0"/>
              </w:rPr>
              <w:t xml:space="preserve">Survey and </w:t>
            </w:r>
            <w:r w:rsidR="005A30AC">
              <w:rPr>
                <w:snapToGrid w:val="0"/>
              </w:rPr>
              <w:t>the</w:t>
            </w:r>
            <w:r>
              <w:t xml:space="preserve"> </w:t>
            </w:r>
            <w:r w:rsidRPr="00F17A20">
              <w:rPr>
                <w:snapToGrid w:val="0"/>
              </w:rPr>
              <w:t xml:space="preserve">copy of the periodic maintenance booklet with communication to the </w:t>
            </w:r>
            <w:r>
              <w:rPr>
                <w:snapToGrid w:val="0"/>
              </w:rPr>
              <w:t>F</w:t>
            </w:r>
            <w:r w:rsidRPr="00552D16">
              <w:rPr>
                <w:snapToGrid w:val="0"/>
              </w:rPr>
              <w:t>luorinated</w:t>
            </w:r>
            <w:r>
              <w:rPr>
                <w:snapToGrid w:val="0"/>
              </w:rPr>
              <w:t xml:space="preserve"> G</w:t>
            </w:r>
            <w:r w:rsidRPr="00552D16">
              <w:rPr>
                <w:snapToGrid w:val="0"/>
              </w:rPr>
              <w:t>ases</w:t>
            </w:r>
            <w:r>
              <w:rPr>
                <w:snapToGrid w:val="0"/>
              </w:rPr>
              <w:t xml:space="preserve"> (</w:t>
            </w:r>
            <w:r w:rsidRPr="00F17A20">
              <w:rPr>
                <w:snapToGrid w:val="0"/>
              </w:rPr>
              <w:t>F</w:t>
            </w:r>
            <w:r>
              <w:rPr>
                <w:snapToGrid w:val="0"/>
              </w:rPr>
              <w:t>-Gas)</w:t>
            </w:r>
            <w:r w:rsidRPr="00F17A20">
              <w:rPr>
                <w:snapToGrid w:val="0"/>
              </w:rPr>
              <w:t xml:space="preserve"> system</w:t>
            </w:r>
          </w:p>
        </w:tc>
      </w:tr>
      <w:tr w:rsidR="00865F96" w:rsidRPr="00BC36B0" w14:paraId="0BEEA1F6" w14:textId="77777777" w:rsidTr="0094101E">
        <w:trPr>
          <w:trHeight w:val="567"/>
          <w:jc w:val="center"/>
        </w:trPr>
        <w:tc>
          <w:tcPr>
            <w:tcW w:w="3402" w:type="dxa"/>
            <w:tcBorders>
              <w:top w:val="single" w:sz="4" w:space="0" w:color="auto"/>
              <w:bottom w:val="single" w:sz="4" w:space="0" w:color="auto"/>
            </w:tcBorders>
            <w:vAlign w:val="center"/>
          </w:tcPr>
          <w:p w14:paraId="66620E18" w14:textId="77777777" w:rsidR="00F044B2" w:rsidRDefault="00865F96" w:rsidP="00F044B2">
            <w:pPr>
              <w:pStyle w:val="Table"/>
              <w:spacing w:line="276" w:lineRule="auto"/>
              <w:jc w:val="center"/>
              <w:rPr>
                <w:snapToGrid w:val="0"/>
              </w:rPr>
            </w:pPr>
            <w:r>
              <w:rPr>
                <w:snapToGrid w:val="0"/>
              </w:rPr>
              <w:t>Q</w:t>
            </w:r>
            <w:r w:rsidRPr="005971E3">
              <w:rPr>
                <w:snapToGrid w:val="0"/>
              </w:rPr>
              <w:t>uantification of the gas in the refrigerators</w:t>
            </w:r>
            <w:r w:rsidR="00F044B2">
              <w:rPr>
                <w:snapToGrid w:val="0"/>
              </w:rPr>
              <w:t xml:space="preserve"> </w:t>
            </w:r>
          </w:p>
          <w:p w14:paraId="24807CFD" w14:textId="6E484A94" w:rsidR="00865F96" w:rsidRDefault="00865F96" w:rsidP="00F044B2">
            <w:pPr>
              <w:pStyle w:val="Table"/>
              <w:spacing w:line="276" w:lineRule="auto"/>
              <w:jc w:val="center"/>
              <w:rPr>
                <w:snapToGrid w:val="0"/>
              </w:rPr>
            </w:pPr>
            <w:r>
              <w:rPr>
                <w:snapToGrid w:val="0"/>
              </w:rPr>
              <w:t>(</w:t>
            </w:r>
            <w:proofErr w:type="gramStart"/>
            <w:r>
              <w:rPr>
                <w:snapToGrid w:val="0"/>
              </w:rPr>
              <w:t>if</w:t>
            </w:r>
            <w:proofErr w:type="gramEnd"/>
            <w:r>
              <w:rPr>
                <w:snapToGrid w:val="0"/>
              </w:rPr>
              <w:t xml:space="preserve"> present)</w:t>
            </w:r>
          </w:p>
        </w:tc>
        <w:tc>
          <w:tcPr>
            <w:tcW w:w="2268" w:type="dxa"/>
            <w:tcBorders>
              <w:top w:val="single" w:sz="4" w:space="0" w:color="auto"/>
              <w:bottom w:val="single" w:sz="4" w:space="0" w:color="auto"/>
            </w:tcBorders>
            <w:vAlign w:val="center"/>
          </w:tcPr>
          <w:p w14:paraId="7047C21C" w14:textId="3EDF5282" w:rsidR="00865F96" w:rsidRPr="00BC36B0" w:rsidRDefault="005A30AC" w:rsidP="0074382B">
            <w:pPr>
              <w:pStyle w:val="Table"/>
              <w:spacing w:line="276" w:lineRule="auto"/>
              <w:jc w:val="center"/>
              <w:rPr>
                <w:snapToGrid w:val="0"/>
              </w:rPr>
            </w:pPr>
            <w:r>
              <w:rPr>
                <w:snapToGrid w:val="0"/>
              </w:rPr>
              <w:t>Survey</w:t>
            </w:r>
          </w:p>
        </w:tc>
      </w:tr>
      <w:tr w:rsidR="00865F96" w:rsidRPr="00BC36B0" w14:paraId="51320D4A" w14:textId="77777777" w:rsidTr="0094101E">
        <w:trPr>
          <w:trHeight w:val="567"/>
          <w:jc w:val="center"/>
        </w:trPr>
        <w:tc>
          <w:tcPr>
            <w:tcW w:w="3402" w:type="dxa"/>
            <w:tcBorders>
              <w:top w:val="single" w:sz="4" w:space="0" w:color="auto"/>
              <w:bottom w:val="single" w:sz="4" w:space="0" w:color="auto"/>
            </w:tcBorders>
            <w:vAlign w:val="center"/>
          </w:tcPr>
          <w:p w14:paraId="5CC82286" w14:textId="448FC098" w:rsidR="00865F96" w:rsidRDefault="00865F96" w:rsidP="0094101E">
            <w:pPr>
              <w:pStyle w:val="Table"/>
              <w:spacing w:line="276" w:lineRule="auto"/>
              <w:jc w:val="center"/>
              <w:rPr>
                <w:snapToGrid w:val="0"/>
              </w:rPr>
            </w:pPr>
            <w:r>
              <w:rPr>
                <w:snapToGrid w:val="0"/>
              </w:rPr>
              <w:t>Q</w:t>
            </w:r>
            <w:r w:rsidRPr="005971E3">
              <w:rPr>
                <w:snapToGrid w:val="0"/>
              </w:rPr>
              <w:t xml:space="preserve">uantification </w:t>
            </w:r>
            <w:r w:rsidR="008A7936" w:rsidRPr="008A7936">
              <w:rPr>
                <w:snapToGrid w:val="0"/>
              </w:rPr>
              <w:t xml:space="preserve">of </w:t>
            </w:r>
            <w:r w:rsidR="0068318A">
              <w:rPr>
                <w:snapToGrid w:val="0"/>
              </w:rPr>
              <w:t>daily</w:t>
            </w:r>
            <w:r w:rsidR="008A7936" w:rsidRPr="008A7936">
              <w:rPr>
                <w:snapToGrid w:val="0"/>
              </w:rPr>
              <w:t xml:space="preserve"> commuting of employees </w:t>
            </w:r>
            <w:r w:rsidRPr="005971E3">
              <w:rPr>
                <w:snapToGrid w:val="0"/>
              </w:rPr>
              <w:t>and the identification of the means of transport used</w:t>
            </w:r>
          </w:p>
        </w:tc>
        <w:tc>
          <w:tcPr>
            <w:tcW w:w="2268" w:type="dxa"/>
            <w:tcBorders>
              <w:top w:val="single" w:sz="4" w:space="0" w:color="auto"/>
              <w:bottom w:val="single" w:sz="4" w:space="0" w:color="auto"/>
            </w:tcBorders>
            <w:vAlign w:val="center"/>
          </w:tcPr>
          <w:p w14:paraId="04E14573" w14:textId="77777777" w:rsidR="00865F96" w:rsidRPr="00BC36B0" w:rsidRDefault="00865F96" w:rsidP="0074382B">
            <w:pPr>
              <w:pStyle w:val="Table"/>
              <w:spacing w:line="276" w:lineRule="auto"/>
              <w:jc w:val="center"/>
              <w:rPr>
                <w:snapToGrid w:val="0"/>
              </w:rPr>
            </w:pPr>
            <w:r>
              <w:rPr>
                <w:snapToGrid w:val="0"/>
              </w:rPr>
              <w:t>Survey</w:t>
            </w:r>
          </w:p>
        </w:tc>
      </w:tr>
      <w:tr w:rsidR="00865F96" w:rsidRPr="00BC36B0" w14:paraId="7BCB8826" w14:textId="77777777" w:rsidTr="0094101E">
        <w:trPr>
          <w:trHeight w:val="567"/>
          <w:jc w:val="center"/>
        </w:trPr>
        <w:tc>
          <w:tcPr>
            <w:tcW w:w="3402" w:type="dxa"/>
            <w:tcBorders>
              <w:top w:val="single" w:sz="4" w:space="0" w:color="auto"/>
              <w:bottom w:val="single" w:sz="4" w:space="0" w:color="auto"/>
            </w:tcBorders>
            <w:vAlign w:val="center"/>
          </w:tcPr>
          <w:p w14:paraId="0834B8C9" w14:textId="3CF69F19" w:rsidR="00865F96" w:rsidRDefault="00865F96" w:rsidP="0094101E">
            <w:pPr>
              <w:pStyle w:val="Table"/>
              <w:spacing w:line="276" w:lineRule="auto"/>
              <w:jc w:val="center"/>
              <w:rPr>
                <w:snapToGrid w:val="0"/>
              </w:rPr>
            </w:pPr>
            <w:r>
              <w:rPr>
                <w:snapToGrid w:val="0"/>
              </w:rPr>
              <w:t>L</w:t>
            </w:r>
            <w:r w:rsidRPr="00C952EE">
              <w:rPr>
                <w:snapToGrid w:val="0"/>
              </w:rPr>
              <w:t>ist of the company vehicle fleet</w:t>
            </w:r>
            <w:r>
              <w:rPr>
                <w:snapToGrid w:val="0"/>
              </w:rPr>
              <w:t xml:space="preserve"> (if present)</w:t>
            </w:r>
            <w:r>
              <w:t xml:space="preserve"> </w:t>
            </w:r>
            <w:r w:rsidRPr="00971346">
              <w:rPr>
                <w:snapToGrid w:val="0"/>
              </w:rPr>
              <w:t>and the km traveled by employees</w:t>
            </w:r>
          </w:p>
        </w:tc>
        <w:tc>
          <w:tcPr>
            <w:tcW w:w="2268" w:type="dxa"/>
            <w:tcBorders>
              <w:top w:val="single" w:sz="4" w:space="0" w:color="auto"/>
              <w:bottom w:val="single" w:sz="4" w:space="0" w:color="auto"/>
            </w:tcBorders>
            <w:vAlign w:val="center"/>
          </w:tcPr>
          <w:p w14:paraId="69A1B5E2" w14:textId="77777777" w:rsidR="00865F96" w:rsidRPr="00BC36B0" w:rsidRDefault="00865F96" w:rsidP="0074382B">
            <w:pPr>
              <w:pStyle w:val="Table"/>
              <w:spacing w:line="276" w:lineRule="auto"/>
              <w:jc w:val="center"/>
              <w:rPr>
                <w:snapToGrid w:val="0"/>
              </w:rPr>
            </w:pPr>
            <w:r>
              <w:rPr>
                <w:snapToGrid w:val="0"/>
              </w:rPr>
              <w:t>Survey</w:t>
            </w:r>
          </w:p>
        </w:tc>
      </w:tr>
      <w:tr w:rsidR="00865F96" w:rsidRPr="00BC36B0" w14:paraId="4FCC5957" w14:textId="77777777" w:rsidTr="0094101E">
        <w:trPr>
          <w:trHeight w:val="567"/>
          <w:jc w:val="center"/>
        </w:trPr>
        <w:tc>
          <w:tcPr>
            <w:tcW w:w="3402" w:type="dxa"/>
            <w:tcBorders>
              <w:top w:val="single" w:sz="4" w:space="0" w:color="auto"/>
              <w:bottom w:val="single" w:sz="4" w:space="0" w:color="auto"/>
            </w:tcBorders>
            <w:vAlign w:val="center"/>
          </w:tcPr>
          <w:p w14:paraId="4A330CF8" w14:textId="77777777" w:rsidR="00865F96" w:rsidRDefault="00865F96" w:rsidP="0094101E">
            <w:pPr>
              <w:pStyle w:val="Table"/>
              <w:spacing w:line="276" w:lineRule="auto"/>
              <w:jc w:val="center"/>
              <w:rPr>
                <w:snapToGrid w:val="0"/>
              </w:rPr>
            </w:pPr>
            <w:r>
              <w:rPr>
                <w:snapToGrid w:val="0"/>
              </w:rPr>
              <w:t>L</w:t>
            </w:r>
            <w:r w:rsidRPr="00C952EE">
              <w:rPr>
                <w:snapToGrid w:val="0"/>
              </w:rPr>
              <w:t>ist of the company vehicle fleet</w:t>
            </w:r>
            <w:r>
              <w:rPr>
                <w:snapToGrid w:val="0"/>
              </w:rPr>
              <w:t xml:space="preserve"> (if present)</w:t>
            </w:r>
            <w:r>
              <w:t xml:space="preserve"> </w:t>
            </w:r>
            <w:r w:rsidRPr="00971346">
              <w:rPr>
                <w:snapToGrid w:val="0"/>
              </w:rPr>
              <w:t>and the km traveled by customers</w:t>
            </w:r>
          </w:p>
        </w:tc>
        <w:tc>
          <w:tcPr>
            <w:tcW w:w="2268" w:type="dxa"/>
            <w:tcBorders>
              <w:top w:val="single" w:sz="4" w:space="0" w:color="auto"/>
              <w:bottom w:val="single" w:sz="4" w:space="0" w:color="auto"/>
            </w:tcBorders>
            <w:vAlign w:val="center"/>
          </w:tcPr>
          <w:p w14:paraId="238566FA" w14:textId="77777777" w:rsidR="00865F96" w:rsidRPr="00BC36B0" w:rsidRDefault="00865F96" w:rsidP="0074382B">
            <w:pPr>
              <w:pStyle w:val="Table"/>
              <w:spacing w:line="276" w:lineRule="auto"/>
              <w:jc w:val="center"/>
              <w:rPr>
                <w:snapToGrid w:val="0"/>
              </w:rPr>
            </w:pPr>
            <w:r>
              <w:rPr>
                <w:snapToGrid w:val="0"/>
              </w:rPr>
              <w:t>Survey</w:t>
            </w:r>
          </w:p>
        </w:tc>
      </w:tr>
    </w:tbl>
    <w:p w14:paraId="6D8C343F" w14:textId="2A71D82B" w:rsidR="00865F96" w:rsidRDefault="00865F96" w:rsidP="00865F96">
      <w:pPr>
        <w:pStyle w:val="TableCaption"/>
        <w:spacing w:after="120" w:line="276" w:lineRule="auto"/>
        <w:ind w:left="1915" w:right="1800"/>
        <w:rPr>
          <w:b/>
          <w:u w:val="single"/>
        </w:rPr>
      </w:pPr>
      <w:r w:rsidRPr="00925C93">
        <w:t>Source</w:t>
      </w:r>
      <w:r w:rsidRPr="00440A2D">
        <w:rPr>
          <w:szCs w:val="18"/>
        </w:rPr>
        <w:t>:</w:t>
      </w:r>
      <w:r>
        <w:rPr>
          <w:szCs w:val="18"/>
        </w:rPr>
        <w:t xml:space="preserve"> </w:t>
      </w:r>
      <w:r>
        <w:rPr>
          <w:lang w:val="en-SG" w:eastAsia="en-SG"/>
        </w:rPr>
        <w:t>personal elaboration of the authors.</w:t>
      </w:r>
    </w:p>
    <w:p w14:paraId="6801B9F3" w14:textId="05AD86E4" w:rsidR="00726847" w:rsidRPr="00726847" w:rsidRDefault="00726847" w:rsidP="00726847">
      <w:pPr>
        <w:spacing w:line="276" w:lineRule="auto"/>
        <w:rPr>
          <w:sz w:val="24"/>
          <w:szCs w:val="24"/>
        </w:rPr>
      </w:pPr>
      <w:r w:rsidRPr="00726847">
        <w:rPr>
          <w:sz w:val="24"/>
          <w:szCs w:val="24"/>
        </w:rPr>
        <w:t xml:space="preserve">Many issues emerged, for example the choice of a suitable functional unit (which is the description of the reference basis of the study for the quantification of the assessment of the impact) for the tourism industry that </w:t>
      </w:r>
      <w:r w:rsidRPr="00726847">
        <w:rPr>
          <w:sz w:val="24"/>
          <w:szCs w:val="24"/>
        </w:rPr>
        <w:lastRenderedPageBreak/>
        <w:t>combines all the organizations that belong to the micro-destination (such as accommodations, food, and beverage, crafts, tourist agencies, etc.). It emerges the need to avoid the identification of a tourist as functional unit, as generally displayed by the literature. Probably a more detailed and specific functional unit could be used. Moreover, to implement the ISO 14064</w:t>
      </w:r>
      <w:r w:rsidR="00A2227E">
        <w:rPr>
          <w:sz w:val="24"/>
          <w:szCs w:val="24"/>
        </w:rPr>
        <w:t>-1:2018</w:t>
      </w:r>
      <w:r w:rsidRPr="00726847">
        <w:rPr>
          <w:sz w:val="24"/>
          <w:szCs w:val="24"/>
        </w:rPr>
        <w:t xml:space="preserve"> standard, </w:t>
      </w:r>
      <w:proofErr w:type="gramStart"/>
      <w:r w:rsidRPr="00726847">
        <w:rPr>
          <w:sz w:val="24"/>
          <w:szCs w:val="24"/>
        </w:rPr>
        <w:t>in order to</w:t>
      </w:r>
      <w:proofErr w:type="gramEnd"/>
      <w:r w:rsidRPr="00726847">
        <w:rPr>
          <w:sz w:val="24"/>
          <w:szCs w:val="24"/>
        </w:rPr>
        <w:t xml:space="preserve"> enhance and promote the sustainable tourism growth of the organizations involved in the micro-destination, the development of a network of companies needed because a juridical body to obtain the environmental certification must be constituted. Hence, further analysis is required to complete the research with the collection of data through surveys, the calculation of GHG emissions, and then the presentation of the results in a GHG report.</w:t>
      </w:r>
    </w:p>
    <w:p w14:paraId="3ED129CB" w14:textId="453A2053" w:rsidR="00014CAF" w:rsidRDefault="00726847" w:rsidP="00726847">
      <w:pPr>
        <w:spacing w:line="276" w:lineRule="auto"/>
        <w:rPr>
          <w:sz w:val="24"/>
          <w:szCs w:val="24"/>
        </w:rPr>
      </w:pPr>
      <w:r w:rsidRPr="00726847">
        <w:rPr>
          <w:sz w:val="24"/>
          <w:szCs w:val="24"/>
        </w:rPr>
        <w:t>As this is preliminary research, its main limits concern the obstacle in acquiring data because, as small businesses, they do not have an environmental reporting system and/or a financial report and there is often a lack of awareness of sustainability. Furthermore, it is necessary to identify the consumption of the inhabitants compared to that of tourists.</w:t>
      </w:r>
    </w:p>
    <w:p w14:paraId="61F6EBF0" w14:textId="77777777" w:rsidR="00726847" w:rsidRPr="00B01A8D" w:rsidRDefault="00726847" w:rsidP="00726847">
      <w:pPr>
        <w:spacing w:line="276" w:lineRule="auto"/>
        <w:rPr>
          <w:sz w:val="24"/>
          <w:szCs w:val="24"/>
        </w:rPr>
      </w:pPr>
    </w:p>
    <w:p w14:paraId="2BF158D2" w14:textId="45CFE8B8" w:rsidR="00E670CE" w:rsidRPr="008356A4" w:rsidRDefault="00E670CE" w:rsidP="008356A4">
      <w:pPr>
        <w:pStyle w:val="Titolo1"/>
        <w:numPr>
          <w:ilvl w:val="0"/>
          <w:numId w:val="47"/>
        </w:numPr>
        <w:spacing w:before="0" w:after="0" w:line="276" w:lineRule="auto"/>
        <w:rPr>
          <w:snapToGrid w:val="0"/>
          <w:sz w:val="24"/>
          <w:szCs w:val="24"/>
        </w:rPr>
      </w:pPr>
      <w:r w:rsidRPr="008356A4">
        <w:rPr>
          <w:snapToGrid w:val="0"/>
          <w:sz w:val="24"/>
          <w:szCs w:val="24"/>
        </w:rPr>
        <w:t xml:space="preserve">Conclusions </w:t>
      </w:r>
    </w:p>
    <w:p w14:paraId="5A8EB05A" w14:textId="77777777" w:rsidR="00BF7B6C" w:rsidRDefault="008356A4" w:rsidP="008356A4">
      <w:pPr>
        <w:spacing w:line="276" w:lineRule="auto"/>
        <w:rPr>
          <w:sz w:val="24"/>
          <w:szCs w:val="24"/>
        </w:rPr>
      </w:pPr>
      <w:r w:rsidRPr="008356A4">
        <w:rPr>
          <w:sz w:val="24"/>
          <w:szCs w:val="24"/>
        </w:rPr>
        <w:t>In this preliminary study, through ISO 14064-1:2018 standards, a framework for quantifying and reporting the CF of tourism organizations has been drawn up. This framework can be adapted to other destinations with similar characteristics with the aim of reducing their environmental pressure, enhancing, and promoting their sustainable growth through the assessment, monitoring, and reduction of the CF of the organizations involved.</w:t>
      </w:r>
      <w:r w:rsidR="00BF7B6C">
        <w:rPr>
          <w:sz w:val="24"/>
          <w:szCs w:val="24"/>
        </w:rPr>
        <w:t xml:space="preserve"> </w:t>
      </w:r>
    </w:p>
    <w:p w14:paraId="541FC611" w14:textId="11D6051C" w:rsidR="00726847" w:rsidRPr="008356A4" w:rsidRDefault="008356A4" w:rsidP="008356A4">
      <w:pPr>
        <w:spacing w:line="276" w:lineRule="auto"/>
        <w:rPr>
          <w:sz w:val="24"/>
          <w:szCs w:val="24"/>
        </w:rPr>
      </w:pPr>
      <w:r w:rsidRPr="008356A4">
        <w:rPr>
          <w:sz w:val="24"/>
          <w:szCs w:val="24"/>
        </w:rPr>
        <w:t xml:space="preserve">The future research study will provide the assessment of GHG emissions of the tourism organizations involved in the examined area, </w:t>
      </w:r>
      <w:proofErr w:type="gramStart"/>
      <w:r w:rsidRPr="008356A4">
        <w:rPr>
          <w:sz w:val="24"/>
          <w:szCs w:val="24"/>
        </w:rPr>
        <w:t>on the basis of</w:t>
      </w:r>
      <w:proofErr w:type="gramEnd"/>
      <w:r w:rsidRPr="008356A4">
        <w:rPr>
          <w:sz w:val="24"/>
          <w:szCs w:val="24"/>
        </w:rPr>
        <w:t xml:space="preserve"> the accurate data which will be gathered and a sustainability report. The results will be benchmarked with others from different calculation methods, as well as the development of a standardized structured report.</w:t>
      </w:r>
    </w:p>
    <w:p w14:paraId="0111B1E3" w14:textId="1A2463BC" w:rsidR="00D07C01" w:rsidRPr="00B01A8D" w:rsidRDefault="002F7330" w:rsidP="00B01A8D">
      <w:pPr>
        <w:pStyle w:val="Titolo1"/>
        <w:numPr>
          <w:ilvl w:val="0"/>
          <w:numId w:val="0"/>
        </w:numPr>
        <w:spacing w:before="320" w:line="240" w:lineRule="auto"/>
        <w:ind w:left="576" w:hanging="576"/>
        <w:contextualSpacing/>
        <w:rPr>
          <w:sz w:val="24"/>
          <w:szCs w:val="24"/>
        </w:rPr>
      </w:pPr>
      <w:bookmarkStart w:id="1" w:name="_Toc75162077"/>
      <w:bookmarkStart w:id="2" w:name="_Toc142104141"/>
      <w:r w:rsidRPr="00B01A8D">
        <w:rPr>
          <w:sz w:val="24"/>
          <w:szCs w:val="24"/>
        </w:rPr>
        <w:lastRenderedPageBreak/>
        <w:t>References</w:t>
      </w:r>
      <w:bookmarkEnd w:id="1"/>
      <w:bookmarkEnd w:id="2"/>
      <w:r w:rsidRPr="00B01A8D">
        <w:rPr>
          <w:sz w:val="24"/>
          <w:szCs w:val="24"/>
        </w:rPr>
        <w:t xml:space="preserve"> </w:t>
      </w:r>
    </w:p>
    <w:p w14:paraId="26A8FAED" w14:textId="55FFD632" w:rsidR="00667597" w:rsidRPr="00B01A8D" w:rsidRDefault="00667597" w:rsidP="00B01A8D">
      <w:pPr>
        <w:spacing w:line="240" w:lineRule="auto"/>
        <w:rPr>
          <w:sz w:val="24"/>
          <w:szCs w:val="24"/>
          <w:lang w:val="en-GB"/>
        </w:rPr>
      </w:pPr>
      <w:r w:rsidRPr="00B01A8D">
        <w:rPr>
          <w:sz w:val="24"/>
          <w:szCs w:val="24"/>
          <w:lang w:val="en-GB"/>
        </w:rPr>
        <w:t>Cai M (2016) Greenhouse gas emissions from tourist activities in South Tyrol: A multiregional input</w:t>
      </w:r>
      <w:r w:rsidR="00FE37F9" w:rsidRPr="00B01A8D">
        <w:rPr>
          <w:sz w:val="24"/>
          <w:szCs w:val="24"/>
          <w:lang w:val="en-GB"/>
        </w:rPr>
        <w:t>-</w:t>
      </w:r>
      <w:r w:rsidRPr="00B01A8D">
        <w:rPr>
          <w:sz w:val="24"/>
          <w:szCs w:val="24"/>
          <w:lang w:val="en-GB"/>
        </w:rPr>
        <w:t>output approach. Tourism Economics</w:t>
      </w:r>
      <w:r w:rsidR="00D24F9F" w:rsidRPr="00B01A8D">
        <w:rPr>
          <w:sz w:val="24"/>
          <w:szCs w:val="24"/>
          <w:lang w:val="en-GB"/>
        </w:rPr>
        <w:t>,</w:t>
      </w:r>
      <w:r w:rsidRPr="00B01A8D">
        <w:rPr>
          <w:sz w:val="24"/>
          <w:szCs w:val="24"/>
          <w:lang w:val="en-GB"/>
        </w:rPr>
        <w:t xml:space="preserve"> </w:t>
      </w:r>
      <w:r w:rsidR="00DF6CF4" w:rsidRPr="00B01A8D">
        <w:rPr>
          <w:sz w:val="24"/>
          <w:szCs w:val="24"/>
          <w:lang w:val="en-GB"/>
        </w:rPr>
        <w:t>22(6)</w:t>
      </w:r>
      <w:r w:rsidR="002A6710" w:rsidRPr="00B01A8D">
        <w:rPr>
          <w:sz w:val="24"/>
          <w:szCs w:val="24"/>
          <w:lang w:val="en-GB"/>
        </w:rPr>
        <w:t>:</w:t>
      </w:r>
      <w:r w:rsidR="00DF6CF4" w:rsidRPr="00B01A8D">
        <w:rPr>
          <w:sz w:val="24"/>
          <w:szCs w:val="24"/>
          <w:lang w:val="en-GB"/>
        </w:rPr>
        <w:t xml:space="preserve"> 1301</w:t>
      </w:r>
      <w:r w:rsidR="002A6710" w:rsidRPr="00B01A8D">
        <w:rPr>
          <w:sz w:val="24"/>
          <w:szCs w:val="24"/>
          <w:lang w:val="en-GB"/>
        </w:rPr>
        <w:t>-</w:t>
      </w:r>
      <w:r w:rsidR="00DF6CF4" w:rsidRPr="00B01A8D">
        <w:rPr>
          <w:sz w:val="24"/>
          <w:szCs w:val="24"/>
          <w:lang w:val="en-GB"/>
        </w:rPr>
        <w:t xml:space="preserve">1314 </w:t>
      </w:r>
      <w:hyperlink r:id="rId15" w:history="1">
        <w:r w:rsidRPr="00B01A8D">
          <w:rPr>
            <w:rStyle w:val="Collegamentoipertestuale"/>
            <w:sz w:val="24"/>
            <w:szCs w:val="24"/>
            <w:lang w:val="en-GB"/>
          </w:rPr>
          <w:t>https://doi.org/10.1177/1354816616669008</w:t>
        </w:r>
      </w:hyperlink>
      <w:r w:rsidRPr="00B01A8D">
        <w:rPr>
          <w:sz w:val="24"/>
          <w:szCs w:val="24"/>
          <w:lang w:val="en-GB"/>
        </w:rPr>
        <w:t xml:space="preserve"> </w:t>
      </w:r>
    </w:p>
    <w:p w14:paraId="138E605C" w14:textId="77777777" w:rsidR="00667597" w:rsidRPr="00B01A8D" w:rsidRDefault="00667597" w:rsidP="00B01A8D">
      <w:pPr>
        <w:spacing w:line="240" w:lineRule="auto"/>
        <w:rPr>
          <w:sz w:val="24"/>
          <w:szCs w:val="24"/>
          <w:lang w:val="en-GB"/>
        </w:rPr>
      </w:pPr>
    </w:p>
    <w:p w14:paraId="3BAF2D9D" w14:textId="33625A15" w:rsidR="00667597" w:rsidRPr="00B315F3" w:rsidRDefault="00667597" w:rsidP="00B01A8D">
      <w:pPr>
        <w:spacing w:line="240" w:lineRule="auto"/>
        <w:rPr>
          <w:sz w:val="24"/>
          <w:szCs w:val="24"/>
          <w:lang w:val="en-GB"/>
        </w:rPr>
      </w:pPr>
      <w:r w:rsidRPr="00B01A8D">
        <w:rPr>
          <w:sz w:val="24"/>
          <w:szCs w:val="24"/>
          <w:lang w:val="en-GB"/>
        </w:rPr>
        <w:t xml:space="preserve">Choudhary P, Srivastava RK, De S (2018) Integrating Greenhouse gases (GHG) assessment for low carbon economy path: Live case study of Indian national oil company. </w:t>
      </w:r>
      <w:r w:rsidRPr="00B315F3">
        <w:rPr>
          <w:sz w:val="24"/>
          <w:szCs w:val="24"/>
          <w:lang w:val="en-GB"/>
        </w:rPr>
        <w:t xml:space="preserve">Journal of Cleaner Production, </w:t>
      </w:r>
      <w:r w:rsidR="00DD22BC" w:rsidRPr="00B315F3">
        <w:rPr>
          <w:sz w:val="24"/>
          <w:szCs w:val="24"/>
          <w:lang w:val="en-GB"/>
        </w:rPr>
        <w:t xml:space="preserve">198:351-363 </w:t>
      </w:r>
      <w:hyperlink r:id="rId16" w:history="1">
        <w:r w:rsidR="002A6710" w:rsidRPr="00B315F3">
          <w:rPr>
            <w:rStyle w:val="Collegamentoipertestuale"/>
            <w:sz w:val="24"/>
            <w:szCs w:val="24"/>
            <w:lang w:val="en-GB"/>
          </w:rPr>
          <w:t>https://doi.org/10.1016/j.jclepro.2018.07.032</w:t>
        </w:r>
      </w:hyperlink>
      <w:r w:rsidRPr="00B315F3">
        <w:rPr>
          <w:sz w:val="24"/>
          <w:szCs w:val="24"/>
          <w:lang w:val="en-GB"/>
        </w:rPr>
        <w:t xml:space="preserve">  </w:t>
      </w:r>
    </w:p>
    <w:p w14:paraId="2D29362C" w14:textId="77777777" w:rsidR="00DA6656" w:rsidRPr="00B01A8D" w:rsidRDefault="00DA6656" w:rsidP="00B01A8D">
      <w:pPr>
        <w:spacing w:line="240" w:lineRule="auto"/>
        <w:rPr>
          <w:sz w:val="24"/>
          <w:szCs w:val="24"/>
          <w:lang w:val="en-GB"/>
        </w:rPr>
      </w:pPr>
    </w:p>
    <w:p w14:paraId="0B14ABC2" w14:textId="77777777" w:rsidR="005D06D8" w:rsidRPr="00B01A8D" w:rsidRDefault="005D06D8" w:rsidP="00B01A8D">
      <w:pPr>
        <w:spacing w:line="240" w:lineRule="auto"/>
        <w:rPr>
          <w:sz w:val="24"/>
          <w:szCs w:val="24"/>
          <w:lang w:val="en-GB"/>
        </w:rPr>
      </w:pPr>
      <w:r w:rsidRPr="00B01A8D">
        <w:rPr>
          <w:sz w:val="24"/>
          <w:szCs w:val="24"/>
          <w:lang w:val="en-GB"/>
        </w:rPr>
        <w:t xml:space="preserve">European Union (2019). TAKE IT SLOW - Smart and Slow Tourism Supporting Adriatic Heritage for Tomorrow. </w:t>
      </w:r>
      <w:hyperlink r:id="rId17" w:history="1">
        <w:r w:rsidRPr="00B01A8D">
          <w:rPr>
            <w:rStyle w:val="Collegamentoipertestuale"/>
            <w:sz w:val="24"/>
            <w:szCs w:val="24"/>
            <w:lang w:val="en-GB"/>
          </w:rPr>
          <w:t>https://www.italy-croatia.eu/web/take-it-slow</w:t>
        </w:r>
      </w:hyperlink>
      <w:r w:rsidRPr="00B01A8D">
        <w:rPr>
          <w:sz w:val="24"/>
          <w:szCs w:val="24"/>
          <w:lang w:val="en-GB"/>
        </w:rPr>
        <w:t xml:space="preserve"> (Accessed: 7 June 2022)</w:t>
      </w:r>
    </w:p>
    <w:p w14:paraId="10D2B8AC" w14:textId="77777777" w:rsidR="00667597" w:rsidRPr="00B01A8D" w:rsidRDefault="00667597" w:rsidP="00B01A8D">
      <w:pPr>
        <w:spacing w:line="240" w:lineRule="auto"/>
        <w:rPr>
          <w:sz w:val="24"/>
          <w:szCs w:val="24"/>
          <w:lang w:val="en-GB"/>
        </w:rPr>
      </w:pPr>
    </w:p>
    <w:p w14:paraId="3A9EF501" w14:textId="5553C44C" w:rsidR="00667597" w:rsidRPr="00B01A8D" w:rsidRDefault="00667597" w:rsidP="00B01A8D">
      <w:pPr>
        <w:spacing w:line="240" w:lineRule="auto"/>
        <w:rPr>
          <w:sz w:val="24"/>
          <w:szCs w:val="24"/>
          <w:lang w:val="en-GB"/>
        </w:rPr>
      </w:pPr>
      <w:proofErr w:type="spellStart"/>
      <w:r w:rsidRPr="00B01A8D">
        <w:rPr>
          <w:sz w:val="24"/>
          <w:szCs w:val="24"/>
          <w:lang w:val="en-GB"/>
        </w:rPr>
        <w:t>Filimonau</w:t>
      </w:r>
      <w:proofErr w:type="spellEnd"/>
      <w:r w:rsidRPr="00B01A8D">
        <w:rPr>
          <w:sz w:val="24"/>
          <w:szCs w:val="24"/>
          <w:lang w:val="en-GB"/>
        </w:rPr>
        <w:t xml:space="preserve"> V, Dickinson J, Robbins D, Reddy MV (2013) The role of ‘indirect’ greenhouse gas emissions in tourism: Assessing the hidden carbon impacts from a holiday package tour. Transportation Research Part A: Policy and Practice, 54</w:t>
      </w:r>
      <w:r w:rsidR="00830C1C" w:rsidRPr="00B01A8D">
        <w:rPr>
          <w:sz w:val="24"/>
          <w:szCs w:val="24"/>
          <w:lang w:val="en-GB"/>
        </w:rPr>
        <w:t>:78-91</w:t>
      </w:r>
      <w:r w:rsidRPr="00B01A8D">
        <w:rPr>
          <w:sz w:val="24"/>
          <w:szCs w:val="24"/>
          <w:lang w:val="en-GB"/>
        </w:rPr>
        <w:t xml:space="preserve"> </w:t>
      </w:r>
      <w:hyperlink r:id="rId18" w:history="1">
        <w:r w:rsidRPr="00B01A8D">
          <w:rPr>
            <w:rStyle w:val="Collegamentoipertestuale"/>
            <w:sz w:val="24"/>
            <w:szCs w:val="24"/>
            <w:lang w:val="en-GB"/>
          </w:rPr>
          <w:t>https://doi.org/10.1016/j.tra.2013.07.002</w:t>
        </w:r>
      </w:hyperlink>
      <w:r w:rsidRPr="00B01A8D">
        <w:rPr>
          <w:sz w:val="24"/>
          <w:szCs w:val="24"/>
          <w:lang w:val="en-GB"/>
        </w:rPr>
        <w:t xml:space="preserve"> </w:t>
      </w:r>
    </w:p>
    <w:p w14:paraId="3D43DDDA" w14:textId="77777777" w:rsidR="00667597" w:rsidRPr="00B01A8D" w:rsidRDefault="00667597" w:rsidP="00B01A8D">
      <w:pPr>
        <w:spacing w:line="240" w:lineRule="auto"/>
        <w:rPr>
          <w:sz w:val="24"/>
          <w:szCs w:val="24"/>
          <w:lang w:val="en-GB"/>
        </w:rPr>
      </w:pPr>
    </w:p>
    <w:p w14:paraId="58877E21" w14:textId="32208A66" w:rsidR="00C565E4" w:rsidRPr="00B01A8D" w:rsidRDefault="00667597" w:rsidP="00B01A8D">
      <w:pPr>
        <w:spacing w:line="240" w:lineRule="auto"/>
        <w:rPr>
          <w:sz w:val="24"/>
          <w:szCs w:val="24"/>
          <w:lang w:val="en-GB"/>
        </w:rPr>
      </w:pPr>
      <w:bookmarkStart w:id="3" w:name="_Hlk105409137"/>
      <w:r w:rsidRPr="00B01A8D">
        <w:rPr>
          <w:sz w:val="24"/>
          <w:szCs w:val="24"/>
          <w:lang w:val="en-GB"/>
        </w:rPr>
        <w:t>ISO 14064-1:2018</w:t>
      </w:r>
      <w:bookmarkEnd w:id="3"/>
      <w:r w:rsidRPr="00B01A8D">
        <w:rPr>
          <w:sz w:val="24"/>
          <w:szCs w:val="24"/>
          <w:lang w:val="en-GB"/>
        </w:rPr>
        <w:t xml:space="preserve">. Greenhouse Gases – Part 1: specification with guidance at the organization level for quantification and reporting of Greenhouse Gas emissions and removals. International Standards Organization. Geneva, Switzerland. </w:t>
      </w:r>
      <w:hyperlink r:id="rId19" w:history="1">
        <w:r w:rsidRPr="00B01A8D">
          <w:rPr>
            <w:rStyle w:val="Collegamentoipertestuale"/>
            <w:sz w:val="24"/>
            <w:szCs w:val="24"/>
            <w:lang w:val="en-GB"/>
          </w:rPr>
          <w:t>https://www.iso.org/standard/66453.html</w:t>
        </w:r>
      </w:hyperlink>
      <w:r w:rsidRPr="00B01A8D">
        <w:rPr>
          <w:sz w:val="24"/>
          <w:szCs w:val="24"/>
          <w:lang w:val="en-GB"/>
        </w:rPr>
        <w:t xml:space="preserve"> (Accessed: 24 May 2022)</w:t>
      </w:r>
    </w:p>
    <w:p w14:paraId="256A4592" w14:textId="77777777" w:rsidR="00344AD6" w:rsidRPr="00B01A8D" w:rsidRDefault="00344AD6" w:rsidP="00B01A8D">
      <w:pPr>
        <w:spacing w:line="240" w:lineRule="auto"/>
        <w:rPr>
          <w:sz w:val="24"/>
          <w:szCs w:val="24"/>
          <w:lang w:val="en-GB"/>
        </w:rPr>
      </w:pPr>
    </w:p>
    <w:p w14:paraId="50DBA291" w14:textId="517B51BF" w:rsidR="00667597" w:rsidRPr="00B01A8D" w:rsidRDefault="00C565E4" w:rsidP="00B01A8D">
      <w:pPr>
        <w:spacing w:line="240" w:lineRule="auto"/>
        <w:rPr>
          <w:sz w:val="24"/>
          <w:szCs w:val="24"/>
          <w:lang w:val="it-IT"/>
        </w:rPr>
      </w:pPr>
      <w:r w:rsidRPr="00B01A8D">
        <w:rPr>
          <w:sz w:val="24"/>
          <w:szCs w:val="24"/>
          <w:lang w:val="it-IT"/>
        </w:rPr>
        <w:t>ISTAT (2020)</w:t>
      </w:r>
      <w:r w:rsidR="00805080" w:rsidRPr="00B01A8D">
        <w:rPr>
          <w:sz w:val="24"/>
          <w:szCs w:val="24"/>
          <w:lang w:val="it-IT"/>
        </w:rPr>
        <w:t xml:space="preserve"> Bilancio demografico anno 2020 e popolazione residente al 31 dicembre. Comune: Fasano. Comune: Monopoli. </w:t>
      </w:r>
      <w:hyperlink r:id="rId20" w:history="1">
        <w:r w:rsidR="007B36DD" w:rsidRPr="00B01A8D">
          <w:rPr>
            <w:rStyle w:val="Collegamentoipertestuale"/>
            <w:sz w:val="24"/>
            <w:szCs w:val="24"/>
            <w:lang w:val="it-IT"/>
          </w:rPr>
          <w:t>https://demo.istat.it/bil/index.php?anno=2020&amp;lingua=ita</w:t>
        </w:r>
      </w:hyperlink>
      <w:r w:rsidR="007B36DD" w:rsidRPr="00B01A8D">
        <w:rPr>
          <w:sz w:val="24"/>
          <w:szCs w:val="24"/>
          <w:lang w:val="it-IT"/>
        </w:rPr>
        <w:t xml:space="preserve"> (</w:t>
      </w:r>
      <w:proofErr w:type="spellStart"/>
      <w:r w:rsidR="007B36DD" w:rsidRPr="00B01A8D">
        <w:rPr>
          <w:sz w:val="24"/>
          <w:szCs w:val="24"/>
          <w:lang w:val="it-IT"/>
        </w:rPr>
        <w:t>Accessed</w:t>
      </w:r>
      <w:proofErr w:type="spellEnd"/>
      <w:r w:rsidR="007B36DD" w:rsidRPr="00B01A8D">
        <w:rPr>
          <w:sz w:val="24"/>
          <w:szCs w:val="24"/>
          <w:lang w:val="it-IT"/>
        </w:rPr>
        <w:t>: 6 June 2022)</w:t>
      </w:r>
    </w:p>
    <w:p w14:paraId="02FBDD8A" w14:textId="136E9FBF" w:rsidR="00BD76D3" w:rsidRPr="00B01A8D" w:rsidRDefault="00BD76D3" w:rsidP="00B01A8D">
      <w:pPr>
        <w:spacing w:line="240" w:lineRule="auto"/>
        <w:rPr>
          <w:sz w:val="24"/>
          <w:szCs w:val="24"/>
          <w:lang w:val="it-IT"/>
        </w:rPr>
      </w:pPr>
    </w:p>
    <w:p w14:paraId="15F3271A" w14:textId="09076161" w:rsidR="00BD76D3" w:rsidRPr="00B01A8D" w:rsidRDefault="00BD76D3" w:rsidP="00B01A8D">
      <w:pPr>
        <w:spacing w:line="240" w:lineRule="auto"/>
        <w:rPr>
          <w:sz w:val="24"/>
          <w:szCs w:val="24"/>
          <w:lang w:val="it-IT"/>
        </w:rPr>
      </w:pPr>
      <w:r w:rsidRPr="00B01A8D">
        <w:rPr>
          <w:sz w:val="24"/>
          <w:szCs w:val="24"/>
          <w:lang w:val="it-IT"/>
        </w:rPr>
        <w:t>ISTAT (2022)</w:t>
      </w:r>
      <w:r w:rsidR="003578CF" w:rsidRPr="00B01A8D">
        <w:rPr>
          <w:sz w:val="24"/>
          <w:szCs w:val="24"/>
          <w:lang w:val="it-IT"/>
        </w:rPr>
        <w:t xml:space="preserve"> </w:t>
      </w:r>
      <w:r w:rsidR="00462CC8" w:rsidRPr="00B01A8D">
        <w:rPr>
          <w:sz w:val="24"/>
          <w:szCs w:val="24"/>
          <w:lang w:val="it-IT"/>
        </w:rPr>
        <w:t xml:space="preserve">Principali statistiche geografiche sui comuni </w:t>
      </w:r>
      <w:r w:rsidR="00E2611B" w:rsidRPr="00B01A8D">
        <w:rPr>
          <w:sz w:val="24"/>
          <w:szCs w:val="24"/>
          <w:lang w:val="it-IT"/>
        </w:rPr>
        <w:t xml:space="preserve">- Classificazioni statistiche e dimensione dei comuni </w:t>
      </w:r>
      <w:hyperlink r:id="rId21" w:history="1">
        <w:r w:rsidR="00E2611B" w:rsidRPr="00B01A8D">
          <w:rPr>
            <w:rStyle w:val="Collegamentoipertestuale"/>
            <w:sz w:val="24"/>
            <w:szCs w:val="24"/>
            <w:lang w:val="it-IT"/>
          </w:rPr>
          <w:t>https://www.istat.it/it/archivio/156224</w:t>
        </w:r>
      </w:hyperlink>
      <w:r w:rsidR="00DD3669" w:rsidRPr="00B01A8D">
        <w:rPr>
          <w:sz w:val="24"/>
          <w:szCs w:val="24"/>
          <w:lang w:val="it-IT"/>
        </w:rPr>
        <w:t xml:space="preserve"> </w:t>
      </w:r>
      <w:r w:rsidR="003578CF" w:rsidRPr="00B01A8D">
        <w:rPr>
          <w:sz w:val="24"/>
          <w:szCs w:val="24"/>
          <w:lang w:val="it-IT"/>
        </w:rPr>
        <w:t>(</w:t>
      </w:r>
      <w:proofErr w:type="spellStart"/>
      <w:r w:rsidR="003578CF" w:rsidRPr="00B01A8D">
        <w:rPr>
          <w:sz w:val="24"/>
          <w:szCs w:val="24"/>
          <w:lang w:val="it-IT"/>
        </w:rPr>
        <w:t>Accessed</w:t>
      </w:r>
      <w:proofErr w:type="spellEnd"/>
      <w:r w:rsidR="003578CF" w:rsidRPr="00B01A8D">
        <w:rPr>
          <w:sz w:val="24"/>
          <w:szCs w:val="24"/>
          <w:lang w:val="it-IT"/>
        </w:rPr>
        <w:t>: 13 June 2022)</w:t>
      </w:r>
      <w:r w:rsidR="00DD3669" w:rsidRPr="00B01A8D">
        <w:rPr>
          <w:sz w:val="24"/>
          <w:szCs w:val="24"/>
          <w:lang w:val="it-IT"/>
        </w:rPr>
        <w:t xml:space="preserve"> </w:t>
      </w:r>
    </w:p>
    <w:p w14:paraId="3528B635" w14:textId="5F7F4184" w:rsidR="00BC26BF" w:rsidRPr="00B01A8D" w:rsidRDefault="00BC26BF" w:rsidP="00B01A8D">
      <w:pPr>
        <w:pStyle w:val="NormaleWeb"/>
        <w:jc w:val="both"/>
        <w:rPr>
          <w:lang w:val="en-US"/>
        </w:rPr>
      </w:pPr>
      <w:r w:rsidRPr="00B01A8D">
        <w:rPr>
          <w:lang w:val="en-US"/>
        </w:rPr>
        <w:t xml:space="preserve">Kitamura Y, </w:t>
      </w:r>
      <w:proofErr w:type="spellStart"/>
      <w:r w:rsidRPr="00B01A8D">
        <w:rPr>
          <w:lang w:val="en-US"/>
        </w:rPr>
        <w:t>Ichisugi</w:t>
      </w:r>
      <w:proofErr w:type="spellEnd"/>
      <w:r w:rsidRPr="00B01A8D">
        <w:rPr>
          <w:lang w:val="en-US"/>
        </w:rPr>
        <w:t xml:space="preserve"> Y, </w:t>
      </w:r>
      <w:proofErr w:type="spellStart"/>
      <w:r w:rsidRPr="00B01A8D">
        <w:rPr>
          <w:lang w:val="en-US"/>
        </w:rPr>
        <w:t>Karkour</w:t>
      </w:r>
      <w:proofErr w:type="spellEnd"/>
      <w:r w:rsidRPr="00B01A8D">
        <w:rPr>
          <w:lang w:val="en-US"/>
        </w:rPr>
        <w:t xml:space="preserve"> S, </w:t>
      </w:r>
      <w:proofErr w:type="spellStart"/>
      <w:r w:rsidRPr="00B01A8D">
        <w:rPr>
          <w:lang w:val="en-US"/>
        </w:rPr>
        <w:t>Itsubo</w:t>
      </w:r>
      <w:proofErr w:type="spellEnd"/>
      <w:r w:rsidRPr="00B01A8D">
        <w:rPr>
          <w:lang w:val="en-US"/>
        </w:rPr>
        <w:t xml:space="preserve"> N (</w:t>
      </w:r>
      <w:r w:rsidR="0021425B" w:rsidRPr="00B01A8D">
        <w:rPr>
          <w:lang w:val="en-US"/>
        </w:rPr>
        <w:t>2020) Carbon Footprint Evaluation Based on Tourist Consumption toward Sustainable Tourism in Japan</w:t>
      </w:r>
      <w:r w:rsidR="00DA6656" w:rsidRPr="00B01A8D">
        <w:rPr>
          <w:lang w:val="en-US"/>
        </w:rPr>
        <w:t>.</w:t>
      </w:r>
      <w:r w:rsidR="0021425B" w:rsidRPr="00B01A8D">
        <w:rPr>
          <w:lang w:val="en-US"/>
        </w:rPr>
        <w:t xml:space="preserve"> Sustainability, 12</w:t>
      </w:r>
      <w:r w:rsidR="00DA6656" w:rsidRPr="00B01A8D">
        <w:rPr>
          <w:lang w:val="en-US"/>
        </w:rPr>
        <w:t>,</w:t>
      </w:r>
      <w:r w:rsidR="0021425B" w:rsidRPr="00B01A8D">
        <w:rPr>
          <w:lang w:val="en-US"/>
        </w:rPr>
        <w:t>2219</w:t>
      </w:r>
      <w:r w:rsidR="0091163A" w:rsidRPr="00B01A8D">
        <w:rPr>
          <w:lang w:val="en-US"/>
        </w:rPr>
        <w:t>.</w:t>
      </w:r>
      <w:r w:rsidR="0021425B" w:rsidRPr="00B01A8D">
        <w:rPr>
          <w:lang w:val="en-US"/>
        </w:rPr>
        <w:t xml:space="preserve"> </w:t>
      </w:r>
      <w:r w:rsidR="00DA6656" w:rsidRPr="00B01A8D">
        <w:rPr>
          <w:lang w:val="en-US"/>
        </w:rPr>
        <w:t>DOI</w:t>
      </w:r>
      <w:r w:rsidR="0021425B" w:rsidRPr="00B01A8D">
        <w:rPr>
          <w:lang w:val="en-US"/>
        </w:rPr>
        <w:t xml:space="preserve">:10.3390/su12062219 </w:t>
      </w:r>
    </w:p>
    <w:p w14:paraId="067D7C19" w14:textId="63F813FD" w:rsidR="00667597" w:rsidRPr="00B01A8D" w:rsidRDefault="00667597" w:rsidP="00B01A8D">
      <w:pPr>
        <w:spacing w:line="240" w:lineRule="auto"/>
        <w:rPr>
          <w:sz w:val="24"/>
          <w:szCs w:val="24"/>
          <w:lang w:val="en-GB"/>
        </w:rPr>
      </w:pPr>
      <w:proofErr w:type="spellStart"/>
      <w:r w:rsidRPr="00B01A8D">
        <w:rPr>
          <w:sz w:val="24"/>
          <w:szCs w:val="24"/>
          <w:lang w:val="en-GB"/>
        </w:rPr>
        <w:lastRenderedPageBreak/>
        <w:t>Koçak</w:t>
      </w:r>
      <w:proofErr w:type="spellEnd"/>
      <w:r w:rsidRPr="00B01A8D">
        <w:rPr>
          <w:sz w:val="24"/>
          <w:szCs w:val="24"/>
          <w:lang w:val="en-GB"/>
        </w:rPr>
        <w:t xml:space="preserve"> E, </w:t>
      </w:r>
      <w:proofErr w:type="spellStart"/>
      <w:r w:rsidRPr="00B01A8D">
        <w:rPr>
          <w:sz w:val="24"/>
          <w:szCs w:val="24"/>
          <w:lang w:val="en-GB"/>
        </w:rPr>
        <w:t>Ulucak</w:t>
      </w:r>
      <w:proofErr w:type="spellEnd"/>
      <w:r w:rsidRPr="00B01A8D">
        <w:rPr>
          <w:sz w:val="24"/>
          <w:szCs w:val="24"/>
          <w:lang w:val="en-GB"/>
        </w:rPr>
        <w:t xml:space="preserve"> R, </w:t>
      </w:r>
      <w:proofErr w:type="spellStart"/>
      <w:r w:rsidRPr="00B01A8D">
        <w:rPr>
          <w:sz w:val="24"/>
          <w:szCs w:val="24"/>
          <w:lang w:val="en-GB"/>
        </w:rPr>
        <w:t>Ulucak</w:t>
      </w:r>
      <w:proofErr w:type="spellEnd"/>
      <w:r w:rsidRPr="00B01A8D">
        <w:rPr>
          <w:sz w:val="24"/>
          <w:szCs w:val="24"/>
          <w:lang w:val="en-GB"/>
        </w:rPr>
        <w:t xml:space="preserve"> ZŞ (2020) The impact of tourism developments on CO</w:t>
      </w:r>
      <w:r w:rsidRPr="00B01A8D">
        <w:rPr>
          <w:sz w:val="24"/>
          <w:szCs w:val="24"/>
          <w:vertAlign w:val="subscript"/>
          <w:lang w:val="en-GB"/>
        </w:rPr>
        <w:t>2</w:t>
      </w:r>
      <w:r w:rsidRPr="00B01A8D">
        <w:rPr>
          <w:sz w:val="24"/>
          <w:szCs w:val="24"/>
          <w:lang w:val="en-GB"/>
        </w:rPr>
        <w:t xml:space="preserve"> emissions: An advanced panel data estimation. Tourism Management Perspectives, 33</w:t>
      </w:r>
      <w:r w:rsidR="00C93DAF" w:rsidRPr="00B01A8D">
        <w:rPr>
          <w:sz w:val="24"/>
          <w:szCs w:val="24"/>
          <w:lang w:val="en-GB"/>
        </w:rPr>
        <w:t>:</w:t>
      </w:r>
      <w:r w:rsidR="00C93DAF" w:rsidRPr="00B01A8D">
        <w:rPr>
          <w:sz w:val="24"/>
          <w:szCs w:val="24"/>
        </w:rPr>
        <w:t xml:space="preserve"> </w:t>
      </w:r>
      <w:r w:rsidR="00C93DAF" w:rsidRPr="00B01A8D">
        <w:rPr>
          <w:sz w:val="24"/>
          <w:szCs w:val="24"/>
          <w:lang w:val="en-GB"/>
        </w:rPr>
        <w:t>100611</w:t>
      </w:r>
      <w:r w:rsidR="0093414E" w:rsidRPr="00B01A8D">
        <w:rPr>
          <w:sz w:val="24"/>
          <w:szCs w:val="24"/>
          <w:lang w:val="en-GB"/>
        </w:rPr>
        <w:t xml:space="preserve"> </w:t>
      </w:r>
      <w:hyperlink r:id="rId22" w:history="1">
        <w:r w:rsidR="0093414E" w:rsidRPr="00B01A8D">
          <w:rPr>
            <w:rStyle w:val="Collegamentoipertestuale"/>
            <w:sz w:val="24"/>
            <w:szCs w:val="24"/>
            <w:lang w:val="en-GB"/>
          </w:rPr>
          <w:t>https://doi.org/10.1016/j.tmp.2019.100611</w:t>
        </w:r>
      </w:hyperlink>
      <w:r w:rsidRPr="00B01A8D">
        <w:rPr>
          <w:sz w:val="24"/>
          <w:szCs w:val="24"/>
          <w:lang w:val="en-GB"/>
        </w:rPr>
        <w:t xml:space="preserve"> </w:t>
      </w:r>
    </w:p>
    <w:p w14:paraId="3F23CCC4" w14:textId="5B735EB5" w:rsidR="00C224D1" w:rsidRPr="00B01A8D" w:rsidRDefault="00C224D1" w:rsidP="00B01A8D">
      <w:pPr>
        <w:spacing w:line="240" w:lineRule="auto"/>
        <w:rPr>
          <w:sz w:val="24"/>
          <w:szCs w:val="24"/>
          <w:lang w:val="en-GB"/>
        </w:rPr>
      </w:pPr>
    </w:p>
    <w:p w14:paraId="740527FB" w14:textId="51C7907D" w:rsidR="00C224D1" w:rsidRPr="00B01A8D" w:rsidRDefault="00C224D1" w:rsidP="00B01A8D">
      <w:pPr>
        <w:spacing w:line="240" w:lineRule="auto"/>
        <w:rPr>
          <w:sz w:val="24"/>
          <w:szCs w:val="24"/>
          <w:lang w:val="en-GB"/>
        </w:rPr>
      </w:pPr>
      <w:proofErr w:type="spellStart"/>
      <w:r w:rsidRPr="00B01A8D">
        <w:rPr>
          <w:sz w:val="24"/>
          <w:szCs w:val="24"/>
          <w:lang w:val="en-GB"/>
        </w:rPr>
        <w:t>Lenzen</w:t>
      </w:r>
      <w:proofErr w:type="spellEnd"/>
      <w:r w:rsidRPr="00B01A8D">
        <w:rPr>
          <w:sz w:val="24"/>
          <w:szCs w:val="24"/>
          <w:lang w:val="en-GB"/>
        </w:rPr>
        <w:t xml:space="preserve"> M</w:t>
      </w:r>
      <w:r w:rsidR="009A6DAC" w:rsidRPr="00B01A8D">
        <w:rPr>
          <w:sz w:val="24"/>
          <w:szCs w:val="24"/>
          <w:lang w:val="en-GB"/>
        </w:rPr>
        <w:t>,</w:t>
      </w:r>
      <w:r w:rsidRPr="00B01A8D">
        <w:rPr>
          <w:sz w:val="24"/>
          <w:szCs w:val="24"/>
          <w:lang w:val="en-GB"/>
        </w:rPr>
        <w:t xml:space="preserve"> Sun Y</w:t>
      </w:r>
      <w:r w:rsidR="009A6DAC" w:rsidRPr="00B01A8D">
        <w:rPr>
          <w:sz w:val="24"/>
          <w:szCs w:val="24"/>
          <w:lang w:val="en-GB"/>
        </w:rPr>
        <w:t>,</w:t>
      </w:r>
      <w:r w:rsidRPr="00B01A8D">
        <w:rPr>
          <w:sz w:val="24"/>
          <w:szCs w:val="24"/>
          <w:lang w:val="en-GB"/>
        </w:rPr>
        <w:t xml:space="preserve"> </w:t>
      </w:r>
      <w:proofErr w:type="spellStart"/>
      <w:r w:rsidRPr="00B01A8D">
        <w:rPr>
          <w:sz w:val="24"/>
          <w:szCs w:val="24"/>
          <w:lang w:val="en-GB"/>
        </w:rPr>
        <w:t>Faturay</w:t>
      </w:r>
      <w:proofErr w:type="spellEnd"/>
      <w:r w:rsidRPr="00B01A8D">
        <w:rPr>
          <w:sz w:val="24"/>
          <w:szCs w:val="24"/>
          <w:lang w:val="en-GB"/>
        </w:rPr>
        <w:t xml:space="preserve"> F</w:t>
      </w:r>
      <w:r w:rsidR="009E724B">
        <w:rPr>
          <w:sz w:val="24"/>
          <w:szCs w:val="24"/>
          <w:lang w:val="en-GB"/>
        </w:rPr>
        <w:t xml:space="preserve"> et al </w:t>
      </w:r>
      <w:r w:rsidRPr="00B01A8D">
        <w:rPr>
          <w:sz w:val="24"/>
          <w:szCs w:val="24"/>
          <w:lang w:val="en-GB"/>
        </w:rPr>
        <w:t>(2018) The carbon footprint of global tourism</w:t>
      </w:r>
      <w:r w:rsidR="009A6DAC" w:rsidRPr="00B01A8D">
        <w:rPr>
          <w:sz w:val="24"/>
          <w:szCs w:val="24"/>
          <w:lang w:val="en-GB"/>
        </w:rPr>
        <w:t>.</w:t>
      </w:r>
      <w:r w:rsidRPr="00B01A8D">
        <w:rPr>
          <w:sz w:val="24"/>
          <w:szCs w:val="24"/>
          <w:lang w:val="en-GB"/>
        </w:rPr>
        <w:t xml:space="preserve"> Nature Climate Change, 8, 522–528. </w:t>
      </w:r>
      <w:r w:rsidR="002D73FC" w:rsidRPr="00B01A8D">
        <w:rPr>
          <w:sz w:val="24"/>
          <w:szCs w:val="24"/>
          <w:lang w:val="en-GB"/>
        </w:rPr>
        <w:t xml:space="preserve">DOI:10.1038/s41558-018-0141-x </w:t>
      </w:r>
    </w:p>
    <w:p w14:paraId="183DFC12" w14:textId="77777777" w:rsidR="00667597" w:rsidRPr="00B01A8D" w:rsidRDefault="00667597" w:rsidP="00B01A8D">
      <w:pPr>
        <w:spacing w:line="240" w:lineRule="auto"/>
        <w:rPr>
          <w:sz w:val="24"/>
          <w:szCs w:val="24"/>
          <w:lang w:val="en-GB"/>
        </w:rPr>
      </w:pPr>
    </w:p>
    <w:p w14:paraId="170E71F9" w14:textId="513928C2" w:rsidR="00667597" w:rsidRPr="00B01A8D" w:rsidRDefault="00667597" w:rsidP="00B01A8D">
      <w:pPr>
        <w:spacing w:line="240" w:lineRule="auto"/>
        <w:rPr>
          <w:sz w:val="24"/>
          <w:szCs w:val="24"/>
          <w:lang w:val="en-GB"/>
        </w:rPr>
      </w:pPr>
      <w:r w:rsidRPr="00B01A8D">
        <w:rPr>
          <w:sz w:val="24"/>
          <w:szCs w:val="24"/>
          <w:lang w:val="en-GB"/>
        </w:rPr>
        <w:t>Pandey D, Agrawal M, Pandey JS (2011) Carbon footprint: current methods of estimation. Environmental Monitoring and Assessment,</w:t>
      </w:r>
      <w:r w:rsidR="00485918" w:rsidRPr="00B01A8D">
        <w:rPr>
          <w:sz w:val="24"/>
          <w:szCs w:val="24"/>
          <w:lang w:val="en-GB"/>
        </w:rPr>
        <w:t xml:space="preserve"> </w:t>
      </w:r>
      <w:r w:rsidRPr="00B01A8D">
        <w:rPr>
          <w:sz w:val="24"/>
          <w:szCs w:val="24"/>
          <w:lang w:val="en-GB"/>
        </w:rPr>
        <w:t>178</w:t>
      </w:r>
      <w:r w:rsidR="00485918" w:rsidRPr="00B01A8D">
        <w:rPr>
          <w:sz w:val="24"/>
          <w:szCs w:val="24"/>
          <w:lang w:val="en-GB"/>
        </w:rPr>
        <w:t>:135-160</w:t>
      </w:r>
      <w:r w:rsidRPr="00B01A8D">
        <w:rPr>
          <w:sz w:val="24"/>
          <w:szCs w:val="24"/>
          <w:lang w:val="en-GB"/>
        </w:rPr>
        <w:t>. DOI: 10.1007/s10661-010-1678-y</w:t>
      </w:r>
    </w:p>
    <w:p w14:paraId="18DD8780" w14:textId="05A3F7FE" w:rsidR="00483D09" w:rsidRPr="00B01A8D" w:rsidRDefault="00483D09" w:rsidP="00B01A8D">
      <w:pPr>
        <w:spacing w:line="240" w:lineRule="auto"/>
        <w:rPr>
          <w:sz w:val="24"/>
          <w:szCs w:val="24"/>
          <w:lang w:val="en-GB"/>
        </w:rPr>
      </w:pPr>
    </w:p>
    <w:p w14:paraId="0A40C0F4" w14:textId="76DDFD0C" w:rsidR="00667597" w:rsidRPr="00B01A8D" w:rsidRDefault="00483D09" w:rsidP="00B01A8D">
      <w:pPr>
        <w:spacing w:line="240" w:lineRule="auto"/>
        <w:rPr>
          <w:sz w:val="24"/>
          <w:szCs w:val="24"/>
          <w:lang w:val="en-GB"/>
        </w:rPr>
      </w:pPr>
      <w:r w:rsidRPr="00B01A8D">
        <w:rPr>
          <w:sz w:val="24"/>
          <w:szCs w:val="24"/>
          <w:lang w:val="en-GB"/>
        </w:rPr>
        <w:t>Puglia</w:t>
      </w:r>
      <w:r w:rsidR="00BC0863" w:rsidRPr="00B01A8D">
        <w:rPr>
          <w:sz w:val="24"/>
          <w:szCs w:val="24"/>
          <w:lang w:val="en-GB"/>
        </w:rPr>
        <w:t xml:space="preserve"> </w:t>
      </w:r>
      <w:proofErr w:type="spellStart"/>
      <w:r w:rsidR="004D18ED" w:rsidRPr="00B01A8D">
        <w:rPr>
          <w:sz w:val="24"/>
          <w:szCs w:val="24"/>
          <w:lang w:val="en-GB"/>
        </w:rPr>
        <w:t>P</w:t>
      </w:r>
      <w:r w:rsidRPr="00B01A8D">
        <w:rPr>
          <w:sz w:val="24"/>
          <w:szCs w:val="24"/>
          <w:lang w:val="en-GB"/>
        </w:rPr>
        <w:t>romozione</w:t>
      </w:r>
      <w:proofErr w:type="spellEnd"/>
      <w:r w:rsidRPr="00B01A8D">
        <w:rPr>
          <w:sz w:val="24"/>
          <w:szCs w:val="24"/>
          <w:lang w:val="en-GB"/>
        </w:rPr>
        <w:t xml:space="preserve"> - </w:t>
      </w:r>
      <w:r w:rsidR="000F61B0" w:rsidRPr="00B01A8D">
        <w:rPr>
          <w:sz w:val="24"/>
          <w:szCs w:val="24"/>
          <w:lang w:val="en-GB"/>
        </w:rPr>
        <w:t xml:space="preserve">Regional Tourism Agency </w:t>
      </w:r>
      <w:r w:rsidRPr="00B01A8D">
        <w:rPr>
          <w:sz w:val="24"/>
          <w:szCs w:val="24"/>
          <w:lang w:val="en-GB"/>
        </w:rPr>
        <w:t>(2022)</w:t>
      </w:r>
      <w:r w:rsidR="00630C60" w:rsidRPr="00B01A8D">
        <w:rPr>
          <w:sz w:val="24"/>
          <w:szCs w:val="24"/>
          <w:lang w:val="en-GB"/>
        </w:rPr>
        <w:t xml:space="preserve"> </w:t>
      </w:r>
      <w:proofErr w:type="spellStart"/>
      <w:r w:rsidR="00630C60" w:rsidRPr="00B01A8D">
        <w:rPr>
          <w:sz w:val="24"/>
          <w:szCs w:val="24"/>
          <w:lang w:val="en-GB"/>
        </w:rPr>
        <w:t>Osservatorio</w:t>
      </w:r>
      <w:proofErr w:type="spellEnd"/>
      <w:r w:rsidR="00630C60" w:rsidRPr="00B01A8D">
        <w:rPr>
          <w:sz w:val="24"/>
          <w:szCs w:val="24"/>
          <w:lang w:val="en-GB"/>
        </w:rPr>
        <w:t xml:space="preserve"> del</w:t>
      </w:r>
      <w:r w:rsidR="004D18ED" w:rsidRPr="00B01A8D">
        <w:rPr>
          <w:sz w:val="24"/>
          <w:szCs w:val="24"/>
          <w:lang w:val="en-GB"/>
        </w:rPr>
        <w:t xml:space="preserve"> </w:t>
      </w:r>
      <w:r w:rsidR="00630C60" w:rsidRPr="00B01A8D">
        <w:rPr>
          <w:sz w:val="24"/>
          <w:szCs w:val="24"/>
          <w:lang w:val="en-GB"/>
        </w:rPr>
        <w:t>turismo</w:t>
      </w:r>
      <w:r w:rsidR="004D18ED" w:rsidRPr="00B01A8D">
        <w:rPr>
          <w:sz w:val="24"/>
          <w:szCs w:val="24"/>
          <w:lang w:val="en-GB"/>
        </w:rPr>
        <w:t xml:space="preserve"> – </w:t>
      </w:r>
      <w:r w:rsidR="00630C60" w:rsidRPr="00B01A8D">
        <w:rPr>
          <w:sz w:val="24"/>
          <w:szCs w:val="24"/>
          <w:lang w:val="en-GB"/>
        </w:rPr>
        <w:t>Report</w:t>
      </w:r>
      <w:r w:rsidR="004D18ED" w:rsidRPr="00B01A8D">
        <w:rPr>
          <w:sz w:val="24"/>
          <w:szCs w:val="24"/>
          <w:lang w:val="en-GB"/>
        </w:rPr>
        <w:t>_</w:t>
      </w:r>
      <w:r w:rsidR="00630C60" w:rsidRPr="00B01A8D">
        <w:rPr>
          <w:sz w:val="24"/>
          <w:szCs w:val="24"/>
          <w:lang w:val="en-GB"/>
        </w:rPr>
        <w:t>comuni</w:t>
      </w:r>
      <w:r w:rsidR="004D18ED" w:rsidRPr="00B01A8D">
        <w:rPr>
          <w:sz w:val="24"/>
          <w:szCs w:val="24"/>
          <w:lang w:val="en-GB"/>
        </w:rPr>
        <w:t>_</w:t>
      </w:r>
      <w:r w:rsidR="00630C60" w:rsidRPr="00B01A8D">
        <w:rPr>
          <w:sz w:val="24"/>
          <w:szCs w:val="24"/>
          <w:lang w:val="en-GB"/>
        </w:rPr>
        <w:t>2021</w:t>
      </w:r>
      <w:r w:rsidR="004D18ED" w:rsidRPr="00B01A8D">
        <w:rPr>
          <w:sz w:val="24"/>
          <w:szCs w:val="24"/>
          <w:lang w:val="en-GB"/>
        </w:rPr>
        <w:t xml:space="preserve"> </w:t>
      </w:r>
      <w:hyperlink r:id="rId23" w:history="1">
        <w:r w:rsidR="00D104A4" w:rsidRPr="00B01A8D">
          <w:rPr>
            <w:rStyle w:val="Collegamentoipertestuale"/>
            <w:sz w:val="24"/>
            <w:szCs w:val="24"/>
            <w:lang w:val="en-GB"/>
          </w:rPr>
          <w:t>https://www.agenziapugliapromozione.it/</w:t>
        </w:r>
        <w:r w:rsidR="00D104A4" w:rsidRPr="00B01A8D">
          <w:rPr>
            <w:rStyle w:val="Collegamentoipertestuale"/>
            <w:sz w:val="24"/>
            <w:szCs w:val="24"/>
            <w:lang w:val="en-GB"/>
          </w:rPr>
          <w:br/>
          <w:t>portal/web/guest/</w:t>
        </w:r>
        <w:proofErr w:type="spellStart"/>
        <w:r w:rsidR="00D104A4" w:rsidRPr="00B01A8D">
          <w:rPr>
            <w:rStyle w:val="Collegamentoipertestuale"/>
            <w:sz w:val="24"/>
            <w:szCs w:val="24"/>
            <w:lang w:val="en-GB"/>
          </w:rPr>
          <w:t>osservatorio</w:t>
        </w:r>
        <w:proofErr w:type="spellEnd"/>
        <w:r w:rsidR="00D104A4" w:rsidRPr="00B01A8D">
          <w:rPr>
            <w:rStyle w:val="Collegamentoipertestuale"/>
            <w:sz w:val="24"/>
            <w:szCs w:val="24"/>
            <w:lang w:val="en-GB"/>
          </w:rPr>
          <w:t>-del-turismo</w:t>
        </w:r>
      </w:hyperlink>
      <w:r w:rsidR="005C7D41" w:rsidRPr="00B01A8D">
        <w:rPr>
          <w:sz w:val="24"/>
          <w:szCs w:val="24"/>
          <w:lang w:val="en-GB"/>
        </w:rPr>
        <w:t xml:space="preserve"> (Accessed: 6 June 2022) </w:t>
      </w:r>
      <w:r w:rsidR="00893510" w:rsidRPr="00B01A8D">
        <w:rPr>
          <w:sz w:val="24"/>
          <w:szCs w:val="24"/>
          <w:lang w:val="en-GB"/>
        </w:rPr>
        <w:t xml:space="preserve"> </w:t>
      </w:r>
    </w:p>
    <w:p w14:paraId="67F8F54F" w14:textId="77777777" w:rsidR="00667597" w:rsidRPr="00B01A8D" w:rsidRDefault="00667597" w:rsidP="00B01A8D">
      <w:pPr>
        <w:spacing w:line="240" w:lineRule="auto"/>
        <w:rPr>
          <w:sz w:val="24"/>
          <w:szCs w:val="24"/>
          <w:lang w:val="en-GB"/>
        </w:rPr>
      </w:pPr>
    </w:p>
    <w:p w14:paraId="7D210084" w14:textId="0363F640" w:rsidR="00667597" w:rsidRPr="00B01A8D" w:rsidRDefault="00667597" w:rsidP="00B01A8D">
      <w:pPr>
        <w:spacing w:line="240" w:lineRule="auto"/>
        <w:rPr>
          <w:sz w:val="24"/>
          <w:szCs w:val="24"/>
          <w:lang w:val="en-GB"/>
        </w:rPr>
      </w:pPr>
      <w:r w:rsidRPr="00B01A8D">
        <w:rPr>
          <w:sz w:val="24"/>
          <w:szCs w:val="24"/>
          <w:lang w:val="en-GB"/>
        </w:rPr>
        <w:t xml:space="preserve">Rico A, Martínez-Blanco J, </w:t>
      </w:r>
      <w:proofErr w:type="spellStart"/>
      <w:r w:rsidRPr="00B01A8D">
        <w:rPr>
          <w:sz w:val="24"/>
          <w:szCs w:val="24"/>
          <w:lang w:val="en-GB"/>
        </w:rPr>
        <w:t>Montlleó</w:t>
      </w:r>
      <w:proofErr w:type="spellEnd"/>
      <w:r w:rsidRPr="00B01A8D">
        <w:rPr>
          <w:sz w:val="24"/>
          <w:szCs w:val="24"/>
          <w:lang w:val="en-GB"/>
        </w:rPr>
        <w:t xml:space="preserve"> M</w:t>
      </w:r>
      <w:r w:rsidR="00CB57FE">
        <w:rPr>
          <w:sz w:val="24"/>
          <w:szCs w:val="24"/>
          <w:lang w:val="en-GB"/>
        </w:rPr>
        <w:t xml:space="preserve"> et al </w:t>
      </w:r>
      <w:r w:rsidRPr="00B01A8D">
        <w:rPr>
          <w:sz w:val="24"/>
          <w:szCs w:val="24"/>
          <w:lang w:val="en-GB"/>
        </w:rPr>
        <w:t>(2019) Carbon footprint of tourism in Barcelona. Tourism Management,</w:t>
      </w:r>
      <w:r w:rsidR="000D1211" w:rsidRPr="00B01A8D">
        <w:rPr>
          <w:sz w:val="24"/>
          <w:szCs w:val="24"/>
          <w:lang w:val="en-GB"/>
        </w:rPr>
        <w:t xml:space="preserve"> </w:t>
      </w:r>
      <w:r w:rsidRPr="00B01A8D">
        <w:rPr>
          <w:sz w:val="24"/>
          <w:szCs w:val="24"/>
          <w:lang w:val="en-GB"/>
        </w:rPr>
        <w:t>70</w:t>
      </w:r>
      <w:r w:rsidR="00B43512" w:rsidRPr="00B01A8D">
        <w:rPr>
          <w:sz w:val="24"/>
          <w:szCs w:val="24"/>
          <w:lang w:val="en-GB"/>
        </w:rPr>
        <w:t>:491-504</w:t>
      </w:r>
      <w:r w:rsidR="000D1211" w:rsidRPr="00B01A8D">
        <w:rPr>
          <w:sz w:val="24"/>
          <w:szCs w:val="24"/>
          <w:lang w:val="en-GB"/>
        </w:rPr>
        <w:t xml:space="preserve"> </w:t>
      </w:r>
      <w:hyperlink r:id="rId24" w:history="1">
        <w:r w:rsidR="000D1211" w:rsidRPr="00B01A8D">
          <w:rPr>
            <w:rStyle w:val="Collegamentoipertestuale"/>
            <w:sz w:val="24"/>
            <w:szCs w:val="24"/>
            <w:lang w:val="en-GB"/>
          </w:rPr>
          <w:t>https://doi.org/10.1016/j.tourman.2018.09.012</w:t>
        </w:r>
      </w:hyperlink>
      <w:r w:rsidRPr="00B01A8D">
        <w:rPr>
          <w:sz w:val="24"/>
          <w:szCs w:val="24"/>
          <w:lang w:val="en-GB"/>
        </w:rPr>
        <w:t xml:space="preserve"> </w:t>
      </w:r>
    </w:p>
    <w:p w14:paraId="13F27ACC" w14:textId="77777777" w:rsidR="00667597" w:rsidRPr="00B01A8D" w:rsidRDefault="00667597" w:rsidP="00B01A8D">
      <w:pPr>
        <w:spacing w:line="240" w:lineRule="auto"/>
        <w:rPr>
          <w:sz w:val="24"/>
          <w:szCs w:val="24"/>
          <w:lang w:val="en-GB"/>
        </w:rPr>
      </w:pPr>
    </w:p>
    <w:p w14:paraId="2BCE3B30" w14:textId="31889E11" w:rsidR="00667597" w:rsidRPr="00B01A8D" w:rsidRDefault="00667597" w:rsidP="00B01A8D">
      <w:pPr>
        <w:spacing w:line="240" w:lineRule="auto"/>
        <w:rPr>
          <w:sz w:val="24"/>
          <w:szCs w:val="24"/>
          <w:lang w:val="en-GB"/>
        </w:rPr>
      </w:pPr>
      <w:r w:rsidRPr="00B01A8D">
        <w:rPr>
          <w:sz w:val="24"/>
          <w:szCs w:val="24"/>
        </w:rPr>
        <w:t xml:space="preserve">Sun Y-Y (2014) </w:t>
      </w:r>
      <w:r w:rsidRPr="00B01A8D">
        <w:rPr>
          <w:sz w:val="24"/>
          <w:szCs w:val="24"/>
          <w:lang w:val="en-GB"/>
        </w:rPr>
        <w:t>A framework to account for the tourism carbon footprint at island destinations. Tourism Management,</w:t>
      </w:r>
      <w:r w:rsidR="008F1AB0" w:rsidRPr="00B01A8D">
        <w:rPr>
          <w:sz w:val="24"/>
          <w:szCs w:val="24"/>
          <w:lang w:val="en-GB"/>
        </w:rPr>
        <w:t xml:space="preserve"> </w:t>
      </w:r>
      <w:r w:rsidRPr="00B01A8D">
        <w:rPr>
          <w:sz w:val="24"/>
          <w:szCs w:val="24"/>
          <w:lang w:val="en-GB"/>
        </w:rPr>
        <w:t>45</w:t>
      </w:r>
      <w:r w:rsidR="008F1AB0" w:rsidRPr="00B01A8D">
        <w:rPr>
          <w:sz w:val="24"/>
          <w:szCs w:val="24"/>
          <w:lang w:val="en-GB"/>
        </w:rPr>
        <w:t xml:space="preserve">:16-27 </w:t>
      </w:r>
      <w:hyperlink r:id="rId25" w:history="1">
        <w:r w:rsidR="008F1AB0" w:rsidRPr="00B01A8D">
          <w:rPr>
            <w:rStyle w:val="Collegamentoipertestuale"/>
            <w:sz w:val="24"/>
            <w:szCs w:val="24"/>
            <w:lang w:val="en-GB"/>
          </w:rPr>
          <w:t>http://dx.doi.org/10.1016/j.tourman.2014.03.015</w:t>
        </w:r>
      </w:hyperlink>
      <w:r w:rsidRPr="00B01A8D">
        <w:rPr>
          <w:sz w:val="24"/>
          <w:szCs w:val="24"/>
          <w:lang w:val="en-GB"/>
        </w:rPr>
        <w:t xml:space="preserve"> </w:t>
      </w:r>
    </w:p>
    <w:p w14:paraId="1987676D" w14:textId="77777777" w:rsidR="00667597" w:rsidRPr="00B01A8D" w:rsidRDefault="00667597" w:rsidP="00B01A8D">
      <w:pPr>
        <w:spacing w:line="240" w:lineRule="auto"/>
        <w:rPr>
          <w:sz w:val="24"/>
          <w:szCs w:val="24"/>
          <w:lang w:val="en-GB"/>
        </w:rPr>
      </w:pPr>
    </w:p>
    <w:p w14:paraId="327E6CC6" w14:textId="063F190A" w:rsidR="00667597" w:rsidRPr="00B01A8D" w:rsidRDefault="00667597" w:rsidP="00B01A8D">
      <w:pPr>
        <w:spacing w:line="240" w:lineRule="auto"/>
        <w:rPr>
          <w:sz w:val="24"/>
          <w:szCs w:val="24"/>
          <w:lang w:val="en-GB"/>
        </w:rPr>
      </w:pPr>
      <w:r w:rsidRPr="00B01A8D">
        <w:rPr>
          <w:sz w:val="24"/>
          <w:szCs w:val="24"/>
          <w:lang w:val="en-GB"/>
        </w:rPr>
        <w:t xml:space="preserve">Sun Y-Y, </w:t>
      </w:r>
      <w:proofErr w:type="spellStart"/>
      <w:r w:rsidRPr="00B01A8D">
        <w:rPr>
          <w:sz w:val="24"/>
          <w:szCs w:val="24"/>
          <w:lang w:val="en-GB"/>
        </w:rPr>
        <w:t>Drakeman</w:t>
      </w:r>
      <w:proofErr w:type="spellEnd"/>
      <w:r w:rsidRPr="00B01A8D">
        <w:rPr>
          <w:sz w:val="24"/>
          <w:szCs w:val="24"/>
          <w:lang w:val="en-GB"/>
        </w:rPr>
        <w:t xml:space="preserve"> D (2020) Measuring the carbon footprint of wine tourism and cellar door sales. Journal of Cleaner Production, 266</w:t>
      </w:r>
      <w:r w:rsidR="00323045" w:rsidRPr="00B01A8D">
        <w:rPr>
          <w:sz w:val="24"/>
          <w:szCs w:val="24"/>
          <w:lang w:val="en-GB"/>
        </w:rPr>
        <w:t>:</w:t>
      </w:r>
      <w:r w:rsidR="00323045" w:rsidRPr="00B01A8D">
        <w:rPr>
          <w:sz w:val="24"/>
          <w:szCs w:val="24"/>
        </w:rPr>
        <w:t xml:space="preserve"> </w:t>
      </w:r>
      <w:r w:rsidR="00323045" w:rsidRPr="00B01A8D">
        <w:rPr>
          <w:sz w:val="24"/>
          <w:szCs w:val="24"/>
          <w:lang w:val="en-GB"/>
        </w:rPr>
        <w:t>12193</w:t>
      </w:r>
      <w:r w:rsidRPr="00B01A8D">
        <w:rPr>
          <w:sz w:val="24"/>
          <w:szCs w:val="24"/>
          <w:lang w:val="en-GB"/>
        </w:rPr>
        <w:t xml:space="preserve">. </w:t>
      </w:r>
      <w:hyperlink r:id="rId26" w:history="1">
        <w:r w:rsidRPr="00B01A8D">
          <w:rPr>
            <w:rStyle w:val="Collegamentoipertestuale"/>
            <w:sz w:val="24"/>
            <w:szCs w:val="24"/>
            <w:lang w:val="en-GB"/>
          </w:rPr>
          <w:t>https://doi.org/10.1016/j.jclepro.2020.121937</w:t>
        </w:r>
      </w:hyperlink>
      <w:r w:rsidRPr="00B01A8D">
        <w:rPr>
          <w:sz w:val="24"/>
          <w:szCs w:val="24"/>
          <w:lang w:val="en-GB"/>
        </w:rPr>
        <w:t xml:space="preserve"> </w:t>
      </w:r>
    </w:p>
    <w:p w14:paraId="4BCB5571" w14:textId="77777777" w:rsidR="00867FB7" w:rsidRPr="00B01A8D" w:rsidRDefault="00867FB7" w:rsidP="00B01A8D">
      <w:pPr>
        <w:spacing w:line="240" w:lineRule="auto"/>
        <w:rPr>
          <w:sz w:val="24"/>
          <w:szCs w:val="24"/>
          <w:lang w:val="en-GB"/>
        </w:rPr>
      </w:pPr>
    </w:p>
    <w:p w14:paraId="3F6B0034" w14:textId="6D471632" w:rsidR="00667597" w:rsidRPr="00B01A8D" w:rsidRDefault="00667597" w:rsidP="00B01A8D">
      <w:pPr>
        <w:spacing w:line="240" w:lineRule="auto"/>
        <w:rPr>
          <w:color w:val="FF0000"/>
          <w:sz w:val="24"/>
          <w:szCs w:val="24"/>
          <w:lang w:val="en-GB"/>
        </w:rPr>
      </w:pPr>
      <w:r w:rsidRPr="00B01A8D">
        <w:rPr>
          <w:sz w:val="24"/>
          <w:szCs w:val="24"/>
          <w:lang w:val="en-GB"/>
        </w:rPr>
        <w:t xml:space="preserve">Wintergreen J, Delaney T (2009) ISO 14064 International Standard for GHG Emission Inventories and Verification. </w:t>
      </w:r>
      <w:hyperlink r:id="rId27" w:history="1">
        <w:r w:rsidRPr="00B01A8D">
          <w:rPr>
            <w:rStyle w:val="Collegamentoipertestuale"/>
            <w:sz w:val="24"/>
            <w:szCs w:val="24"/>
            <w:lang w:val="en-GB"/>
          </w:rPr>
          <w:t>https://gaftp.epa.gov/AIR/nei/ei_conference/EI16/session13/wintergreen.pdf</w:t>
        </w:r>
      </w:hyperlink>
      <w:r w:rsidRPr="00B01A8D">
        <w:rPr>
          <w:sz w:val="24"/>
          <w:szCs w:val="24"/>
          <w:lang w:val="en-GB"/>
        </w:rPr>
        <w:t xml:space="preserve"> (Accessed: 24 May 2022) </w:t>
      </w:r>
    </w:p>
    <w:p w14:paraId="29E280EA" w14:textId="19EAC3A6" w:rsidR="00932A8F" w:rsidRPr="00B01A8D" w:rsidRDefault="00932A8F" w:rsidP="00B01A8D">
      <w:pPr>
        <w:spacing w:line="240" w:lineRule="auto"/>
        <w:rPr>
          <w:sz w:val="24"/>
          <w:szCs w:val="24"/>
        </w:rPr>
      </w:pPr>
    </w:p>
    <w:p w14:paraId="2463022F" w14:textId="2C0C1A45" w:rsidR="00994A05" w:rsidRPr="00B01A8D" w:rsidRDefault="00867FB7" w:rsidP="00B01A8D">
      <w:pPr>
        <w:spacing w:line="240" w:lineRule="auto"/>
        <w:rPr>
          <w:sz w:val="24"/>
          <w:szCs w:val="24"/>
        </w:rPr>
      </w:pPr>
      <w:r w:rsidRPr="00B01A8D">
        <w:rPr>
          <w:sz w:val="24"/>
          <w:szCs w:val="24"/>
        </w:rPr>
        <w:t xml:space="preserve">WTTC (2021) Global Economic Impact &amp; Trends 2021. </w:t>
      </w:r>
      <w:hyperlink r:id="rId28" w:history="1">
        <w:r w:rsidRPr="00B01A8D">
          <w:rPr>
            <w:rStyle w:val="Collegamentoipertestuale"/>
            <w:sz w:val="24"/>
            <w:szCs w:val="24"/>
          </w:rPr>
          <w:t>https://wttc.org/Portals/0/Documents/Reports/2021/Global%20Economic%20Impact%20and%20Trends%202021.pdf?ver=2021-07-01-114957-177</w:t>
        </w:r>
      </w:hyperlink>
      <w:r w:rsidRPr="00B01A8D">
        <w:rPr>
          <w:sz w:val="24"/>
          <w:szCs w:val="24"/>
        </w:rPr>
        <w:t xml:space="preserve"> (Accessed: 8 June 2022)</w:t>
      </w:r>
    </w:p>
    <w:sectPr w:rsidR="00994A05" w:rsidRPr="00B01A8D" w:rsidSect="00E43F28">
      <w:headerReference w:type="even" r:id="rId29"/>
      <w:headerReference w:type="default" r:id="rId30"/>
      <w:headerReference w:type="first" r:id="rId31"/>
      <w:footerReference w:type="first" r:id="rId3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2171" w14:textId="77777777" w:rsidR="002340E9" w:rsidRDefault="002340E9">
      <w:pPr>
        <w:spacing w:line="240" w:lineRule="auto"/>
      </w:pPr>
      <w:r>
        <w:separator/>
      </w:r>
    </w:p>
  </w:endnote>
  <w:endnote w:type="continuationSeparator" w:id="0">
    <w:p w14:paraId="625D9E42" w14:textId="77777777" w:rsidR="002340E9" w:rsidRDefault="00234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6C92" w14:textId="77777777" w:rsidR="002340E9" w:rsidRDefault="002340E9">
      <w:pPr>
        <w:spacing w:line="240" w:lineRule="auto"/>
      </w:pPr>
      <w:r>
        <w:separator/>
      </w:r>
    </w:p>
  </w:footnote>
  <w:footnote w:type="continuationSeparator" w:id="0">
    <w:p w14:paraId="56B64D15" w14:textId="77777777" w:rsidR="002340E9" w:rsidRDefault="00234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A870722" w:rsidR="00A138D7" w:rsidRPr="00565A5E"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47CED42"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565A5E">
      <w:rPr>
        <w:rStyle w:val="Numeropagina"/>
        <w:sz w:val="18"/>
        <w:lang w:val="it-IT"/>
      </w:rPr>
      <w:instrText xml:space="preserve">PAGE  </w:instrText>
    </w:r>
    <w:r w:rsidR="00A56CDE" w:rsidRPr="000E2F27">
      <w:rPr>
        <w:rStyle w:val="Numeropagina"/>
        <w:sz w:val="18"/>
      </w:rPr>
      <w:fldChar w:fldCharType="separate"/>
    </w:r>
    <w:r w:rsidR="00214440" w:rsidRPr="00565A5E">
      <w:rPr>
        <w:rStyle w:val="Numeropagina"/>
        <w:noProof/>
        <w:sz w:val="18"/>
        <w:lang w:val="it-IT"/>
      </w:rPr>
      <w:t>4</w:t>
    </w:r>
    <w:r w:rsidR="00A56CDE" w:rsidRPr="000E2F27">
      <w:rPr>
        <w:rStyle w:val="Numeropagina"/>
        <w:sz w:val="18"/>
      </w:rPr>
      <w:fldChar w:fldCharType="end"/>
    </w:r>
    <w:r w:rsidR="00A56CDE" w:rsidRPr="00565A5E">
      <w:rPr>
        <w:rStyle w:val="Numeropagina"/>
        <w:sz w:val="18"/>
        <w:lang w:val="it-IT"/>
      </w:rPr>
      <w:tab/>
    </w:r>
    <w:r w:rsidR="007D6845" w:rsidRPr="00565A5E">
      <w:rPr>
        <w:i/>
        <w:sz w:val="18"/>
        <w:lang w:val="it-IT"/>
      </w:rPr>
      <w:t>T. Gallucci, R. Strippoli, G. Lagioia, C. Ingrao, V. Amicarelli &amp; A. Paiano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0B965AE"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C9CAB6E"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754F98" w:rsidRPr="00754F98">
      <w:rPr>
        <w:i/>
        <w:noProof/>
        <w:sz w:val="18"/>
        <w:lang w:val="en-SG" w:eastAsia="en-SG"/>
      </w:rPr>
      <w:t>A framework for carbon footprint assessment in tourism sector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C2C1874"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1FF07437"/>
    <w:multiLevelType w:val="hybridMultilevel"/>
    <w:tmpl w:val="4E1C0AEE"/>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6A62A23"/>
    <w:multiLevelType w:val="multilevel"/>
    <w:tmpl w:val="9BF0EDB0"/>
    <w:lvl w:ilvl="0">
      <w:start w:val="1"/>
      <w:numFmt w:val="decimal"/>
      <w:lvlText w:val="%1."/>
      <w:lvlJc w:val="left"/>
      <w:pPr>
        <w:tabs>
          <w:tab w:val="num" w:pos="927"/>
        </w:tabs>
        <w:ind w:left="927" w:hanging="360"/>
      </w:pPr>
    </w:lvl>
    <w:lvl w:ilvl="1" w:tentative="1">
      <w:numFmt w:val="decimal"/>
      <w:lvlText w:val="%2."/>
      <w:lvlJc w:val="left"/>
      <w:pPr>
        <w:tabs>
          <w:tab w:val="num" w:pos="1647"/>
        </w:tabs>
        <w:ind w:left="1647" w:hanging="360"/>
      </w:pPr>
    </w:lvl>
    <w:lvl w:ilvl="2" w:tentative="1">
      <w:numFmt w:val="decimal"/>
      <w:lvlText w:val="%3."/>
      <w:lvlJc w:val="left"/>
      <w:pPr>
        <w:tabs>
          <w:tab w:val="num" w:pos="2367"/>
        </w:tabs>
        <w:ind w:left="2367" w:hanging="360"/>
      </w:pPr>
    </w:lvl>
    <w:lvl w:ilvl="3" w:tentative="1">
      <w:numFmt w:val="decimal"/>
      <w:lvlText w:val="%4."/>
      <w:lvlJc w:val="left"/>
      <w:pPr>
        <w:tabs>
          <w:tab w:val="num" w:pos="3087"/>
        </w:tabs>
        <w:ind w:left="3087" w:hanging="360"/>
      </w:pPr>
    </w:lvl>
    <w:lvl w:ilvl="4" w:tentative="1">
      <w:numFmt w:val="decimal"/>
      <w:lvlText w:val="%5."/>
      <w:lvlJc w:val="left"/>
      <w:pPr>
        <w:tabs>
          <w:tab w:val="num" w:pos="3807"/>
        </w:tabs>
        <w:ind w:left="3807" w:hanging="360"/>
      </w:pPr>
    </w:lvl>
    <w:lvl w:ilvl="5" w:tentative="1">
      <w:numFmt w:val="decimal"/>
      <w:lvlText w:val="%6."/>
      <w:lvlJc w:val="left"/>
      <w:pPr>
        <w:tabs>
          <w:tab w:val="num" w:pos="4527"/>
        </w:tabs>
        <w:ind w:left="4527" w:hanging="360"/>
      </w:pPr>
    </w:lvl>
    <w:lvl w:ilvl="6" w:tentative="1">
      <w:numFmt w:val="decimal"/>
      <w:lvlText w:val="%7."/>
      <w:lvlJc w:val="left"/>
      <w:pPr>
        <w:tabs>
          <w:tab w:val="num" w:pos="5247"/>
        </w:tabs>
        <w:ind w:left="5247" w:hanging="360"/>
      </w:pPr>
    </w:lvl>
    <w:lvl w:ilvl="7" w:tentative="1">
      <w:numFmt w:val="decimal"/>
      <w:lvlText w:val="%8."/>
      <w:lvlJc w:val="left"/>
      <w:pPr>
        <w:tabs>
          <w:tab w:val="num" w:pos="5967"/>
        </w:tabs>
        <w:ind w:left="5967" w:hanging="360"/>
      </w:pPr>
    </w:lvl>
    <w:lvl w:ilvl="8" w:tentative="1">
      <w:numFmt w:val="decimal"/>
      <w:lvlText w:val="%9."/>
      <w:lvlJc w:val="left"/>
      <w:pPr>
        <w:tabs>
          <w:tab w:val="num" w:pos="6687"/>
        </w:tabs>
        <w:ind w:left="6687" w:hanging="360"/>
      </w:p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5D0E32CE"/>
    <w:multiLevelType w:val="hybridMultilevel"/>
    <w:tmpl w:val="B3B0F586"/>
    <w:lvl w:ilvl="0" w:tplc="D1BA4A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69CE5A76"/>
    <w:multiLevelType w:val="hybridMultilevel"/>
    <w:tmpl w:val="75B88422"/>
    <w:lvl w:ilvl="0" w:tplc="DECCF4E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4B4DC9"/>
    <w:multiLevelType w:val="hybridMultilevel"/>
    <w:tmpl w:val="A6688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5"/>
  </w:num>
  <w:num w:numId="2" w16cid:durableId="1154563820">
    <w:abstractNumId w:val="19"/>
  </w:num>
  <w:num w:numId="3" w16cid:durableId="1604875926">
    <w:abstractNumId w:val="18"/>
  </w:num>
  <w:num w:numId="4" w16cid:durableId="49157816">
    <w:abstractNumId w:val="9"/>
  </w:num>
  <w:num w:numId="5" w16cid:durableId="1591309000">
    <w:abstractNumId w:val="26"/>
  </w:num>
  <w:num w:numId="6" w16cid:durableId="1349022348">
    <w:abstractNumId w:val="11"/>
  </w:num>
  <w:num w:numId="7" w16cid:durableId="1804498611">
    <w:abstractNumId w:val="5"/>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1"/>
  </w:num>
  <w:num w:numId="20" w16cid:durableId="1830903244">
    <w:abstractNumId w:val="21"/>
  </w:num>
  <w:num w:numId="21" w16cid:durableId="373581445">
    <w:abstractNumId w:val="21"/>
  </w:num>
  <w:num w:numId="22" w16cid:durableId="1488940817">
    <w:abstractNumId w:val="11"/>
  </w:num>
  <w:num w:numId="23" w16cid:durableId="740298123">
    <w:abstractNumId w:val="11"/>
  </w:num>
  <w:num w:numId="24" w16cid:durableId="616567799">
    <w:abstractNumId w:val="0"/>
  </w:num>
  <w:num w:numId="25" w16cid:durableId="1992981592">
    <w:abstractNumId w:val="6"/>
  </w:num>
  <w:num w:numId="26" w16cid:durableId="1831822808">
    <w:abstractNumId w:val="3"/>
  </w:num>
  <w:num w:numId="27" w16cid:durableId="2101444383">
    <w:abstractNumId w:val="16"/>
  </w:num>
  <w:num w:numId="28" w16cid:durableId="434328944">
    <w:abstractNumId w:val="2"/>
  </w:num>
  <w:num w:numId="29" w16cid:durableId="311301568">
    <w:abstractNumId w:val="8"/>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7"/>
  </w:num>
  <w:num w:numId="40" w16cid:durableId="1979257215">
    <w:abstractNumId w:val="11"/>
  </w:num>
  <w:num w:numId="41" w16cid:durableId="1150750676">
    <w:abstractNumId w:val="11"/>
  </w:num>
  <w:num w:numId="42" w16cid:durableId="1071849616">
    <w:abstractNumId w:val="11"/>
  </w:num>
  <w:num w:numId="43" w16cid:durableId="1866793110">
    <w:abstractNumId w:val="10"/>
  </w:num>
  <w:num w:numId="44" w16cid:durableId="1661999645">
    <w:abstractNumId w:val="24"/>
  </w:num>
  <w:num w:numId="45" w16cid:durableId="1936788055">
    <w:abstractNumId w:val="20"/>
  </w:num>
  <w:num w:numId="46" w16cid:durableId="99688355">
    <w:abstractNumId w:val="15"/>
  </w:num>
  <w:num w:numId="47" w16cid:durableId="155866764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0E49"/>
    <w:rsid w:val="00002565"/>
    <w:rsid w:val="00003B17"/>
    <w:rsid w:val="0000594A"/>
    <w:rsid w:val="00006549"/>
    <w:rsid w:val="00006F22"/>
    <w:rsid w:val="00007E95"/>
    <w:rsid w:val="00011663"/>
    <w:rsid w:val="00013B59"/>
    <w:rsid w:val="00013FAC"/>
    <w:rsid w:val="00014A88"/>
    <w:rsid w:val="00014CAF"/>
    <w:rsid w:val="0001519A"/>
    <w:rsid w:val="0001578C"/>
    <w:rsid w:val="000207D2"/>
    <w:rsid w:val="00022FF1"/>
    <w:rsid w:val="00025BDE"/>
    <w:rsid w:val="0002655E"/>
    <w:rsid w:val="00034334"/>
    <w:rsid w:val="000343A6"/>
    <w:rsid w:val="000345D9"/>
    <w:rsid w:val="00034E57"/>
    <w:rsid w:val="000358C0"/>
    <w:rsid w:val="00035A6A"/>
    <w:rsid w:val="00041435"/>
    <w:rsid w:val="00041C51"/>
    <w:rsid w:val="000429E4"/>
    <w:rsid w:val="0004310F"/>
    <w:rsid w:val="00044795"/>
    <w:rsid w:val="000449BD"/>
    <w:rsid w:val="00045ED8"/>
    <w:rsid w:val="00047671"/>
    <w:rsid w:val="00050749"/>
    <w:rsid w:val="00052111"/>
    <w:rsid w:val="00054B55"/>
    <w:rsid w:val="00055617"/>
    <w:rsid w:val="000574DD"/>
    <w:rsid w:val="00061351"/>
    <w:rsid w:val="00061583"/>
    <w:rsid w:val="0006285E"/>
    <w:rsid w:val="00062998"/>
    <w:rsid w:val="0006703F"/>
    <w:rsid w:val="000712F9"/>
    <w:rsid w:val="0007195E"/>
    <w:rsid w:val="00072C7D"/>
    <w:rsid w:val="0007387C"/>
    <w:rsid w:val="00074DB0"/>
    <w:rsid w:val="0007584D"/>
    <w:rsid w:val="000771BE"/>
    <w:rsid w:val="00077203"/>
    <w:rsid w:val="000800BB"/>
    <w:rsid w:val="00082446"/>
    <w:rsid w:val="00082CAE"/>
    <w:rsid w:val="00083F09"/>
    <w:rsid w:val="00085596"/>
    <w:rsid w:val="00096B47"/>
    <w:rsid w:val="000A0084"/>
    <w:rsid w:val="000A596C"/>
    <w:rsid w:val="000B52D8"/>
    <w:rsid w:val="000C0D29"/>
    <w:rsid w:val="000C630E"/>
    <w:rsid w:val="000D0BE5"/>
    <w:rsid w:val="000D1023"/>
    <w:rsid w:val="000D1211"/>
    <w:rsid w:val="000D4EED"/>
    <w:rsid w:val="000D5C93"/>
    <w:rsid w:val="000E2F27"/>
    <w:rsid w:val="000E51E9"/>
    <w:rsid w:val="000F1373"/>
    <w:rsid w:val="000F254D"/>
    <w:rsid w:val="000F4461"/>
    <w:rsid w:val="000F4ED2"/>
    <w:rsid w:val="000F5104"/>
    <w:rsid w:val="000F5341"/>
    <w:rsid w:val="000F61B0"/>
    <w:rsid w:val="000F6221"/>
    <w:rsid w:val="001002D8"/>
    <w:rsid w:val="00103D34"/>
    <w:rsid w:val="001063B3"/>
    <w:rsid w:val="001075F4"/>
    <w:rsid w:val="00107A8A"/>
    <w:rsid w:val="00111C89"/>
    <w:rsid w:val="00112B8F"/>
    <w:rsid w:val="00112C28"/>
    <w:rsid w:val="00114230"/>
    <w:rsid w:val="00115B90"/>
    <w:rsid w:val="0012098A"/>
    <w:rsid w:val="00122983"/>
    <w:rsid w:val="00122BB6"/>
    <w:rsid w:val="0012451A"/>
    <w:rsid w:val="00124DBC"/>
    <w:rsid w:val="00125DB4"/>
    <w:rsid w:val="001267AF"/>
    <w:rsid w:val="00126BA5"/>
    <w:rsid w:val="00132754"/>
    <w:rsid w:val="001334DD"/>
    <w:rsid w:val="001352A2"/>
    <w:rsid w:val="00137B37"/>
    <w:rsid w:val="001429F4"/>
    <w:rsid w:val="00145538"/>
    <w:rsid w:val="0014596C"/>
    <w:rsid w:val="0014649E"/>
    <w:rsid w:val="00151DC5"/>
    <w:rsid w:val="001540CF"/>
    <w:rsid w:val="00154A54"/>
    <w:rsid w:val="00154C92"/>
    <w:rsid w:val="001556CA"/>
    <w:rsid w:val="00157EA0"/>
    <w:rsid w:val="00160A5F"/>
    <w:rsid w:val="00162C42"/>
    <w:rsid w:val="001646F6"/>
    <w:rsid w:val="0017283B"/>
    <w:rsid w:val="00172AC1"/>
    <w:rsid w:val="00175306"/>
    <w:rsid w:val="00180BB3"/>
    <w:rsid w:val="001841D0"/>
    <w:rsid w:val="00184B79"/>
    <w:rsid w:val="001863CF"/>
    <w:rsid w:val="00186C40"/>
    <w:rsid w:val="001910C4"/>
    <w:rsid w:val="00191783"/>
    <w:rsid w:val="00193551"/>
    <w:rsid w:val="00194854"/>
    <w:rsid w:val="00197107"/>
    <w:rsid w:val="00197312"/>
    <w:rsid w:val="001A0378"/>
    <w:rsid w:val="001A4899"/>
    <w:rsid w:val="001A52A5"/>
    <w:rsid w:val="001A7526"/>
    <w:rsid w:val="001B1B69"/>
    <w:rsid w:val="001B288E"/>
    <w:rsid w:val="001B3772"/>
    <w:rsid w:val="001B43AB"/>
    <w:rsid w:val="001B6113"/>
    <w:rsid w:val="001C17A9"/>
    <w:rsid w:val="001C41D2"/>
    <w:rsid w:val="001C7758"/>
    <w:rsid w:val="001D0A2A"/>
    <w:rsid w:val="001D184B"/>
    <w:rsid w:val="001D36DF"/>
    <w:rsid w:val="001D3860"/>
    <w:rsid w:val="001D3B3C"/>
    <w:rsid w:val="001D47F9"/>
    <w:rsid w:val="001D480B"/>
    <w:rsid w:val="001E1970"/>
    <w:rsid w:val="001E38A2"/>
    <w:rsid w:val="001E44C7"/>
    <w:rsid w:val="001E4EF8"/>
    <w:rsid w:val="001E59B1"/>
    <w:rsid w:val="001E7099"/>
    <w:rsid w:val="001F0CF0"/>
    <w:rsid w:val="00200467"/>
    <w:rsid w:val="00201FCF"/>
    <w:rsid w:val="00205C1E"/>
    <w:rsid w:val="0020681C"/>
    <w:rsid w:val="00206B2E"/>
    <w:rsid w:val="00206BFC"/>
    <w:rsid w:val="00207F27"/>
    <w:rsid w:val="0021012D"/>
    <w:rsid w:val="002125D8"/>
    <w:rsid w:val="0021425B"/>
    <w:rsid w:val="00214440"/>
    <w:rsid w:val="00215D25"/>
    <w:rsid w:val="00217130"/>
    <w:rsid w:val="002207C7"/>
    <w:rsid w:val="00224584"/>
    <w:rsid w:val="002262D1"/>
    <w:rsid w:val="00230DE3"/>
    <w:rsid w:val="00231470"/>
    <w:rsid w:val="002340E9"/>
    <w:rsid w:val="00236C18"/>
    <w:rsid w:val="00240A2D"/>
    <w:rsid w:val="002415C4"/>
    <w:rsid w:val="002449AD"/>
    <w:rsid w:val="00247178"/>
    <w:rsid w:val="00247384"/>
    <w:rsid w:val="002510FA"/>
    <w:rsid w:val="00251C05"/>
    <w:rsid w:val="002524D4"/>
    <w:rsid w:val="00254F27"/>
    <w:rsid w:val="00256E13"/>
    <w:rsid w:val="002579E2"/>
    <w:rsid w:val="0026025E"/>
    <w:rsid w:val="00260E32"/>
    <w:rsid w:val="0026349E"/>
    <w:rsid w:val="00264376"/>
    <w:rsid w:val="0026495C"/>
    <w:rsid w:val="00265B71"/>
    <w:rsid w:val="002660BC"/>
    <w:rsid w:val="00266C2F"/>
    <w:rsid w:val="00272775"/>
    <w:rsid w:val="002734E6"/>
    <w:rsid w:val="00276C2E"/>
    <w:rsid w:val="002807E5"/>
    <w:rsid w:val="002809DA"/>
    <w:rsid w:val="00281505"/>
    <w:rsid w:val="00281950"/>
    <w:rsid w:val="00281A5E"/>
    <w:rsid w:val="00281F6D"/>
    <w:rsid w:val="00282157"/>
    <w:rsid w:val="00283EE5"/>
    <w:rsid w:val="00284219"/>
    <w:rsid w:val="002853AD"/>
    <w:rsid w:val="002863E8"/>
    <w:rsid w:val="00287F3D"/>
    <w:rsid w:val="002946A4"/>
    <w:rsid w:val="00295161"/>
    <w:rsid w:val="00296ECD"/>
    <w:rsid w:val="002973B0"/>
    <w:rsid w:val="00297E41"/>
    <w:rsid w:val="002A2910"/>
    <w:rsid w:val="002A45C3"/>
    <w:rsid w:val="002A6710"/>
    <w:rsid w:val="002B6BF0"/>
    <w:rsid w:val="002C06E7"/>
    <w:rsid w:val="002C30CC"/>
    <w:rsid w:val="002C3CED"/>
    <w:rsid w:val="002C58F3"/>
    <w:rsid w:val="002C5CB4"/>
    <w:rsid w:val="002C679E"/>
    <w:rsid w:val="002C6B1C"/>
    <w:rsid w:val="002D29FD"/>
    <w:rsid w:val="002D3231"/>
    <w:rsid w:val="002D414C"/>
    <w:rsid w:val="002D73FC"/>
    <w:rsid w:val="002E0357"/>
    <w:rsid w:val="002E2EBD"/>
    <w:rsid w:val="002E41C7"/>
    <w:rsid w:val="002E4DAC"/>
    <w:rsid w:val="002E6684"/>
    <w:rsid w:val="002F01ED"/>
    <w:rsid w:val="002F7330"/>
    <w:rsid w:val="002F7E57"/>
    <w:rsid w:val="003069D3"/>
    <w:rsid w:val="00310A46"/>
    <w:rsid w:val="003111B2"/>
    <w:rsid w:val="003208D3"/>
    <w:rsid w:val="00321455"/>
    <w:rsid w:val="00323045"/>
    <w:rsid w:val="00323789"/>
    <w:rsid w:val="00324ABC"/>
    <w:rsid w:val="00324DA4"/>
    <w:rsid w:val="0032650C"/>
    <w:rsid w:val="00326B1A"/>
    <w:rsid w:val="00327748"/>
    <w:rsid w:val="00327840"/>
    <w:rsid w:val="0033032F"/>
    <w:rsid w:val="00331CF1"/>
    <w:rsid w:val="00332921"/>
    <w:rsid w:val="00333639"/>
    <w:rsid w:val="00335F68"/>
    <w:rsid w:val="003360BF"/>
    <w:rsid w:val="0033631D"/>
    <w:rsid w:val="00341361"/>
    <w:rsid w:val="00341D1E"/>
    <w:rsid w:val="003436C5"/>
    <w:rsid w:val="00344AD6"/>
    <w:rsid w:val="003469AA"/>
    <w:rsid w:val="00354247"/>
    <w:rsid w:val="00354949"/>
    <w:rsid w:val="003578CF"/>
    <w:rsid w:val="003609D7"/>
    <w:rsid w:val="00362D5B"/>
    <w:rsid w:val="00362DC1"/>
    <w:rsid w:val="00364272"/>
    <w:rsid w:val="00366F5B"/>
    <w:rsid w:val="0036737A"/>
    <w:rsid w:val="00370467"/>
    <w:rsid w:val="003719E6"/>
    <w:rsid w:val="00372272"/>
    <w:rsid w:val="003735D9"/>
    <w:rsid w:val="00373971"/>
    <w:rsid w:val="00373C13"/>
    <w:rsid w:val="00380327"/>
    <w:rsid w:val="003812D5"/>
    <w:rsid w:val="00381F24"/>
    <w:rsid w:val="00382120"/>
    <w:rsid w:val="0038280F"/>
    <w:rsid w:val="003854FA"/>
    <w:rsid w:val="0038775C"/>
    <w:rsid w:val="003A2349"/>
    <w:rsid w:val="003A4089"/>
    <w:rsid w:val="003B2BC3"/>
    <w:rsid w:val="003B3007"/>
    <w:rsid w:val="003B392B"/>
    <w:rsid w:val="003C1B90"/>
    <w:rsid w:val="003C5B49"/>
    <w:rsid w:val="003C5EC0"/>
    <w:rsid w:val="003D6581"/>
    <w:rsid w:val="003E0076"/>
    <w:rsid w:val="003E156F"/>
    <w:rsid w:val="003E694A"/>
    <w:rsid w:val="003F21E5"/>
    <w:rsid w:val="003F2C96"/>
    <w:rsid w:val="003F418A"/>
    <w:rsid w:val="00400544"/>
    <w:rsid w:val="00402E4D"/>
    <w:rsid w:val="00407503"/>
    <w:rsid w:val="00412D22"/>
    <w:rsid w:val="004136C5"/>
    <w:rsid w:val="00414B1A"/>
    <w:rsid w:val="00416BA3"/>
    <w:rsid w:val="00417671"/>
    <w:rsid w:val="004178FA"/>
    <w:rsid w:val="00417DA2"/>
    <w:rsid w:val="004225DE"/>
    <w:rsid w:val="004226E9"/>
    <w:rsid w:val="004232DB"/>
    <w:rsid w:val="0042499A"/>
    <w:rsid w:val="00425A66"/>
    <w:rsid w:val="004279F7"/>
    <w:rsid w:val="00430738"/>
    <w:rsid w:val="00431F04"/>
    <w:rsid w:val="00437950"/>
    <w:rsid w:val="00437D0E"/>
    <w:rsid w:val="0044355D"/>
    <w:rsid w:val="00445735"/>
    <w:rsid w:val="004476CD"/>
    <w:rsid w:val="004479AA"/>
    <w:rsid w:val="00452DE7"/>
    <w:rsid w:val="00453F74"/>
    <w:rsid w:val="004554B8"/>
    <w:rsid w:val="004625CD"/>
    <w:rsid w:val="00462CBA"/>
    <w:rsid w:val="00462CC8"/>
    <w:rsid w:val="00464BF3"/>
    <w:rsid w:val="00466530"/>
    <w:rsid w:val="00466742"/>
    <w:rsid w:val="00466E6F"/>
    <w:rsid w:val="0047013E"/>
    <w:rsid w:val="004719DB"/>
    <w:rsid w:val="0047285B"/>
    <w:rsid w:val="004729B4"/>
    <w:rsid w:val="0047350C"/>
    <w:rsid w:val="00474C6A"/>
    <w:rsid w:val="004754E2"/>
    <w:rsid w:val="00475FAE"/>
    <w:rsid w:val="00476E8C"/>
    <w:rsid w:val="004779A1"/>
    <w:rsid w:val="00482DD5"/>
    <w:rsid w:val="00483D09"/>
    <w:rsid w:val="00484019"/>
    <w:rsid w:val="00485918"/>
    <w:rsid w:val="00485931"/>
    <w:rsid w:val="00486657"/>
    <w:rsid w:val="0048706B"/>
    <w:rsid w:val="004872B8"/>
    <w:rsid w:val="004928EA"/>
    <w:rsid w:val="004933AC"/>
    <w:rsid w:val="00495FDC"/>
    <w:rsid w:val="00496C7B"/>
    <w:rsid w:val="004A077A"/>
    <w:rsid w:val="004A176F"/>
    <w:rsid w:val="004A2559"/>
    <w:rsid w:val="004A6ABE"/>
    <w:rsid w:val="004B026A"/>
    <w:rsid w:val="004B16FB"/>
    <w:rsid w:val="004B2A62"/>
    <w:rsid w:val="004C0B1B"/>
    <w:rsid w:val="004C4122"/>
    <w:rsid w:val="004C5C4D"/>
    <w:rsid w:val="004C7AE9"/>
    <w:rsid w:val="004D03EE"/>
    <w:rsid w:val="004D18ED"/>
    <w:rsid w:val="004D1BD9"/>
    <w:rsid w:val="004D2F3A"/>
    <w:rsid w:val="004D7428"/>
    <w:rsid w:val="004D751F"/>
    <w:rsid w:val="004D7CBE"/>
    <w:rsid w:val="004E0B65"/>
    <w:rsid w:val="004E18E1"/>
    <w:rsid w:val="004E1F00"/>
    <w:rsid w:val="004E2AEE"/>
    <w:rsid w:val="004E54C3"/>
    <w:rsid w:val="004E60DD"/>
    <w:rsid w:val="004F3F3C"/>
    <w:rsid w:val="004F6371"/>
    <w:rsid w:val="004F6B0F"/>
    <w:rsid w:val="00504546"/>
    <w:rsid w:val="005052EC"/>
    <w:rsid w:val="0050550F"/>
    <w:rsid w:val="0051032C"/>
    <w:rsid w:val="005137B4"/>
    <w:rsid w:val="0051589C"/>
    <w:rsid w:val="00516299"/>
    <w:rsid w:val="00516571"/>
    <w:rsid w:val="005217B7"/>
    <w:rsid w:val="00521B20"/>
    <w:rsid w:val="00522D56"/>
    <w:rsid w:val="005258C7"/>
    <w:rsid w:val="0052703E"/>
    <w:rsid w:val="005275B0"/>
    <w:rsid w:val="005308EB"/>
    <w:rsid w:val="005327E5"/>
    <w:rsid w:val="00532A71"/>
    <w:rsid w:val="005373C0"/>
    <w:rsid w:val="005410E4"/>
    <w:rsid w:val="00546249"/>
    <w:rsid w:val="0054778D"/>
    <w:rsid w:val="005501B1"/>
    <w:rsid w:val="00553BA1"/>
    <w:rsid w:val="005543E9"/>
    <w:rsid w:val="00554AF8"/>
    <w:rsid w:val="0055506C"/>
    <w:rsid w:val="005552C3"/>
    <w:rsid w:val="00555C9D"/>
    <w:rsid w:val="005567E0"/>
    <w:rsid w:val="005606EE"/>
    <w:rsid w:val="00561607"/>
    <w:rsid w:val="0056238C"/>
    <w:rsid w:val="00562FA7"/>
    <w:rsid w:val="00565A5E"/>
    <w:rsid w:val="00566851"/>
    <w:rsid w:val="00567671"/>
    <w:rsid w:val="0057318F"/>
    <w:rsid w:val="00574CB7"/>
    <w:rsid w:val="00577A17"/>
    <w:rsid w:val="00577E65"/>
    <w:rsid w:val="00581AB2"/>
    <w:rsid w:val="0058287A"/>
    <w:rsid w:val="00594E12"/>
    <w:rsid w:val="0059513D"/>
    <w:rsid w:val="00595350"/>
    <w:rsid w:val="00596504"/>
    <w:rsid w:val="00597B4B"/>
    <w:rsid w:val="005A30AC"/>
    <w:rsid w:val="005B1266"/>
    <w:rsid w:val="005B22D7"/>
    <w:rsid w:val="005B238B"/>
    <w:rsid w:val="005B2DF3"/>
    <w:rsid w:val="005B38DD"/>
    <w:rsid w:val="005B5F43"/>
    <w:rsid w:val="005B766B"/>
    <w:rsid w:val="005B7822"/>
    <w:rsid w:val="005B7E32"/>
    <w:rsid w:val="005C03B4"/>
    <w:rsid w:val="005C400D"/>
    <w:rsid w:val="005C4AA9"/>
    <w:rsid w:val="005C4FA8"/>
    <w:rsid w:val="005C503A"/>
    <w:rsid w:val="005C7D41"/>
    <w:rsid w:val="005D065A"/>
    <w:rsid w:val="005D06D8"/>
    <w:rsid w:val="005D2441"/>
    <w:rsid w:val="005D2BB9"/>
    <w:rsid w:val="005D2D82"/>
    <w:rsid w:val="005E1C0A"/>
    <w:rsid w:val="005E1CE9"/>
    <w:rsid w:val="005E4032"/>
    <w:rsid w:val="005E6665"/>
    <w:rsid w:val="005F12D1"/>
    <w:rsid w:val="005F3727"/>
    <w:rsid w:val="005F462A"/>
    <w:rsid w:val="005F4D3C"/>
    <w:rsid w:val="005F72C2"/>
    <w:rsid w:val="00605FB0"/>
    <w:rsid w:val="00607D09"/>
    <w:rsid w:val="00607F27"/>
    <w:rsid w:val="00610167"/>
    <w:rsid w:val="00614FE8"/>
    <w:rsid w:val="00615C54"/>
    <w:rsid w:val="00616655"/>
    <w:rsid w:val="00616FBE"/>
    <w:rsid w:val="00617AE9"/>
    <w:rsid w:val="006208DD"/>
    <w:rsid w:val="00622050"/>
    <w:rsid w:val="006232D0"/>
    <w:rsid w:val="00626616"/>
    <w:rsid w:val="00630C60"/>
    <w:rsid w:val="006334AA"/>
    <w:rsid w:val="00633639"/>
    <w:rsid w:val="00633D55"/>
    <w:rsid w:val="0064475B"/>
    <w:rsid w:val="00647807"/>
    <w:rsid w:val="0065482B"/>
    <w:rsid w:val="0065532B"/>
    <w:rsid w:val="0065576D"/>
    <w:rsid w:val="00656B1C"/>
    <w:rsid w:val="006570EC"/>
    <w:rsid w:val="00660C6D"/>
    <w:rsid w:val="00667597"/>
    <w:rsid w:val="00667E72"/>
    <w:rsid w:val="00670490"/>
    <w:rsid w:val="00672BD6"/>
    <w:rsid w:val="00680158"/>
    <w:rsid w:val="0068318A"/>
    <w:rsid w:val="00683E87"/>
    <w:rsid w:val="00683F9D"/>
    <w:rsid w:val="006840FD"/>
    <w:rsid w:val="006858DB"/>
    <w:rsid w:val="00685BCF"/>
    <w:rsid w:val="00687A3C"/>
    <w:rsid w:val="006913D2"/>
    <w:rsid w:val="006957D8"/>
    <w:rsid w:val="006A02F3"/>
    <w:rsid w:val="006A16F4"/>
    <w:rsid w:val="006A2216"/>
    <w:rsid w:val="006A3975"/>
    <w:rsid w:val="006A5F51"/>
    <w:rsid w:val="006A7075"/>
    <w:rsid w:val="006B123B"/>
    <w:rsid w:val="006B2A9C"/>
    <w:rsid w:val="006B2F24"/>
    <w:rsid w:val="006B37BA"/>
    <w:rsid w:val="006B3C01"/>
    <w:rsid w:val="006B43C6"/>
    <w:rsid w:val="006B76B6"/>
    <w:rsid w:val="006C0066"/>
    <w:rsid w:val="006C12C8"/>
    <w:rsid w:val="006C1AA3"/>
    <w:rsid w:val="006C2A31"/>
    <w:rsid w:val="006C41F8"/>
    <w:rsid w:val="006C7951"/>
    <w:rsid w:val="006C7CB5"/>
    <w:rsid w:val="006D205B"/>
    <w:rsid w:val="006D272C"/>
    <w:rsid w:val="006D5BDA"/>
    <w:rsid w:val="006D613A"/>
    <w:rsid w:val="006D7E12"/>
    <w:rsid w:val="006E77B1"/>
    <w:rsid w:val="006F226C"/>
    <w:rsid w:val="006F2E4D"/>
    <w:rsid w:val="006F3EAD"/>
    <w:rsid w:val="006F459F"/>
    <w:rsid w:val="006F55CA"/>
    <w:rsid w:val="00701A95"/>
    <w:rsid w:val="0070326D"/>
    <w:rsid w:val="00704400"/>
    <w:rsid w:val="00705699"/>
    <w:rsid w:val="00705DC5"/>
    <w:rsid w:val="00706B35"/>
    <w:rsid w:val="007076EA"/>
    <w:rsid w:val="00707D3A"/>
    <w:rsid w:val="00717EF2"/>
    <w:rsid w:val="0072333B"/>
    <w:rsid w:val="00723B8B"/>
    <w:rsid w:val="00723D74"/>
    <w:rsid w:val="00724A77"/>
    <w:rsid w:val="00726847"/>
    <w:rsid w:val="007334C7"/>
    <w:rsid w:val="0073439B"/>
    <w:rsid w:val="00734E09"/>
    <w:rsid w:val="00740C3C"/>
    <w:rsid w:val="007410FD"/>
    <w:rsid w:val="00741CB7"/>
    <w:rsid w:val="007437F8"/>
    <w:rsid w:val="007456FD"/>
    <w:rsid w:val="00745B56"/>
    <w:rsid w:val="00745D4D"/>
    <w:rsid w:val="00745E06"/>
    <w:rsid w:val="00746831"/>
    <w:rsid w:val="00746EEB"/>
    <w:rsid w:val="00747A65"/>
    <w:rsid w:val="007523FF"/>
    <w:rsid w:val="007543F6"/>
    <w:rsid w:val="00754680"/>
    <w:rsid w:val="00754F98"/>
    <w:rsid w:val="00756861"/>
    <w:rsid w:val="00757B23"/>
    <w:rsid w:val="007639DD"/>
    <w:rsid w:val="00765AB8"/>
    <w:rsid w:val="00770002"/>
    <w:rsid w:val="00772A99"/>
    <w:rsid w:val="00773148"/>
    <w:rsid w:val="007733CE"/>
    <w:rsid w:val="007740B5"/>
    <w:rsid w:val="007743D3"/>
    <w:rsid w:val="007808F3"/>
    <w:rsid w:val="007816A0"/>
    <w:rsid w:val="00781DAC"/>
    <w:rsid w:val="00784F76"/>
    <w:rsid w:val="00785487"/>
    <w:rsid w:val="007854CD"/>
    <w:rsid w:val="007854EF"/>
    <w:rsid w:val="00787225"/>
    <w:rsid w:val="0079132C"/>
    <w:rsid w:val="00791B0C"/>
    <w:rsid w:val="0079232E"/>
    <w:rsid w:val="007955A5"/>
    <w:rsid w:val="007960EE"/>
    <w:rsid w:val="007A11CF"/>
    <w:rsid w:val="007A6AFA"/>
    <w:rsid w:val="007A6DA4"/>
    <w:rsid w:val="007A7E8D"/>
    <w:rsid w:val="007B0738"/>
    <w:rsid w:val="007B23AA"/>
    <w:rsid w:val="007B36DD"/>
    <w:rsid w:val="007B567F"/>
    <w:rsid w:val="007C1168"/>
    <w:rsid w:val="007C22DF"/>
    <w:rsid w:val="007C2622"/>
    <w:rsid w:val="007C61C0"/>
    <w:rsid w:val="007D0E64"/>
    <w:rsid w:val="007D4C47"/>
    <w:rsid w:val="007D5AF0"/>
    <w:rsid w:val="007D6845"/>
    <w:rsid w:val="007D6A2C"/>
    <w:rsid w:val="007E2A4C"/>
    <w:rsid w:val="007E5B0D"/>
    <w:rsid w:val="007E73BA"/>
    <w:rsid w:val="007F2916"/>
    <w:rsid w:val="007F2C96"/>
    <w:rsid w:val="007F33D4"/>
    <w:rsid w:val="007F6497"/>
    <w:rsid w:val="007F7EDC"/>
    <w:rsid w:val="00802A05"/>
    <w:rsid w:val="0080485F"/>
    <w:rsid w:val="00805080"/>
    <w:rsid w:val="008105F9"/>
    <w:rsid w:val="00811C43"/>
    <w:rsid w:val="0081271B"/>
    <w:rsid w:val="00813091"/>
    <w:rsid w:val="008131FE"/>
    <w:rsid w:val="00813818"/>
    <w:rsid w:val="00820F66"/>
    <w:rsid w:val="008229C8"/>
    <w:rsid w:val="008235E8"/>
    <w:rsid w:val="00825718"/>
    <w:rsid w:val="0082615C"/>
    <w:rsid w:val="008262F4"/>
    <w:rsid w:val="0082757D"/>
    <w:rsid w:val="00827710"/>
    <w:rsid w:val="00830C1C"/>
    <w:rsid w:val="00830C85"/>
    <w:rsid w:val="0083179A"/>
    <w:rsid w:val="008349D8"/>
    <w:rsid w:val="008356A4"/>
    <w:rsid w:val="00836890"/>
    <w:rsid w:val="00841A37"/>
    <w:rsid w:val="00842480"/>
    <w:rsid w:val="00844254"/>
    <w:rsid w:val="0085156C"/>
    <w:rsid w:val="00855A7B"/>
    <w:rsid w:val="008637B3"/>
    <w:rsid w:val="00864C5F"/>
    <w:rsid w:val="00865F96"/>
    <w:rsid w:val="00867D3C"/>
    <w:rsid w:val="00867EB1"/>
    <w:rsid w:val="00867FB7"/>
    <w:rsid w:val="00870B2F"/>
    <w:rsid w:val="00871B59"/>
    <w:rsid w:val="00873555"/>
    <w:rsid w:val="00873C78"/>
    <w:rsid w:val="008743F1"/>
    <w:rsid w:val="008748BB"/>
    <w:rsid w:val="00883136"/>
    <w:rsid w:val="00883ADA"/>
    <w:rsid w:val="00883CE1"/>
    <w:rsid w:val="008845A4"/>
    <w:rsid w:val="00885E21"/>
    <w:rsid w:val="00886930"/>
    <w:rsid w:val="00887D0E"/>
    <w:rsid w:val="00890039"/>
    <w:rsid w:val="008914FC"/>
    <w:rsid w:val="00892843"/>
    <w:rsid w:val="00893510"/>
    <w:rsid w:val="00893811"/>
    <w:rsid w:val="008950D5"/>
    <w:rsid w:val="008A15E4"/>
    <w:rsid w:val="008A3CBB"/>
    <w:rsid w:val="008A56F3"/>
    <w:rsid w:val="008A6BEC"/>
    <w:rsid w:val="008A7281"/>
    <w:rsid w:val="008A7283"/>
    <w:rsid w:val="008A7936"/>
    <w:rsid w:val="008B058F"/>
    <w:rsid w:val="008B0E64"/>
    <w:rsid w:val="008B4D69"/>
    <w:rsid w:val="008B4F50"/>
    <w:rsid w:val="008B5AAC"/>
    <w:rsid w:val="008B7E16"/>
    <w:rsid w:val="008C04AD"/>
    <w:rsid w:val="008C0601"/>
    <w:rsid w:val="008C17A7"/>
    <w:rsid w:val="008C1A0D"/>
    <w:rsid w:val="008C43B8"/>
    <w:rsid w:val="008C4818"/>
    <w:rsid w:val="008C487C"/>
    <w:rsid w:val="008C685C"/>
    <w:rsid w:val="008C7E4B"/>
    <w:rsid w:val="008D3D27"/>
    <w:rsid w:val="008D59D4"/>
    <w:rsid w:val="008E2248"/>
    <w:rsid w:val="008E5E45"/>
    <w:rsid w:val="008E6E22"/>
    <w:rsid w:val="008F1AB0"/>
    <w:rsid w:val="008F2AE1"/>
    <w:rsid w:val="008F43D1"/>
    <w:rsid w:val="008F4738"/>
    <w:rsid w:val="008F6B46"/>
    <w:rsid w:val="00910E3A"/>
    <w:rsid w:val="009112A3"/>
    <w:rsid w:val="0091163A"/>
    <w:rsid w:val="009128B3"/>
    <w:rsid w:val="00912ACC"/>
    <w:rsid w:val="00912E3D"/>
    <w:rsid w:val="00913BEA"/>
    <w:rsid w:val="009142D2"/>
    <w:rsid w:val="00917473"/>
    <w:rsid w:val="00917B64"/>
    <w:rsid w:val="00922EDF"/>
    <w:rsid w:val="00923A73"/>
    <w:rsid w:val="00923BE2"/>
    <w:rsid w:val="00924044"/>
    <w:rsid w:val="00925C93"/>
    <w:rsid w:val="00926432"/>
    <w:rsid w:val="0093070C"/>
    <w:rsid w:val="0093138F"/>
    <w:rsid w:val="00932A8F"/>
    <w:rsid w:val="00933404"/>
    <w:rsid w:val="0093414E"/>
    <w:rsid w:val="0094101E"/>
    <w:rsid w:val="00942427"/>
    <w:rsid w:val="00942C71"/>
    <w:rsid w:val="00943340"/>
    <w:rsid w:val="00944886"/>
    <w:rsid w:val="00944CB2"/>
    <w:rsid w:val="009465B6"/>
    <w:rsid w:val="00947575"/>
    <w:rsid w:val="00947FA5"/>
    <w:rsid w:val="0095003F"/>
    <w:rsid w:val="009555AD"/>
    <w:rsid w:val="009556AC"/>
    <w:rsid w:val="00961213"/>
    <w:rsid w:val="00962F68"/>
    <w:rsid w:val="0096745D"/>
    <w:rsid w:val="00970AC6"/>
    <w:rsid w:val="0097219A"/>
    <w:rsid w:val="009733F7"/>
    <w:rsid w:val="00974B49"/>
    <w:rsid w:val="00975E7E"/>
    <w:rsid w:val="00976AB6"/>
    <w:rsid w:val="00977CE8"/>
    <w:rsid w:val="00980000"/>
    <w:rsid w:val="00982020"/>
    <w:rsid w:val="00983405"/>
    <w:rsid w:val="009848F2"/>
    <w:rsid w:val="009877BE"/>
    <w:rsid w:val="00990036"/>
    <w:rsid w:val="0099094F"/>
    <w:rsid w:val="00992D8C"/>
    <w:rsid w:val="00994A05"/>
    <w:rsid w:val="00994D6B"/>
    <w:rsid w:val="009A03AD"/>
    <w:rsid w:val="009A3960"/>
    <w:rsid w:val="009A4835"/>
    <w:rsid w:val="009A4930"/>
    <w:rsid w:val="009A4FE0"/>
    <w:rsid w:val="009A5171"/>
    <w:rsid w:val="009A56F2"/>
    <w:rsid w:val="009A6DAC"/>
    <w:rsid w:val="009B02A3"/>
    <w:rsid w:val="009B4072"/>
    <w:rsid w:val="009B4573"/>
    <w:rsid w:val="009B5176"/>
    <w:rsid w:val="009B5803"/>
    <w:rsid w:val="009B5C9D"/>
    <w:rsid w:val="009B6CA3"/>
    <w:rsid w:val="009B7CEB"/>
    <w:rsid w:val="009C4022"/>
    <w:rsid w:val="009C64B8"/>
    <w:rsid w:val="009C6B67"/>
    <w:rsid w:val="009D0521"/>
    <w:rsid w:val="009D0E30"/>
    <w:rsid w:val="009D1FFD"/>
    <w:rsid w:val="009D3A6F"/>
    <w:rsid w:val="009D479A"/>
    <w:rsid w:val="009D6661"/>
    <w:rsid w:val="009D676E"/>
    <w:rsid w:val="009D7165"/>
    <w:rsid w:val="009E23F3"/>
    <w:rsid w:val="009E4754"/>
    <w:rsid w:val="009E666D"/>
    <w:rsid w:val="009E690F"/>
    <w:rsid w:val="009E724B"/>
    <w:rsid w:val="009F3F53"/>
    <w:rsid w:val="009F68F7"/>
    <w:rsid w:val="009F6A90"/>
    <w:rsid w:val="009F720E"/>
    <w:rsid w:val="00A00407"/>
    <w:rsid w:val="00A04CCC"/>
    <w:rsid w:val="00A1065E"/>
    <w:rsid w:val="00A1092E"/>
    <w:rsid w:val="00A110F9"/>
    <w:rsid w:val="00A113F2"/>
    <w:rsid w:val="00A1240E"/>
    <w:rsid w:val="00A12967"/>
    <w:rsid w:val="00A138D7"/>
    <w:rsid w:val="00A138E1"/>
    <w:rsid w:val="00A168C4"/>
    <w:rsid w:val="00A16F9D"/>
    <w:rsid w:val="00A17B32"/>
    <w:rsid w:val="00A2227E"/>
    <w:rsid w:val="00A2377C"/>
    <w:rsid w:val="00A3175C"/>
    <w:rsid w:val="00A31F76"/>
    <w:rsid w:val="00A324EA"/>
    <w:rsid w:val="00A329D0"/>
    <w:rsid w:val="00A34C93"/>
    <w:rsid w:val="00A34E54"/>
    <w:rsid w:val="00A36643"/>
    <w:rsid w:val="00A370E2"/>
    <w:rsid w:val="00A42E27"/>
    <w:rsid w:val="00A45249"/>
    <w:rsid w:val="00A45C7A"/>
    <w:rsid w:val="00A45CB2"/>
    <w:rsid w:val="00A46578"/>
    <w:rsid w:val="00A468DC"/>
    <w:rsid w:val="00A46E86"/>
    <w:rsid w:val="00A50307"/>
    <w:rsid w:val="00A53732"/>
    <w:rsid w:val="00A5431F"/>
    <w:rsid w:val="00A552C4"/>
    <w:rsid w:val="00A56CDE"/>
    <w:rsid w:val="00A601FA"/>
    <w:rsid w:val="00A60527"/>
    <w:rsid w:val="00A61854"/>
    <w:rsid w:val="00A63767"/>
    <w:rsid w:val="00A667EE"/>
    <w:rsid w:val="00A67B6C"/>
    <w:rsid w:val="00A7356D"/>
    <w:rsid w:val="00A77124"/>
    <w:rsid w:val="00A77727"/>
    <w:rsid w:val="00A80BE1"/>
    <w:rsid w:val="00A862D4"/>
    <w:rsid w:val="00A91CFF"/>
    <w:rsid w:val="00A9253D"/>
    <w:rsid w:val="00A948C8"/>
    <w:rsid w:val="00AA1EBF"/>
    <w:rsid w:val="00AA39C8"/>
    <w:rsid w:val="00AA4315"/>
    <w:rsid w:val="00AA44B5"/>
    <w:rsid w:val="00AA4B29"/>
    <w:rsid w:val="00AA5F01"/>
    <w:rsid w:val="00AA63FD"/>
    <w:rsid w:val="00AB3AE7"/>
    <w:rsid w:val="00AB5DE6"/>
    <w:rsid w:val="00AB7DEF"/>
    <w:rsid w:val="00AC0149"/>
    <w:rsid w:val="00AC20E1"/>
    <w:rsid w:val="00AC334B"/>
    <w:rsid w:val="00AC4925"/>
    <w:rsid w:val="00AD2ABF"/>
    <w:rsid w:val="00AD2AE9"/>
    <w:rsid w:val="00AD2D8D"/>
    <w:rsid w:val="00AD46D0"/>
    <w:rsid w:val="00AD4BD4"/>
    <w:rsid w:val="00AE17FF"/>
    <w:rsid w:val="00AE1F85"/>
    <w:rsid w:val="00AE2E7C"/>
    <w:rsid w:val="00AE51EC"/>
    <w:rsid w:val="00AF07AC"/>
    <w:rsid w:val="00AF1114"/>
    <w:rsid w:val="00AF13D0"/>
    <w:rsid w:val="00AF3380"/>
    <w:rsid w:val="00AF7D8E"/>
    <w:rsid w:val="00B01A8D"/>
    <w:rsid w:val="00B033BC"/>
    <w:rsid w:val="00B0708D"/>
    <w:rsid w:val="00B070E9"/>
    <w:rsid w:val="00B07E02"/>
    <w:rsid w:val="00B10CED"/>
    <w:rsid w:val="00B111A4"/>
    <w:rsid w:val="00B1512B"/>
    <w:rsid w:val="00B17567"/>
    <w:rsid w:val="00B20D64"/>
    <w:rsid w:val="00B214D7"/>
    <w:rsid w:val="00B3001E"/>
    <w:rsid w:val="00B315F3"/>
    <w:rsid w:val="00B34FF3"/>
    <w:rsid w:val="00B40985"/>
    <w:rsid w:val="00B43512"/>
    <w:rsid w:val="00B43BE5"/>
    <w:rsid w:val="00B446B5"/>
    <w:rsid w:val="00B453CE"/>
    <w:rsid w:val="00B45F25"/>
    <w:rsid w:val="00B469F2"/>
    <w:rsid w:val="00B534B5"/>
    <w:rsid w:val="00B53A9E"/>
    <w:rsid w:val="00B55940"/>
    <w:rsid w:val="00B565A7"/>
    <w:rsid w:val="00B6419A"/>
    <w:rsid w:val="00B65C4F"/>
    <w:rsid w:val="00B6688C"/>
    <w:rsid w:val="00B71CDA"/>
    <w:rsid w:val="00B77E66"/>
    <w:rsid w:val="00B77EB6"/>
    <w:rsid w:val="00B817CF"/>
    <w:rsid w:val="00B82F25"/>
    <w:rsid w:val="00B82F81"/>
    <w:rsid w:val="00B86787"/>
    <w:rsid w:val="00B91130"/>
    <w:rsid w:val="00BA69FA"/>
    <w:rsid w:val="00BA7BB4"/>
    <w:rsid w:val="00BB0078"/>
    <w:rsid w:val="00BB0B59"/>
    <w:rsid w:val="00BB43D0"/>
    <w:rsid w:val="00BB5183"/>
    <w:rsid w:val="00BB74C0"/>
    <w:rsid w:val="00BC0042"/>
    <w:rsid w:val="00BC0863"/>
    <w:rsid w:val="00BC26BF"/>
    <w:rsid w:val="00BC3A98"/>
    <w:rsid w:val="00BC3E12"/>
    <w:rsid w:val="00BC681B"/>
    <w:rsid w:val="00BC693E"/>
    <w:rsid w:val="00BC732B"/>
    <w:rsid w:val="00BD4DA7"/>
    <w:rsid w:val="00BD5DF7"/>
    <w:rsid w:val="00BD5E63"/>
    <w:rsid w:val="00BD76D3"/>
    <w:rsid w:val="00BE36EA"/>
    <w:rsid w:val="00BE3707"/>
    <w:rsid w:val="00BE50D8"/>
    <w:rsid w:val="00BE6470"/>
    <w:rsid w:val="00BE6D7B"/>
    <w:rsid w:val="00BE731C"/>
    <w:rsid w:val="00BF1316"/>
    <w:rsid w:val="00BF3A2A"/>
    <w:rsid w:val="00BF5926"/>
    <w:rsid w:val="00BF619E"/>
    <w:rsid w:val="00BF7B6C"/>
    <w:rsid w:val="00C007AA"/>
    <w:rsid w:val="00C01892"/>
    <w:rsid w:val="00C04070"/>
    <w:rsid w:val="00C05871"/>
    <w:rsid w:val="00C14B9C"/>
    <w:rsid w:val="00C15C34"/>
    <w:rsid w:val="00C17EE5"/>
    <w:rsid w:val="00C20702"/>
    <w:rsid w:val="00C20D0A"/>
    <w:rsid w:val="00C224D1"/>
    <w:rsid w:val="00C22525"/>
    <w:rsid w:val="00C23662"/>
    <w:rsid w:val="00C25E10"/>
    <w:rsid w:val="00C26DFB"/>
    <w:rsid w:val="00C3043B"/>
    <w:rsid w:val="00C32A69"/>
    <w:rsid w:val="00C4142B"/>
    <w:rsid w:val="00C429DB"/>
    <w:rsid w:val="00C432AB"/>
    <w:rsid w:val="00C43441"/>
    <w:rsid w:val="00C43682"/>
    <w:rsid w:val="00C47221"/>
    <w:rsid w:val="00C47DE7"/>
    <w:rsid w:val="00C50084"/>
    <w:rsid w:val="00C53BA3"/>
    <w:rsid w:val="00C55406"/>
    <w:rsid w:val="00C56538"/>
    <w:rsid w:val="00C565E4"/>
    <w:rsid w:val="00C5684B"/>
    <w:rsid w:val="00C66EEC"/>
    <w:rsid w:val="00C72DFB"/>
    <w:rsid w:val="00C741A6"/>
    <w:rsid w:val="00C74898"/>
    <w:rsid w:val="00C764D5"/>
    <w:rsid w:val="00C8249F"/>
    <w:rsid w:val="00C82890"/>
    <w:rsid w:val="00C84C2F"/>
    <w:rsid w:val="00C86FE3"/>
    <w:rsid w:val="00C87367"/>
    <w:rsid w:val="00C90141"/>
    <w:rsid w:val="00C93DAF"/>
    <w:rsid w:val="00CA001C"/>
    <w:rsid w:val="00CA1199"/>
    <w:rsid w:val="00CA21DA"/>
    <w:rsid w:val="00CA2D31"/>
    <w:rsid w:val="00CA7FFA"/>
    <w:rsid w:val="00CB139A"/>
    <w:rsid w:val="00CB36BF"/>
    <w:rsid w:val="00CB57FE"/>
    <w:rsid w:val="00CB58DC"/>
    <w:rsid w:val="00CC03AA"/>
    <w:rsid w:val="00CC04A2"/>
    <w:rsid w:val="00CC07F8"/>
    <w:rsid w:val="00CC1F5A"/>
    <w:rsid w:val="00CC3E0D"/>
    <w:rsid w:val="00CC6A71"/>
    <w:rsid w:val="00CD0394"/>
    <w:rsid w:val="00CD18DF"/>
    <w:rsid w:val="00CD1E32"/>
    <w:rsid w:val="00CD35CA"/>
    <w:rsid w:val="00CD5605"/>
    <w:rsid w:val="00CD74E8"/>
    <w:rsid w:val="00CD7B5C"/>
    <w:rsid w:val="00CE0383"/>
    <w:rsid w:val="00CE04A6"/>
    <w:rsid w:val="00CE176C"/>
    <w:rsid w:val="00CE1C94"/>
    <w:rsid w:val="00CE217F"/>
    <w:rsid w:val="00CE2D79"/>
    <w:rsid w:val="00CF0E98"/>
    <w:rsid w:val="00CF3DD4"/>
    <w:rsid w:val="00CF40E7"/>
    <w:rsid w:val="00CF74EC"/>
    <w:rsid w:val="00D012E0"/>
    <w:rsid w:val="00D02EA3"/>
    <w:rsid w:val="00D03BE5"/>
    <w:rsid w:val="00D05368"/>
    <w:rsid w:val="00D06632"/>
    <w:rsid w:val="00D07C01"/>
    <w:rsid w:val="00D104A4"/>
    <w:rsid w:val="00D10FEB"/>
    <w:rsid w:val="00D11122"/>
    <w:rsid w:val="00D17064"/>
    <w:rsid w:val="00D22B5A"/>
    <w:rsid w:val="00D2370B"/>
    <w:rsid w:val="00D2370E"/>
    <w:rsid w:val="00D24030"/>
    <w:rsid w:val="00D24F11"/>
    <w:rsid w:val="00D24F9F"/>
    <w:rsid w:val="00D31DF9"/>
    <w:rsid w:val="00D33858"/>
    <w:rsid w:val="00D33CBA"/>
    <w:rsid w:val="00D343B0"/>
    <w:rsid w:val="00D360F1"/>
    <w:rsid w:val="00D40645"/>
    <w:rsid w:val="00D412F4"/>
    <w:rsid w:val="00D42278"/>
    <w:rsid w:val="00D42803"/>
    <w:rsid w:val="00D4592B"/>
    <w:rsid w:val="00D50412"/>
    <w:rsid w:val="00D53A17"/>
    <w:rsid w:val="00D5468B"/>
    <w:rsid w:val="00D54DFF"/>
    <w:rsid w:val="00D551B9"/>
    <w:rsid w:val="00D557F4"/>
    <w:rsid w:val="00D5596B"/>
    <w:rsid w:val="00D56459"/>
    <w:rsid w:val="00D56539"/>
    <w:rsid w:val="00D566BC"/>
    <w:rsid w:val="00D568EE"/>
    <w:rsid w:val="00D617D8"/>
    <w:rsid w:val="00D618CF"/>
    <w:rsid w:val="00D61C73"/>
    <w:rsid w:val="00D65CAD"/>
    <w:rsid w:val="00D66C5D"/>
    <w:rsid w:val="00D66ED0"/>
    <w:rsid w:val="00D714FF"/>
    <w:rsid w:val="00D72BE3"/>
    <w:rsid w:val="00D75E53"/>
    <w:rsid w:val="00D76C4A"/>
    <w:rsid w:val="00D77542"/>
    <w:rsid w:val="00D77CB0"/>
    <w:rsid w:val="00D84BE5"/>
    <w:rsid w:val="00D862BB"/>
    <w:rsid w:val="00D87400"/>
    <w:rsid w:val="00D90731"/>
    <w:rsid w:val="00D94CC3"/>
    <w:rsid w:val="00D95405"/>
    <w:rsid w:val="00DA622D"/>
    <w:rsid w:val="00DA653D"/>
    <w:rsid w:val="00DA65B7"/>
    <w:rsid w:val="00DA6656"/>
    <w:rsid w:val="00DB040C"/>
    <w:rsid w:val="00DB0C1D"/>
    <w:rsid w:val="00DB4AE0"/>
    <w:rsid w:val="00DB7168"/>
    <w:rsid w:val="00DB7B7D"/>
    <w:rsid w:val="00DC7B0A"/>
    <w:rsid w:val="00DC7D6B"/>
    <w:rsid w:val="00DD22BC"/>
    <w:rsid w:val="00DD3669"/>
    <w:rsid w:val="00DD3D5B"/>
    <w:rsid w:val="00DD3FAF"/>
    <w:rsid w:val="00DD4ED3"/>
    <w:rsid w:val="00DD64E3"/>
    <w:rsid w:val="00DE04AB"/>
    <w:rsid w:val="00DE1CD0"/>
    <w:rsid w:val="00DE293F"/>
    <w:rsid w:val="00DE2B3C"/>
    <w:rsid w:val="00DE326F"/>
    <w:rsid w:val="00DE36DE"/>
    <w:rsid w:val="00DE36ED"/>
    <w:rsid w:val="00DE6CE1"/>
    <w:rsid w:val="00DE735C"/>
    <w:rsid w:val="00DF0510"/>
    <w:rsid w:val="00DF13A1"/>
    <w:rsid w:val="00DF1E35"/>
    <w:rsid w:val="00DF2FB4"/>
    <w:rsid w:val="00DF3182"/>
    <w:rsid w:val="00DF4591"/>
    <w:rsid w:val="00DF5F57"/>
    <w:rsid w:val="00DF6CF4"/>
    <w:rsid w:val="00DF6ECF"/>
    <w:rsid w:val="00DF7988"/>
    <w:rsid w:val="00DF7BC5"/>
    <w:rsid w:val="00DF7D9D"/>
    <w:rsid w:val="00E02792"/>
    <w:rsid w:val="00E05147"/>
    <w:rsid w:val="00E05B51"/>
    <w:rsid w:val="00E064D1"/>
    <w:rsid w:val="00E06E94"/>
    <w:rsid w:val="00E12E41"/>
    <w:rsid w:val="00E17F1D"/>
    <w:rsid w:val="00E20FCC"/>
    <w:rsid w:val="00E2218C"/>
    <w:rsid w:val="00E23375"/>
    <w:rsid w:val="00E2611B"/>
    <w:rsid w:val="00E30C82"/>
    <w:rsid w:val="00E337DE"/>
    <w:rsid w:val="00E34AD3"/>
    <w:rsid w:val="00E364ED"/>
    <w:rsid w:val="00E4036D"/>
    <w:rsid w:val="00E43F28"/>
    <w:rsid w:val="00E45747"/>
    <w:rsid w:val="00E5025A"/>
    <w:rsid w:val="00E522B0"/>
    <w:rsid w:val="00E55916"/>
    <w:rsid w:val="00E5642A"/>
    <w:rsid w:val="00E56CFD"/>
    <w:rsid w:val="00E64886"/>
    <w:rsid w:val="00E66E69"/>
    <w:rsid w:val="00E66F2A"/>
    <w:rsid w:val="00E670CE"/>
    <w:rsid w:val="00E6724D"/>
    <w:rsid w:val="00E727D8"/>
    <w:rsid w:val="00E73C1A"/>
    <w:rsid w:val="00E75785"/>
    <w:rsid w:val="00E8137F"/>
    <w:rsid w:val="00E8556F"/>
    <w:rsid w:val="00E86081"/>
    <w:rsid w:val="00E91A80"/>
    <w:rsid w:val="00E91D76"/>
    <w:rsid w:val="00E9559E"/>
    <w:rsid w:val="00EA27A0"/>
    <w:rsid w:val="00EA2927"/>
    <w:rsid w:val="00EA46F1"/>
    <w:rsid w:val="00EA54E5"/>
    <w:rsid w:val="00EA63FB"/>
    <w:rsid w:val="00EB0019"/>
    <w:rsid w:val="00EB31D3"/>
    <w:rsid w:val="00EB3873"/>
    <w:rsid w:val="00EB5CAF"/>
    <w:rsid w:val="00EB6346"/>
    <w:rsid w:val="00EB6EB5"/>
    <w:rsid w:val="00EC01E2"/>
    <w:rsid w:val="00EC0855"/>
    <w:rsid w:val="00EC798D"/>
    <w:rsid w:val="00ED3556"/>
    <w:rsid w:val="00ED3BDA"/>
    <w:rsid w:val="00ED594F"/>
    <w:rsid w:val="00ED7D5D"/>
    <w:rsid w:val="00EE0614"/>
    <w:rsid w:val="00EE3B7E"/>
    <w:rsid w:val="00EE46D4"/>
    <w:rsid w:val="00EE6A5A"/>
    <w:rsid w:val="00EF32B6"/>
    <w:rsid w:val="00EF74A2"/>
    <w:rsid w:val="00F044B2"/>
    <w:rsid w:val="00F115BF"/>
    <w:rsid w:val="00F12BC6"/>
    <w:rsid w:val="00F14C20"/>
    <w:rsid w:val="00F1685D"/>
    <w:rsid w:val="00F23832"/>
    <w:rsid w:val="00F244BF"/>
    <w:rsid w:val="00F26CCF"/>
    <w:rsid w:val="00F27400"/>
    <w:rsid w:val="00F31CAB"/>
    <w:rsid w:val="00F32081"/>
    <w:rsid w:val="00F36AE6"/>
    <w:rsid w:val="00F4222C"/>
    <w:rsid w:val="00F424F2"/>
    <w:rsid w:val="00F42B3B"/>
    <w:rsid w:val="00F43024"/>
    <w:rsid w:val="00F463C7"/>
    <w:rsid w:val="00F47765"/>
    <w:rsid w:val="00F47FE9"/>
    <w:rsid w:val="00F5081D"/>
    <w:rsid w:val="00F536DF"/>
    <w:rsid w:val="00F605AB"/>
    <w:rsid w:val="00F60EF9"/>
    <w:rsid w:val="00F61060"/>
    <w:rsid w:val="00F634C2"/>
    <w:rsid w:val="00F63907"/>
    <w:rsid w:val="00F645D6"/>
    <w:rsid w:val="00F66828"/>
    <w:rsid w:val="00F71820"/>
    <w:rsid w:val="00F768CA"/>
    <w:rsid w:val="00F77123"/>
    <w:rsid w:val="00F81C45"/>
    <w:rsid w:val="00F842DC"/>
    <w:rsid w:val="00F86EFC"/>
    <w:rsid w:val="00F87A09"/>
    <w:rsid w:val="00F92E7F"/>
    <w:rsid w:val="00F93BF2"/>
    <w:rsid w:val="00F9737C"/>
    <w:rsid w:val="00FA03BC"/>
    <w:rsid w:val="00FA394E"/>
    <w:rsid w:val="00FA6A4A"/>
    <w:rsid w:val="00FB037F"/>
    <w:rsid w:val="00FB126F"/>
    <w:rsid w:val="00FB3213"/>
    <w:rsid w:val="00FB55C5"/>
    <w:rsid w:val="00FB6310"/>
    <w:rsid w:val="00FB6DC9"/>
    <w:rsid w:val="00FB7056"/>
    <w:rsid w:val="00FC15A2"/>
    <w:rsid w:val="00FC3A4D"/>
    <w:rsid w:val="00FC65FF"/>
    <w:rsid w:val="00FC7C36"/>
    <w:rsid w:val="00FD1081"/>
    <w:rsid w:val="00FD73CC"/>
    <w:rsid w:val="00FE002A"/>
    <w:rsid w:val="00FE17F7"/>
    <w:rsid w:val="00FE1FE0"/>
    <w:rsid w:val="00FE37F9"/>
    <w:rsid w:val="00FE4DF1"/>
    <w:rsid w:val="00FE6ED6"/>
    <w:rsid w:val="00FF1A20"/>
    <w:rsid w:val="00FF3871"/>
    <w:rsid w:val="00FF423A"/>
    <w:rsid w:val="00FF481C"/>
    <w:rsid w:val="00FF4F68"/>
    <w:rsid w:val="00FF52E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1E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846753961">
      <w:bodyDiv w:val="1"/>
      <w:marLeft w:val="0"/>
      <w:marRight w:val="0"/>
      <w:marTop w:val="0"/>
      <w:marBottom w:val="0"/>
      <w:divBdr>
        <w:top w:val="none" w:sz="0" w:space="0" w:color="auto"/>
        <w:left w:val="none" w:sz="0" w:space="0" w:color="auto"/>
        <w:bottom w:val="none" w:sz="0" w:space="0" w:color="auto"/>
        <w:right w:val="none" w:sz="0" w:space="0" w:color="auto"/>
      </w:divBdr>
      <w:divsChild>
        <w:div w:id="632520040">
          <w:marLeft w:val="0"/>
          <w:marRight w:val="0"/>
          <w:marTop w:val="0"/>
          <w:marBottom w:val="0"/>
          <w:divBdr>
            <w:top w:val="none" w:sz="0" w:space="0" w:color="auto"/>
            <w:left w:val="none" w:sz="0" w:space="0" w:color="auto"/>
            <w:bottom w:val="none" w:sz="0" w:space="0" w:color="auto"/>
            <w:right w:val="none" w:sz="0" w:space="0" w:color="auto"/>
          </w:divBdr>
          <w:divsChild>
            <w:div w:id="1456826099">
              <w:marLeft w:val="0"/>
              <w:marRight w:val="0"/>
              <w:marTop w:val="0"/>
              <w:marBottom w:val="0"/>
              <w:divBdr>
                <w:top w:val="none" w:sz="0" w:space="0" w:color="auto"/>
                <w:left w:val="none" w:sz="0" w:space="0" w:color="auto"/>
                <w:bottom w:val="none" w:sz="0" w:space="0" w:color="auto"/>
                <w:right w:val="none" w:sz="0" w:space="0" w:color="auto"/>
              </w:divBdr>
              <w:divsChild>
                <w:div w:id="1969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0051">
      <w:bodyDiv w:val="1"/>
      <w:marLeft w:val="0"/>
      <w:marRight w:val="0"/>
      <w:marTop w:val="0"/>
      <w:marBottom w:val="0"/>
      <w:divBdr>
        <w:top w:val="none" w:sz="0" w:space="0" w:color="auto"/>
        <w:left w:val="none" w:sz="0" w:space="0" w:color="auto"/>
        <w:bottom w:val="none" w:sz="0" w:space="0" w:color="auto"/>
        <w:right w:val="none" w:sz="0" w:space="0" w:color="auto"/>
      </w:divBdr>
    </w:div>
    <w:div w:id="1039360619">
      <w:bodyDiv w:val="1"/>
      <w:marLeft w:val="0"/>
      <w:marRight w:val="0"/>
      <w:marTop w:val="0"/>
      <w:marBottom w:val="0"/>
      <w:divBdr>
        <w:top w:val="none" w:sz="0" w:space="0" w:color="auto"/>
        <w:left w:val="none" w:sz="0" w:space="0" w:color="auto"/>
        <w:bottom w:val="none" w:sz="0" w:space="0" w:color="auto"/>
        <w:right w:val="none" w:sz="0" w:space="0" w:color="auto"/>
      </w:divBdr>
    </w:div>
    <w:div w:id="1219902321">
      <w:bodyDiv w:val="1"/>
      <w:marLeft w:val="0"/>
      <w:marRight w:val="0"/>
      <w:marTop w:val="0"/>
      <w:marBottom w:val="0"/>
      <w:divBdr>
        <w:top w:val="none" w:sz="0" w:space="0" w:color="auto"/>
        <w:left w:val="none" w:sz="0" w:space="0" w:color="auto"/>
        <w:bottom w:val="none" w:sz="0" w:space="0" w:color="auto"/>
        <w:right w:val="none" w:sz="0" w:space="0" w:color="auto"/>
      </w:divBdr>
      <w:divsChild>
        <w:div w:id="865825185">
          <w:marLeft w:val="0"/>
          <w:marRight w:val="0"/>
          <w:marTop w:val="0"/>
          <w:marBottom w:val="0"/>
          <w:divBdr>
            <w:top w:val="none" w:sz="0" w:space="0" w:color="auto"/>
            <w:left w:val="none" w:sz="0" w:space="0" w:color="auto"/>
            <w:bottom w:val="none" w:sz="0" w:space="0" w:color="auto"/>
            <w:right w:val="none" w:sz="0" w:space="0" w:color="auto"/>
          </w:divBdr>
          <w:divsChild>
            <w:div w:id="1510759051">
              <w:marLeft w:val="0"/>
              <w:marRight w:val="0"/>
              <w:marTop w:val="0"/>
              <w:marBottom w:val="0"/>
              <w:divBdr>
                <w:top w:val="none" w:sz="0" w:space="0" w:color="auto"/>
                <w:left w:val="none" w:sz="0" w:space="0" w:color="auto"/>
                <w:bottom w:val="none" w:sz="0" w:space="0" w:color="auto"/>
                <w:right w:val="none" w:sz="0" w:space="0" w:color="auto"/>
              </w:divBdr>
              <w:divsChild>
                <w:div w:id="4696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50808">
      <w:bodyDiv w:val="1"/>
      <w:marLeft w:val="0"/>
      <w:marRight w:val="0"/>
      <w:marTop w:val="0"/>
      <w:marBottom w:val="0"/>
      <w:divBdr>
        <w:top w:val="none" w:sz="0" w:space="0" w:color="auto"/>
        <w:left w:val="none" w:sz="0" w:space="0" w:color="auto"/>
        <w:bottom w:val="none" w:sz="0" w:space="0" w:color="auto"/>
        <w:right w:val="none" w:sz="0" w:space="0" w:color="auto"/>
      </w:divBdr>
      <w:divsChild>
        <w:div w:id="1155681228">
          <w:marLeft w:val="0"/>
          <w:marRight w:val="0"/>
          <w:marTop w:val="0"/>
          <w:marBottom w:val="0"/>
          <w:divBdr>
            <w:top w:val="none" w:sz="0" w:space="0" w:color="auto"/>
            <w:left w:val="none" w:sz="0" w:space="0" w:color="auto"/>
            <w:bottom w:val="none" w:sz="0" w:space="0" w:color="auto"/>
            <w:right w:val="none" w:sz="0" w:space="0" w:color="auto"/>
          </w:divBdr>
          <w:divsChild>
            <w:div w:id="570165851">
              <w:marLeft w:val="0"/>
              <w:marRight w:val="0"/>
              <w:marTop w:val="0"/>
              <w:marBottom w:val="0"/>
              <w:divBdr>
                <w:top w:val="none" w:sz="0" w:space="0" w:color="auto"/>
                <w:left w:val="none" w:sz="0" w:space="0" w:color="auto"/>
                <w:bottom w:val="none" w:sz="0" w:space="0" w:color="auto"/>
                <w:right w:val="none" w:sz="0" w:space="0" w:color="auto"/>
              </w:divBdr>
              <w:divsChild>
                <w:div w:id="6990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7954">
      <w:bodyDiv w:val="1"/>
      <w:marLeft w:val="0"/>
      <w:marRight w:val="0"/>
      <w:marTop w:val="0"/>
      <w:marBottom w:val="0"/>
      <w:divBdr>
        <w:top w:val="none" w:sz="0" w:space="0" w:color="auto"/>
        <w:left w:val="none" w:sz="0" w:space="0" w:color="auto"/>
        <w:bottom w:val="none" w:sz="0" w:space="0" w:color="auto"/>
        <w:right w:val="none" w:sz="0" w:space="0" w:color="auto"/>
      </w:divBdr>
      <w:divsChild>
        <w:div w:id="68622387">
          <w:marLeft w:val="0"/>
          <w:marRight w:val="0"/>
          <w:marTop w:val="0"/>
          <w:marBottom w:val="0"/>
          <w:divBdr>
            <w:top w:val="none" w:sz="0" w:space="0" w:color="auto"/>
            <w:left w:val="none" w:sz="0" w:space="0" w:color="auto"/>
            <w:bottom w:val="none" w:sz="0" w:space="0" w:color="auto"/>
            <w:right w:val="none" w:sz="0" w:space="0" w:color="auto"/>
          </w:divBdr>
          <w:divsChild>
            <w:div w:id="872183416">
              <w:marLeft w:val="0"/>
              <w:marRight w:val="0"/>
              <w:marTop w:val="0"/>
              <w:marBottom w:val="0"/>
              <w:divBdr>
                <w:top w:val="none" w:sz="0" w:space="0" w:color="auto"/>
                <w:left w:val="none" w:sz="0" w:space="0" w:color="auto"/>
                <w:bottom w:val="none" w:sz="0" w:space="0" w:color="auto"/>
                <w:right w:val="none" w:sz="0" w:space="0" w:color="auto"/>
              </w:divBdr>
              <w:divsChild>
                <w:div w:id="498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sana.strippoli@uniba.it" TargetMode="External"/><Relationship Id="rId18" Type="http://schemas.openxmlformats.org/officeDocument/2006/relationships/hyperlink" Target="https://doi.org/10.1016/j.tra.2013.07.002" TargetMode="External"/><Relationship Id="rId26" Type="http://schemas.openxmlformats.org/officeDocument/2006/relationships/hyperlink" Target="https://doi.org/10.1016/j.jclepro.2020.121937" TargetMode="External"/><Relationship Id="rId3" Type="http://schemas.openxmlformats.org/officeDocument/2006/relationships/settings" Target="settings.xml"/><Relationship Id="rId21" Type="http://schemas.openxmlformats.org/officeDocument/2006/relationships/hyperlink" Target="https://www.istat.it/it/archivio/156224" TargetMode="External"/><Relationship Id="rId34" Type="http://schemas.openxmlformats.org/officeDocument/2006/relationships/theme" Target="theme/theme1.xml"/><Relationship Id="rId7" Type="http://schemas.openxmlformats.org/officeDocument/2006/relationships/hyperlink" Target="mailto:1teodoro.gallucci@uniba.it" TargetMode="External"/><Relationship Id="rId12" Type="http://schemas.openxmlformats.org/officeDocument/2006/relationships/hyperlink" Target="mailto:annarita.paiano@uniba.it" TargetMode="External"/><Relationship Id="rId17" Type="http://schemas.openxmlformats.org/officeDocument/2006/relationships/hyperlink" Target="https://www.italy-croatia.eu/web/take-it-slow" TargetMode="External"/><Relationship Id="rId25" Type="http://schemas.openxmlformats.org/officeDocument/2006/relationships/hyperlink" Target="http://dx.doi.org/10.1016/j.tourman.2014.03.0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jclepro.2018.07.032" TargetMode="External"/><Relationship Id="rId20" Type="http://schemas.openxmlformats.org/officeDocument/2006/relationships/hyperlink" Target="https://demo.istat.it/bil/index.php?anno=2020&amp;lingua=it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a.amicarelli@uniba.it" TargetMode="External"/><Relationship Id="rId24" Type="http://schemas.openxmlformats.org/officeDocument/2006/relationships/hyperlink" Target="https://doi.org/10.1016/j.tourman.2018.09.01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177/1354816616669008" TargetMode="External"/><Relationship Id="rId23" Type="http://schemas.openxmlformats.org/officeDocument/2006/relationships/hyperlink" Target="https://www.agenziapugliapromozione.it/portal/web/guest/osservatorio-del-turismo" TargetMode="External"/><Relationship Id="rId28" Type="http://schemas.openxmlformats.org/officeDocument/2006/relationships/hyperlink" Target="https://wttc.org/Portals/0/Documents/Reports/2021/Global%20Economic%20Impact%20and%20Trends%202021.pdf?ver=2021-07-01-114957-177" TargetMode="External"/><Relationship Id="rId10" Type="http://schemas.openxmlformats.org/officeDocument/2006/relationships/hyperlink" Target="mailto:carlo.ingrao@uniba.it" TargetMode="External"/><Relationship Id="rId19" Type="http://schemas.openxmlformats.org/officeDocument/2006/relationships/hyperlink" Target="https://www.iso.org/standard/66453.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iovanni.lagioia@uniba.it" TargetMode="External"/><Relationship Id="rId14" Type="http://schemas.openxmlformats.org/officeDocument/2006/relationships/image" Target="media/image1.png"/><Relationship Id="rId22" Type="http://schemas.openxmlformats.org/officeDocument/2006/relationships/hyperlink" Target="https://doi.org/10.1016/j.tmp.2019.100611" TargetMode="External"/><Relationship Id="rId27" Type="http://schemas.openxmlformats.org/officeDocument/2006/relationships/hyperlink" Target="https://gaftp.epa.gov/AIR/nei/ei_conference/EI16/session13/wintergreen.pdf" TargetMode="External"/><Relationship Id="rId30" Type="http://schemas.openxmlformats.org/officeDocument/2006/relationships/header" Target="header2.xml"/><Relationship Id="rId8" Type="http://schemas.openxmlformats.org/officeDocument/2006/relationships/hyperlink" Target="mailto:2rossana.strippoli@unib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1</TotalTime>
  <Pages>8</Pages>
  <Words>2441</Words>
  <Characters>13916</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Strippoli</dc:creator>
  <cp:keywords/>
  <dc:description/>
  <cp:lastModifiedBy>Rossana Strippoli</cp:lastModifiedBy>
  <cp:revision>4</cp:revision>
  <cp:lastPrinted>2015-09-03T03:20:00Z</cp:lastPrinted>
  <dcterms:created xsi:type="dcterms:W3CDTF">2022-06-30T14:06:00Z</dcterms:created>
  <dcterms:modified xsi:type="dcterms:W3CDTF">2022-06-30T14:20:00Z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