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61509930"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p>
    <w:p w14:paraId="5AD0784A" w14:textId="226D251D" w:rsidR="002F7330" w:rsidRDefault="00943E41" w:rsidP="009848F2">
      <w:pPr>
        <w:pStyle w:val="ChapterTitle"/>
        <w:tabs>
          <w:tab w:val="left" w:pos="5812"/>
          <w:tab w:val="left" w:pos="5954"/>
          <w:tab w:val="left" w:pos="6096"/>
          <w:tab w:val="left" w:pos="6237"/>
        </w:tabs>
        <w:spacing w:after="0" w:line="240" w:lineRule="auto"/>
        <w:ind w:left="0" w:right="-28"/>
        <w:jc w:val="left"/>
        <w:rPr>
          <w:sz w:val="28"/>
        </w:rPr>
      </w:pPr>
      <w:r w:rsidRPr="00943E41">
        <w:rPr>
          <w:sz w:val="28"/>
        </w:rPr>
        <w:t>Personal Protective Equipment</w:t>
      </w:r>
      <w:r w:rsidR="004724BD" w:rsidRPr="004724BD">
        <w:rPr>
          <w:sz w:val="28"/>
        </w:rPr>
        <w:t xml:space="preserve"> recycling scenarios </w:t>
      </w:r>
      <w:proofErr w:type="gramStart"/>
      <w:r w:rsidR="004724BD" w:rsidRPr="004724BD">
        <w:rPr>
          <w:sz w:val="28"/>
        </w:rPr>
        <w:t>for the production of</w:t>
      </w:r>
      <w:proofErr w:type="gramEnd"/>
      <w:r w:rsidR="004724BD" w:rsidRPr="004724BD">
        <w:rPr>
          <w:sz w:val="28"/>
        </w:rPr>
        <w:t xml:space="preserve"> reinforced bituminous conglomerates</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3FB827C2" w14:textId="0C3487C1" w:rsidR="002F7330" w:rsidRPr="004724BD" w:rsidRDefault="004724BD" w:rsidP="00D66ED0">
      <w:pPr>
        <w:pStyle w:val="Author"/>
        <w:spacing w:line="276" w:lineRule="auto"/>
        <w:rPr>
          <w:sz w:val="24"/>
          <w:lang w:val="it-IT"/>
        </w:rPr>
      </w:pPr>
      <w:r w:rsidRPr="004724BD">
        <w:rPr>
          <w:sz w:val="24"/>
          <w:lang w:val="it-IT"/>
        </w:rPr>
        <w:t>Mattia Gianvincenzi</w:t>
      </w:r>
      <w:r w:rsidR="00800F75">
        <w:rPr>
          <w:sz w:val="24"/>
          <w:vertAlign w:val="superscript"/>
          <w:lang w:val="it-IT"/>
        </w:rPr>
        <w:t>1</w:t>
      </w:r>
      <w:r w:rsidR="009F68F7" w:rsidRPr="004724BD">
        <w:rPr>
          <w:sz w:val="24"/>
          <w:lang w:val="it-IT"/>
        </w:rPr>
        <w:t xml:space="preserve">, </w:t>
      </w:r>
      <w:r w:rsidRPr="004724BD">
        <w:rPr>
          <w:sz w:val="24"/>
          <w:lang w:val="it-IT"/>
        </w:rPr>
        <w:t>Mar</w:t>
      </w:r>
      <w:r>
        <w:rPr>
          <w:sz w:val="24"/>
          <w:lang w:val="it-IT"/>
        </w:rPr>
        <w:t>co Marconi</w:t>
      </w:r>
      <w:r w:rsidR="00800F75">
        <w:rPr>
          <w:sz w:val="24"/>
          <w:vertAlign w:val="superscript"/>
          <w:lang w:val="it-IT"/>
        </w:rPr>
        <w:t>2</w:t>
      </w:r>
      <w:r w:rsidR="009F68F7" w:rsidRPr="004724BD">
        <w:rPr>
          <w:sz w:val="24"/>
          <w:lang w:val="it-IT"/>
        </w:rPr>
        <w:t>,</w:t>
      </w:r>
      <w:r>
        <w:rPr>
          <w:sz w:val="24"/>
          <w:lang w:val="it-IT"/>
        </w:rPr>
        <w:t xml:space="preserve"> Enrico Maria Mosconi</w:t>
      </w:r>
      <w:r w:rsidR="00800F75">
        <w:rPr>
          <w:sz w:val="24"/>
          <w:vertAlign w:val="superscript"/>
          <w:lang w:val="it-IT"/>
        </w:rPr>
        <w:t>3</w:t>
      </w:r>
      <w:r w:rsidR="00D07C01" w:rsidRPr="004724BD">
        <w:rPr>
          <w:sz w:val="24"/>
          <w:lang w:val="it-IT"/>
        </w:rPr>
        <w:t xml:space="preserve">, </w:t>
      </w:r>
      <w:r>
        <w:rPr>
          <w:sz w:val="24"/>
          <w:lang w:val="it-IT"/>
        </w:rPr>
        <w:t>Francesco Tola</w:t>
      </w:r>
      <w:r w:rsidR="00800F75">
        <w:rPr>
          <w:sz w:val="24"/>
          <w:vertAlign w:val="superscript"/>
          <w:lang w:val="it-IT"/>
        </w:rPr>
        <w:t>4</w:t>
      </w:r>
    </w:p>
    <w:p w14:paraId="464D60A7" w14:textId="003F090E" w:rsidR="00214440" w:rsidRDefault="00800F75" w:rsidP="009848F2">
      <w:pPr>
        <w:pStyle w:val="Affiliation"/>
        <w:spacing w:line="276" w:lineRule="auto"/>
      </w:pPr>
      <w:r>
        <w:rPr>
          <w:sz w:val="24"/>
          <w:vertAlign w:val="superscript"/>
        </w:rPr>
        <w:t>1,2,3,4</w:t>
      </w:r>
      <w:r w:rsidRPr="00800F75">
        <w:t>Department of Economics, Engineering, Society and Business Organization</w:t>
      </w:r>
      <w:r w:rsidR="00D07C01">
        <w:t>,</w:t>
      </w:r>
      <w:r w:rsidR="009F68F7">
        <w:t xml:space="preserve"> </w:t>
      </w:r>
      <w:proofErr w:type="spellStart"/>
      <w:r w:rsidR="00B469F2">
        <w:t>Universit</w:t>
      </w:r>
      <w:r w:rsidR="00943E41">
        <w:t>à</w:t>
      </w:r>
      <w:proofErr w:type="spellEnd"/>
      <w:r w:rsidR="00B469F2">
        <w:t xml:space="preserve"> </w:t>
      </w:r>
      <w:proofErr w:type="spellStart"/>
      <w:r w:rsidR="00943E41">
        <w:t>degli</w:t>
      </w:r>
      <w:proofErr w:type="spellEnd"/>
      <w:r w:rsidR="00943E41">
        <w:t xml:space="preserve"> </w:t>
      </w:r>
      <w:proofErr w:type="spellStart"/>
      <w:r w:rsidR="00943E41">
        <w:t>Studi</w:t>
      </w:r>
      <w:proofErr w:type="spellEnd"/>
      <w:r w:rsidR="00943E41">
        <w:t xml:space="preserve"> </w:t>
      </w:r>
      <w:proofErr w:type="spellStart"/>
      <w:r w:rsidR="00943E41">
        <w:t>della</w:t>
      </w:r>
      <w:proofErr w:type="spellEnd"/>
      <w:r w:rsidR="003800E5">
        <w:t xml:space="preserve"> </w:t>
      </w:r>
      <w:proofErr w:type="spellStart"/>
      <w:r w:rsidR="003800E5">
        <w:t>Tuscia</w:t>
      </w:r>
      <w:proofErr w:type="spellEnd"/>
      <w:r w:rsidR="00214440">
        <w:t>,</w:t>
      </w:r>
      <w:r w:rsidR="00D07C01">
        <w:t xml:space="preserve"> </w:t>
      </w:r>
      <w:r w:rsidR="003800E5">
        <w:t xml:space="preserve">Piazza </w:t>
      </w:r>
      <w:proofErr w:type="spellStart"/>
      <w:proofErr w:type="gramStart"/>
      <w:r w:rsidR="003800E5">
        <w:t>G.Verdi</w:t>
      </w:r>
      <w:proofErr w:type="spellEnd"/>
      <w:proofErr w:type="gramEnd"/>
      <w:r w:rsidR="003800E5">
        <w:t>, 1</w:t>
      </w:r>
      <w:r w:rsidR="00D07C01">
        <w:t xml:space="preserve">, </w:t>
      </w:r>
      <w:r w:rsidR="003800E5">
        <w:t>00053</w:t>
      </w:r>
      <w:r w:rsidR="00D07C01">
        <w:t xml:space="preserve">, </w:t>
      </w:r>
      <w:r w:rsidR="003800E5">
        <w:t>Civitavecchia</w:t>
      </w:r>
      <w:r w:rsidR="00D07C01">
        <w:t xml:space="preserve">, </w:t>
      </w:r>
      <w:r w:rsidR="003800E5">
        <w:t>Italy</w:t>
      </w:r>
    </w:p>
    <w:p w14:paraId="2181B678" w14:textId="647E5750" w:rsidR="009848F2" w:rsidRDefault="003800E5" w:rsidP="009848F2">
      <w:pPr>
        <w:pStyle w:val="Affiliation"/>
        <w:spacing w:line="276" w:lineRule="auto"/>
      </w:pPr>
      <w:r>
        <w:rPr>
          <w:sz w:val="24"/>
          <w:vertAlign w:val="superscript"/>
        </w:rPr>
        <w:t>1</w:t>
      </w:r>
      <w:r w:rsidRPr="003800E5">
        <w:t>mattia.gianvincenzi@unitus.it</w:t>
      </w:r>
      <w:r w:rsidR="00A468DC">
        <w:t xml:space="preserve"> </w:t>
      </w:r>
      <w:r w:rsidRPr="003800E5">
        <w:t>0000-0002-5363-3448</w:t>
      </w:r>
      <w:r w:rsidR="00A12967">
        <w:t xml:space="preserve">; </w:t>
      </w:r>
      <w:r w:rsidRPr="0045701D">
        <w:rPr>
          <w:sz w:val="24"/>
          <w:vertAlign w:val="superscript"/>
        </w:rPr>
        <w:t>2</w:t>
      </w:r>
      <w:r w:rsidRPr="0045701D">
        <w:t>marco.marconi@unitus.it</w:t>
      </w:r>
      <w:r>
        <w:t xml:space="preserve"> </w:t>
      </w:r>
      <w:r w:rsidRPr="003800E5">
        <w:t>0000-0002-5677-1459</w:t>
      </w:r>
      <w:r w:rsidR="00A12967">
        <w:t>;</w:t>
      </w:r>
      <w:r>
        <w:t xml:space="preserve"> </w:t>
      </w:r>
      <w:r w:rsidRPr="0045701D">
        <w:rPr>
          <w:sz w:val="24"/>
          <w:vertAlign w:val="superscript"/>
        </w:rPr>
        <w:t>3</w:t>
      </w:r>
      <w:r w:rsidRPr="0045701D">
        <w:t>enrico.mosconi@unitus.it</w:t>
      </w:r>
      <w:r>
        <w:t xml:space="preserve"> </w:t>
      </w:r>
      <w:r w:rsidR="0045701D" w:rsidRPr="0045701D">
        <w:t>0000-0001-7065-7313</w:t>
      </w:r>
      <w:r w:rsidR="00A12967">
        <w:t>;</w:t>
      </w:r>
      <w:r>
        <w:t xml:space="preserve"> </w:t>
      </w:r>
      <w:r>
        <w:rPr>
          <w:sz w:val="24"/>
          <w:vertAlign w:val="superscript"/>
        </w:rPr>
        <w:t>4</w:t>
      </w:r>
      <w:r w:rsidR="0045701D" w:rsidRPr="0045701D">
        <w:t>francesco.tola@unitus.it</w:t>
      </w:r>
      <w:r w:rsidR="0045701D">
        <w:t xml:space="preserve"> </w:t>
      </w:r>
      <w:proofErr w:type="gramStart"/>
      <w:r w:rsidR="0045701D" w:rsidRPr="0045701D">
        <w:t>0000-0003-4093-7714</w:t>
      </w:r>
      <w:r>
        <w:t>;</w:t>
      </w:r>
      <w:proofErr w:type="gramEnd"/>
    </w:p>
    <w:p w14:paraId="0841DE3B" w14:textId="29F6BCF1" w:rsidR="002F7330" w:rsidRPr="00800F75" w:rsidRDefault="009848F2" w:rsidP="009848F2">
      <w:pPr>
        <w:pStyle w:val="Affiliation"/>
        <w:spacing w:line="276" w:lineRule="auto"/>
        <w:jc w:val="both"/>
        <w:rPr>
          <w:lang w:val="it-IT"/>
        </w:rPr>
      </w:pPr>
      <w:proofErr w:type="spellStart"/>
      <w:r w:rsidRPr="00800F75">
        <w:rPr>
          <w:lang w:val="it-IT"/>
        </w:rPr>
        <w:t>Corresponding</w:t>
      </w:r>
      <w:proofErr w:type="spellEnd"/>
      <w:r w:rsidRPr="00800F75">
        <w:rPr>
          <w:lang w:val="it-IT"/>
        </w:rPr>
        <w:t xml:space="preserve"> </w:t>
      </w:r>
      <w:proofErr w:type="spellStart"/>
      <w:r w:rsidRPr="00800F75">
        <w:rPr>
          <w:lang w:val="it-IT"/>
        </w:rPr>
        <w:t>author</w:t>
      </w:r>
      <w:proofErr w:type="spellEnd"/>
      <w:r w:rsidRPr="00800F75">
        <w:rPr>
          <w:lang w:val="it-IT"/>
        </w:rPr>
        <w:t xml:space="preserve">: </w:t>
      </w:r>
      <w:r w:rsidR="00800F75" w:rsidRPr="00800F75">
        <w:rPr>
          <w:lang w:val="it-IT"/>
        </w:rPr>
        <w:t>Mattia Gianvincenzi</w:t>
      </w:r>
      <w:r w:rsidRPr="00800F75">
        <w:rPr>
          <w:lang w:val="it-IT"/>
        </w:rPr>
        <w:t xml:space="preserve">, </w:t>
      </w:r>
      <w:r w:rsidR="00800F75" w:rsidRPr="00800F75">
        <w:rPr>
          <w:lang w:val="it-IT"/>
        </w:rPr>
        <w:t>mattia.gianvincenzi@uni</w:t>
      </w:r>
      <w:r w:rsidR="00800F75">
        <w:rPr>
          <w:lang w:val="it-IT"/>
        </w:rPr>
        <w:t>tus.it</w:t>
      </w:r>
    </w:p>
    <w:p w14:paraId="61F73F98" w14:textId="77777777" w:rsidR="007B567F" w:rsidRPr="00800F75"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78B2BECF" w14:textId="74CCCC8F" w:rsidR="00586300" w:rsidRDefault="004225DE" w:rsidP="00383DAE">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586300" w:rsidRPr="00586300">
        <w:rPr>
          <w:snapToGrid/>
          <w:sz w:val="22"/>
        </w:rPr>
        <w:t>Due to the COVID-19 pandemic, Global</w:t>
      </w:r>
      <w:r w:rsidR="00943E41">
        <w:rPr>
          <w:snapToGrid/>
          <w:sz w:val="22"/>
        </w:rPr>
        <w:t xml:space="preserve"> </w:t>
      </w:r>
      <w:r w:rsidR="00943E41" w:rsidRPr="00943E41">
        <w:rPr>
          <w:snapToGrid/>
          <w:sz w:val="22"/>
        </w:rPr>
        <w:t>Personal Protective Equipment</w:t>
      </w:r>
      <w:r w:rsidR="00586300" w:rsidRPr="00586300">
        <w:rPr>
          <w:snapToGrid/>
          <w:sz w:val="22"/>
        </w:rPr>
        <w:t xml:space="preserve"> </w:t>
      </w:r>
      <w:r w:rsidR="00943E41">
        <w:rPr>
          <w:snapToGrid/>
          <w:sz w:val="22"/>
        </w:rPr>
        <w:t>(</w:t>
      </w:r>
      <w:r w:rsidR="00586300" w:rsidRPr="00586300">
        <w:rPr>
          <w:snapToGrid/>
          <w:sz w:val="22"/>
        </w:rPr>
        <w:t>PPE</w:t>
      </w:r>
      <w:r w:rsidR="00943E41">
        <w:rPr>
          <w:snapToGrid/>
          <w:sz w:val="22"/>
        </w:rPr>
        <w:t>)</w:t>
      </w:r>
      <w:r w:rsidR="00586300" w:rsidRPr="00586300">
        <w:rPr>
          <w:snapToGrid/>
          <w:sz w:val="22"/>
        </w:rPr>
        <w:t xml:space="preserve"> volume demand increased by 300-400% between 2019 and 2021. In Italy, in 2021, an average quantity of 473 tons of masks and 958 tons of gloves were disposed of in landfills or incinerated daily.</w:t>
      </w:r>
      <w:r w:rsidR="003D617D">
        <w:rPr>
          <w:snapToGrid/>
          <w:sz w:val="22"/>
        </w:rPr>
        <w:t xml:space="preserve"> </w:t>
      </w:r>
      <w:r w:rsidR="00586300" w:rsidRPr="00586300">
        <w:rPr>
          <w:snapToGrid/>
          <w:sz w:val="22"/>
        </w:rPr>
        <w:t>This study aims to propose and validate an innovative circular-economy-based supply chain for PPE waste, reusing the waste polymeric textile fiber deriving from PPE to produce reinforced bituminous conglomerates. Several studies confirmed the value of plastic in the mixture for asphalt production to extend its useful life. Despite that, none of these investigated the potential of the PPE, therefore the scenario of this study is unique in the scientific panorama.</w:t>
      </w:r>
      <w:r w:rsidR="00383DAE">
        <w:rPr>
          <w:snapToGrid/>
          <w:sz w:val="22"/>
        </w:rPr>
        <w:t xml:space="preserve"> </w:t>
      </w:r>
      <w:r w:rsidR="00383DAE" w:rsidRPr="00383DAE">
        <w:rPr>
          <w:snapToGrid/>
          <w:sz w:val="22"/>
        </w:rPr>
        <w:t>The results demonstrate the feasibility of the proposed scenario. Using end-of-life masks and gloves</w:t>
      </w:r>
      <w:r w:rsidR="00383DAE">
        <w:rPr>
          <w:snapToGrid/>
          <w:sz w:val="22"/>
        </w:rPr>
        <w:t xml:space="preserve"> in the mix</w:t>
      </w:r>
      <w:r w:rsidR="00383DAE" w:rsidRPr="00383DAE">
        <w:rPr>
          <w:snapToGrid/>
          <w:sz w:val="22"/>
        </w:rPr>
        <w:t xml:space="preserve">, improvements were observed in the asphalt in terms of indirect tensile strength, </w:t>
      </w:r>
      <w:r w:rsidR="00F552C6" w:rsidRPr="00383DAE">
        <w:rPr>
          <w:snapToGrid/>
          <w:sz w:val="22"/>
        </w:rPr>
        <w:t>stiffness,</w:t>
      </w:r>
      <w:r w:rsidR="00383DAE" w:rsidRPr="00383DAE">
        <w:rPr>
          <w:snapToGrid/>
          <w:sz w:val="22"/>
        </w:rPr>
        <w:t xml:space="preserve"> and ductility. From an environmental point of view, a longer lifespan and less material usage leads to a reduction in long-term impacts.</w:t>
      </w:r>
      <w:r w:rsidR="00383DAE" w:rsidRPr="001A60AE">
        <w:rPr>
          <w:snapToGrid/>
          <w:sz w:val="22"/>
        </w:rPr>
        <w:t xml:space="preserve"> </w:t>
      </w:r>
      <w:r w:rsidR="00586300" w:rsidRPr="00383DAE">
        <w:rPr>
          <w:snapToGrid/>
          <w:sz w:val="22"/>
        </w:rPr>
        <w:t>At</w:t>
      </w:r>
      <w:r w:rsidR="00586300" w:rsidRPr="00586300">
        <w:rPr>
          <w:snapToGrid/>
          <w:sz w:val="22"/>
        </w:rPr>
        <w:t xml:space="preserve"> the same time, the reduction of the disposal of PPE in landfills and incinerators means a significant reduction in the environmental impact of masks.</w:t>
      </w:r>
    </w:p>
    <w:p w14:paraId="38C60B63" w14:textId="77777777" w:rsidR="004225DE" w:rsidRDefault="004225DE" w:rsidP="00D66ED0">
      <w:pPr>
        <w:pStyle w:val="Abstract"/>
        <w:tabs>
          <w:tab w:val="left" w:pos="6379"/>
        </w:tabs>
        <w:spacing w:line="276" w:lineRule="auto"/>
        <w:ind w:left="0" w:right="-30"/>
        <w:rPr>
          <w:snapToGrid/>
          <w:sz w:val="22"/>
        </w:rPr>
      </w:pPr>
    </w:p>
    <w:p w14:paraId="64B95140" w14:textId="13D8F227" w:rsidR="00586300"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p>
    <w:p w14:paraId="16372B1B" w14:textId="30654A55" w:rsidR="003D617D" w:rsidRDefault="00586300" w:rsidP="00D66ED0">
      <w:pPr>
        <w:pStyle w:val="Abstract"/>
        <w:tabs>
          <w:tab w:val="left" w:pos="6379"/>
        </w:tabs>
        <w:spacing w:line="276" w:lineRule="auto"/>
        <w:ind w:left="0" w:right="-30"/>
        <w:rPr>
          <w:snapToGrid/>
          <w:sz w:val="22"/>
        </w:rPr>
      </w:pPr>
      <w:r w:rsidRPr="00586300">
        <w:rPr>
          <w:snapToGrid/>
          <w:sz w:val="22"/>
        </w:rPr>
        <w:t xml:space="preserve">Sustainable </w:t>
      </w:r>
      <w:proofErr w:type="spellStart"/>
      <w:r w:rsidR="00027B5B">
        <w:rPr>
          <w:snapToGrid/>
          <w:sz w:val="22"/>
        </w:rPr>
        <w:t>EoL</w:t>
      </w:r>
      <w:proofErr w:type="spellEnd"/>
      <w:r w:rsidR="00027B5B">
        <w:rPr>
          <w:snapToGrid/>
          <w:sz w:val="22"/>
        </w:rPr>
        <w:t>,</w:t>
      </w:r>
      <w:r w:rsidRPr="00586300">
        <w:rPr>
          <w:snapToGrid/>
          <w:sz w:val="22"/>
        </w:rPr>
        <w:t xml:space="preserve"> PPE Re</w:t>
      </w:r>
      <w:r w:rsidR="00943E41">
        <w:rPr>
          <w:snapToGrid/>
          <w:sz w:val="22"/>
        </w:rPr>
        <w:t>use</w:t>
      </w:r>
      <w:r w:rsidRPr="00586300">
        <w:rPr>
          <w:snapToGrid/>
          <w:sz w:val="22"/>
        </w:rPr>
        <w:t>, Green</w:t>
      </w:r>
      <w:r w:rsidR="00027B5B">
        <w:rPr>
          <w:snapToGrid/>
          <w:sz w:val="22"/>
        </w:rPr>
        <w:t xml:space="preserve"> </w:t>
      </w:r>
      <w:r w:rsidRPr="00586300">
        <w:rPr>
          <w:snapToGrid/>
          <w:sz w:val="22"/>
        </w:rPr>
        <w:t xml:space="preserve">Cities, </w:t>
      </w:r>
      <w:r w:rsidR="00027B5B">
        <w:rPr>
          <w:snapToGrid/>
          <w:sz w:val="22"/>
        </w:rPr>
        <w:t>Closed Loop</w:t>
      </w:r>
      <w:r w:rsidRPr="00586300">
        <w:rPr>
          <w:snapToGrid/>
          <w:sz w:val="22"/>
        </w:rPr>
        <w:t xml:space="preserve">, Reinforced Asphalts, </w:t>
      </w:r>
      <w:r w:rsidR="00027B5B">
        <w:rPr>
          <w:snapToGrid/>
          <w:sz w:val="22"/>
        </w:rPr>
        <w:t>Waste Management</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2788110" w14:textId="2F1D480F" w:rsidR="00EA0D16" w:rsidRPr="00965BAE" w:rsidRDefault="00060FAC" w:rsidP="003D12C9">
      <w:pPr>
        <w:pStyle w:val="Titolo1"/>
        <w:numPr>
          <w:ilvl w:val="1"/>
          <w:numId w:val="13"/>
        </w:numPr>
        <w:spacing w:before="0" w:after="0" w:line="276" w:lineRule="auto"/>
        <w:rPr>
          <w:snapToGrid w:val="0"/>
        </w:rPr>
      </w:pPr>
      <w:r>
        <w:rPr>
          <w:snapToGrid w:val="0"/>
        </w:rPr>
        <w:lastRenderedPageBreak/>
        <w:t>Introduction</w:t>
      </w:r>
    </w:p>
    <w:p w14:paraId="1057B33C" w14:textId="62D9EBCD" w:rsidR="00E43AB6" w:rsidRPr="00A80E4C" w:rsidRDefault="00E43AB6">
      <w:pPr>
        <w:spacing w:line="276" w:lineRule="auto"/>
        <w:rPr>
          <w:sz w:val="24"/>
          <w:szCs w:val="24"/>
        </w:rPr>
      </w:pPr>
      <w:r w:rsidRPr="00A80E4C">
        <w:rPr>
          <w:sz w:val="24"/>
          <w:szCs w:val="24"/>
        </w:rPr>
        <w:t>During the COVID-19 pandemic, the production of personal protective equipment (PPE) has grown considerably. In detail, it is estimated that the global PPE volume demand increased by 300-400% between 2019 and 2021</w:t>
      </w:r>
      <w:r w:rsidR="00897924">
        <w:rPr>
          <w:sz w:val="24"/>
          <w:szCs w:val="24"/>
        </w:rPr>
        <w:t xml:space="preserve"> </w:t>
      </w:r>
      <w:r w:rsidR="00897924">
        <w:rPr>
          <w:sz w:val="24"/>
          <w:szCs w:val="24"/>
        </w:rPr>
        <w:fldChar w:fldCharType="begin" w:fldLock="1"/>
      </w:r>
      <w:r w:rsidR="00C1175F">
        <w:rPr>
          <w:sz w:val="24"/>
          <w:szCs w:val="24"/>
        </w:rPr>
        <w:instrText>ADDIN CSL_CITATION {"citationItems":[{"id":"ITEM-1","itemData":{"author":[{"dropping-particle":"","family":"FCDO","given":"","non-dropping-particle":"","parse-names":false,"suffix":""}],"container-title":"Foreign, Commonwealth and Development Office","id":"ITEM-1","issue":"December","issued":{"date-parts":[["2020"]]},"title":"Covid-19 – PPE demand &amp; supply perspectives","type":"article-journal"},"uris":["http://www.mendeley.com/documents/?uuid=34285b61-f01e-414c-b56a-df5a5554de01"]}],"mendeley":{"formattedCitation":"(FCDO, 2020)","plainTextFormattedCitation":"(FCDO, 2020)","previouslyFormattedCitation":"(FCDO, 2020)"},"properties":{"noteIndex":0},"schema":"https://github.com/citation-style-language/schema/raw/master/csl-citation.json"}</w:instrText>
      </w:r>
      <w:r w:rsidR="00897924">
        <w:rPr>
          <w:sz w:val="24"/>
          <w:szCs w:val="24"/>
        </w:rPr>
        <w:fldChar w:fldCharType="separate"/>
      </w:r>
      <w:r w:rsidR="00897924" w:rsidRPr="00897924">
        <w:rPr>
          <w:noProof/>
          <w:sz w:val="24"/>
          <w:szCs w:val="24"/>
        </w:rPr>
        <w:t>(FCDO, 2020)</w:t>
      </w:r>
      <w:r w:rsidR="00897924">
        <w:rPr>
          <w:sz w:val="24"/>
          <w:szCs w:val="24"/>
        </w:rPr>
        <w:fldChar w:fldCharType="end"/>
      </w:r>
      <w:r w:rsidRPr="00A80E4C">
        <w:rPr>
          <w:sz w:val="24"/>
          <w:szCs w:val="24"/>
        </w:rPr>
        <w:t>. There are different types of PPE</w:t>
      </w:r>
      <w:r w:rsidR="00C17A89">
        <w:rPr>
          <w:sz w:val="24"/>
          <w:szCs w:val="24"/>
        </w:rPr>
        <w:t xml:space="preserve">, but </w:t>
      </w:r>
      <w:r w:rsidRPr="00A80E4C">
        <w:rPr>
          <w:sz w:val="24"/>
          <w:szCs w:val="24"/>
        </w:rPr>
        <w:t xml:space="preserve">masks were </w:t>
      </w:r>
      <w:r w:rsidR="00943E41">
        <w:rPr>
          <w:sz w:val="24"/>
          <w:szCs w:val="24"/>
        </w:rPr>
        <w:t>the most relevant flow,</w:t>
      </w:r>
      <w:r w:rsidRPr="00A80E4C">
        <w:rPr>
          <w:sz w:val="24"/>
          <w:szCs w:val="24"/>
        </w:rPr>
        <w:t xml:space="preserve"> </w:t>
      </w:r>
      <w:r w:rsidR="00943E41">
        <w:rPr>
          <w:sz w:val="24"/>
          <w:szCs w:val="24"/>
        </w:rPr>
        <w:t>with an increase by</w:t>
      </w:r>
      <w:r w:rsidRPr="00A80E4C">
        <w:rPr>
          <w:sz w:val="24"/>
          <w:szCs w:val="24"/>
        </w:rPr>
        <w:t xml:space="preserve"> 2.500-3.000% in just one year, going from representing 2-4% of the PPE market in 2019 to representing 25-30% in 2020</w:t>
      </w:r>
      <w:r w:rsidR="003F6E61">
        <w:rPr>
          <w:sz w:val="24"/>
          <w:szCs w:val="24"/>
        </w:rPr>
        <w:t xml:space="preserve"> </w:t>
      </w:r>
      <w:r w:rsidR="003F6E61">
        <w:rPr>
          <w:sz w:val="24"/>
          <w:szCs w:val="24"/>
        </w:rPr>
        <w:fldChar w:fldCharType="begin" w:fldLock="1"/>
      </w:r>
      <w:r w:rsidR="003F6E61">
        <w:rPr>
          <w:sz w:val="24"/>
          <w:szCs w:val="24"/>
        </w:rPr>
        <w:instrText>ADDIN CSL_CITATION {"citationItems":[{"id":"ITEM-1","itemData":{"author":[{"dropping-particle":"","family":"FCDO","given":"","non-dropping-particle":"","parse-names":false,"suffix":""}],"container-title":"Foreign, Commonwealth and Development Office","id":"ITEM-1","issue":"December","issued":{"date-parts":[["2020"]]},"title":"Covid-19 – PPE demand &amp; supply perspectives","type":"article-journal"},"uris":["http://www.mendeley.com/documents/?uuid=34285b61-f01e-414c-b56a-df5a5554de01"]}],"mendeley":{"formattedCitation":"(FCDO, 2020)","plainTextFormattedCitation":"(FCDO, 2020)","previouslyFormattedCitation":"(FCDO, 2020)"},"properties":{"noteIndex":0},"schema":"https://github.com/citation-style-language/schema/raw/master/csl-citation.json"}</w:instrText>
      </w:r>
      <w:r w:rsidR="003F6E61">
        <w:rPr>
          <w:sz w:val="24"/>
          <w:szCs w:val="24"/>
        </w:rPr>
        <w:fldChar w:fldCharType="separate"/>
      </w:r>
      <w:r w:rsidR="003F6E61" w:rsidRPr="003F6E61">
        <w:rPr>
          <w:noProof/>
          <w:sz w:val="24"/>
          <w:szCs w:val="24"/>
        </w:rPr>
        <w:t>(FCDO, 2020)</w:t>
      </w:r>
      <w:r w:rsidR="003F6E61">
        <w:rPr>
          <w:sz w:val="24"/>
          <w:szCs w:val="24"/>
        </w:rPr>
        <w:fldChar w:fldCharType="end"/>
      </w:r>
      <w:r w:rsidRPr="00A80E4C">
        <w:rPr>
          <w:sz w:val="24"/>
          <w:szCs w:val="24"/>
        </w:rPr>
        <w:t xml:space="preserve">. </w:t>
      </w:r>
      <w:r w:rsidR="00943E41">
        <w:rPr>
          <w:sz w:val="24"/>
          <w:szCs w:val="24"/>
        </w:rPr>
        <w:t>This is mainly due to the fact that protective masks were</w:t>
      </w:r>
      <w:r w:rsidR="00C66EB4" w:rsidRPr="00A80E4C">
        <w:rPr>
          <w:sz w:val="24"/>
          <w:szCs w:val="24"/>
        </w:rPr>
        <w:t xml:space="preserve"> recommended </w:t>
      </w:r>
      <w:r w:rsidR="00C17A89">
        <w:rPr>
          <w:sz w:val="24"/>
          <w:szCs w:val="24"/>
        </w:rPr>
        <w:t>(</w:t>
      </w:r>
      <w:r w:rsidR="00C17A89" w:rsidRPr="00A80E4C">
        <w:rPr>
          <w:sz w:val="24"/>
          <w:szCs w:val="24"/>
        </w:rPr>
        <w:t>even imposed</w:t>
      </w:r>
      <w:r w:rsidR="00C17A89">
        <w:rPr>
          <w:sz w:val="24"/>
          <w:szCs w:val="24"/>
        </w:rPr>
        <w:t>)</w:t>
      </w:r>
      <w:r w:rsidR="00C17A89" w:rsidRPr="00A80E4C">
        <w:rPr>
          <w:sz w:val="24"/>
          <w:szCs w:val="24"/>
        </w:rPr>
        <w:t xml:space="preserve"> </w:t>
      </w:r>
      <w:r w:rsidR="00C66EB4" w:rsidRPr="00A80E4C">
        <w:rPr>
          <w:sz w:val="24"/>
          <w:szCs w:val="24"/>
        </w:rPr>
        <w:t xml:space="preserve">to the entire population throughout the pandemic period </w:t>
      </w:r>
      <w:r w:rsidR="003F6E61">
        <w:rPr>
          <w:sz w:val="24"/>
          <w:szCs w:val="24"/>
        </w:rPr>
        <w:fldChar w:fldCharType="begin" w:fldLock="1"/>
      </w:r>
      <w:r w:rsidR="003F6E61">
        <w:rPr>
          <w:sz w:val="24"/>
          <w:szCs w:val="24"/>
        </w:rPr>
        <w:instrText>ADDIN CSL_CITATION {"citationItems":[{"id":"ITEM-1","itemData":{"DOI":"10.1016/j.procir.2022.02.011","ISBN":"3907613570","ISSN":"22128271","abstract":"After more than one year form the first cases of Sars-Cov-2 infection, it is now clear that the most effective mean to prevent the diffusion of the pandemic is the use of face masks, that however are based on fossil materials and could potentially generate an environmental problem. This study wants to quantitatively investigate the environmental impacts related to the life cycle of a single use surgical mask through the use of the Life Cycle Assessment methodology. Results highlight significant impacts due to the material supply and transport, as well as product packaging and distribution. The study outcomes can be also useful to set potential eco-design strategies for the product environmental improvement.","author":[{"dropping-particle":"","family":"Barbanera","given":"Marco","non-dropping-particle":"","parse-names":false,"suffix":""},{"dropping-particle":"","family":"Marconi","given":"Marco","non-dropping-particle":"","parse-names":false,"suffix":""},{"dropping-particle":"","family":"Peruzzi","given":"Alessandro","non-dropping-particle":"","parse-names":false,"suffix":""},{"dropping-particle":"","family":"Dinarelli","given":"Serena","non-dropping-particle":"","parse-names":false,"suffix":""}],"container-title":"Procedia CIRP","id":"ITEM-1","issued":{"date-parts":[["2022"]]},"page":"61-66","publisher":"Elsevier B.V.","title":"Environmental assessment and eco-design of a surgical face mask","type":"article-journal","volume":"105"},"uris":["http://www.mendeley.com/documents/?uuid=66259805-623a-434a-850f-5c0b42903d6c"]}],"mendeley":{"formattedCitation":"(Barbanera et al., 2022)","plainTextFormattedCitation":"(Barbanera et al., 2022)","previouslyFormattedCitation":"(Barbanera et al., 2022)"},"properties":{"noteIndex":0},"schema":"https://github.com/citation-style-language/schema/raw/master/csl-citation.json"}</w:instrText>
      </w:r>
      <w:r w:rsidR="003F6E61">
        <w:rPr>
          <w:sz w:val="24"/>
          <w:szCs w:val="24"/>
        </w:rPr>
        <w:fldChar w:fldCharType="separate"/>
      </w:r>
      <w:r w:rsidR="003F6E61" w:rsidRPr="003F6E61">
        <w:rPr>
          <w:noProof/>
          <w:sz w:val="24"/>
          <w:szCs w:val="24"/>
        </w:rPr>
        <w:t>(Barbanera et al., 2022)</w:t>
      </w:r>
      <w:r w:rsidR="003F6E61">
        <w:rPr>
          <w:sz w:val="24"/>
          <w:szCs w:val="24"/>
        </w:rPr>
        <w:fldChar w:fldCharType="end"/>
      </w:r>
      <w:r w:rsidRPr="00A80E4C">
        <w:rPr>
          <w:sz w:val="24"/>
          <w:szCs w:val="24"/>
        </w:rPr>
        <w:t xml:space="preserve">. However, the largest market share among PPE is gloves which accounted for </w:t>
      </w:r>
      <w:r w:rsidR="00C17A89" w:rsidRPr="00A80E4C">
        <w:rPr>
          <w:sz w:val="24"/>
          <w:szCs w:val="24"/>
        </w:rPr>
        <w:t>6</w:t>
      </w:r>
      <w:r w:rsidR="00C17A89">
        <w:rPr>
          <w:sz w:val="24"/>
          <w:szCs w:val="24"/>
        </w:rPr>
        <w:t>0</w:t>
      </w:r>
      <w:r w:rsidRPr="00A80E4C">
        <w:rPr>
          <w:sz w:val="24"/>
          <w:szCs w:val="24"/>
        </w:rPr>
        <w:t xml:space="preserve">-70% in </w:t>
      </w:r>
      <w:r w:rsidR="00C17A89">
        <w:rPr>
          <w:sz w:val="24"/>
          <w:szCs w:val="24"/>
        </w:rPr>
        <w:t>2019 and</w:t>
      </w:r>
      <w:r w:rsidRPr="00A80E4C">
        <w:rPr>
          <w:sz w:val="24"/>
          <w:szCs w:val="24"/>
        </w:rPr>
        <w:t xml:space="preserve"> 2020, growing by 30-35% in one year</w:t>
      </w:r>
      <w:r w:rsidR="003F6E61">
        <w:rPr>
          <w:sz w:val="24"/>
          <w:szCs w:val="24"/>
        </w:rPr>
        <w:t>.</w:t>
      </w:r>
      <w:r w:rsidR="00C17A89">
        <w:rPr>
          <w:sz w:val="24"/>
          <w:szCs w:val="24"/>
        </w:rPr>
        <w:t xml:space="preserve"> As a consequence</w:t>
      </w:r>
      <w:r w:rsidRPr="00A80E4C">
        <w:rPr>
          <w:sz w:val="24"/>
          <w:szCs w:val="24"/>
        </w:rPr>
        <w:t xml:space="preserve">, a monthly use of 129 billion </w:t>
      </w:r>
      <w:r w:rsidR="00E92E1E">
        <w:rPr>
          <w:sz w:val="24"/>
          <w:szCs w:val="24"/>
        </w:rPr>
        <w:t>gloves</w:t>
      </w:r>
      <w:r w:rsidRPr="00A80E4C">
        <w:rPr>
          <w:sz w:val="24"/>
          <w:szCs w:val="24"/>
        </w:rPr>
        <w:t xml:space="preserve"> and 65 billion </w:t>
      </w:r>
      <w:r w:rsidR="00E92E1E">
        <w:rPr>
          <w:sz w:val="24"/>
          <w:szCs w:val="24"/>
        </w:rPr>
        <w:t>masks</w:t>
      </w:r>
      <w:r w:rsidRPr="00A80E4C">
        <w:rPr>
          <w:sz w:val="24"/>
          <w:szCs w:val="24"/>
        </w:rPr>
        <w:t xml:space="preserve"> to be disposed of is estimated globally since the </w:t>
      </w:r>
      <w:r w:rsidR="00E92E1E">
        <w:rPr>
          <w:sz w:val="24"/>
          <w:szCs w:val="24"/>
        </w:rPr>
        <w:t>beginning</w:t>
      </w:r>
      <w:r w:rsidRPr="00A80E4C">
        <w:rPr>
          <w:sz w:val="24"/>
          <w:szCs w:val="24"/>
        </w:rPr>
        <w:t xml:space="preserve"> of the pandemic</w:t>
      </w:r>
      <w:r w:rsidR="00B67BD5">
        <w:rPr>
          <w:sz w:val="24"/>
          <w:szCs w:val="24"/>
        </w:rPr>
        <w:t xml:space="preserve"> </w:t>
      </w:r>
      <w:r w:rsidR="00B67BD5">
        <w:rPr>
          <w:sz w:val="24"/>
          <w:szCs w:val="24"/>
        </w:rPr>
        <w:fldChar w:fldCharType="begin" w:fldLock="1"/>
      </w:r>
      <w:r w:rsidR="00B67BD5">
        <w:rPr>
          <w:sz w:val="24"/>
          <w:szCs w:val="24"/>
        </w:rPr>
        <w:instrText>ADDIN CSL_CITATION {"citationItems":[{"id":"ITEM-1","itemData":{"author":[{"dropping-particle":"","family":"WHO","given":"","non-dropping-particle":"","parse-names":false,"suffix":""}],"id":"ITEM-1","issue":"June","issued":{"date-parts":[["2022"]]},"page":"2022","title":"Available online: https://covid19.who.int/.","type":"article-journal"},"uris":["http://www.mendeley.com/documents/?uuid=2d947b49-0ad2-49e0-9369-925c110ab7b7"]}],"mendeley":{"formattedCitation":"(WHO, 2022)","plainTextFormattedCitation":"(WHO, 2022)","previouslyFormattedCitation":"(WHO, 2022)"},"properties":{"noteIndex":0},"schema":"https://github.com/citation-style-language/schema/raw/master/csl-citation.json"}</w:instrText>
      </w:r>
      <w:r w:rsidR="00B67BD5">
        <w:rPr>
          <w:sz w:val="24"/>
          <w:szCs w:val="24"/>
        </w:rPr>
        <w:fldChar w:fldCharType="separate"/>
      </w:r>
      <w:r w:rsidR="00B67BD5" w:rsidRPr="00B67BD5">
        <w:rPr>
          <w:noProof/>
          <w:sz w:val="24"/>
          <w:szCs w:val="24"/>
        </w:rPr>
        <w:t>(WHO, 2022)</w:t>
      </w:r>
      <w:r w:rsidR="00B67BD5">
        <w:rPr>
          <w:sz w:val="24"/>
          <w:szCs w:val="24"/>
        </w:rPr>
        <w:fldChar w:fldCharType="end"/>
      </w:r>
      <w:r w:rsidR="00B67BD5">
        <w:rPr>
          <w:sz w:val="24"/>
          <w:szCs w:val="24"/>
        </w:rPr>
        <w:t>.</w:t>
      </w:r>
    </w:p>
    <w:p w14:paraId="1F07C7FB" w14:textId="361202E3" w:rsidR="00AE509D" w:rsidRPr="00A80E4C" w:rsidRDefault="00E43AB6" w:rsidP="00A80E4C">
      <w:pPr>
        <w:spacing w:line="276" w:lineRule="auto"/>
        <w:rPr>
          <w:sz w:val="24"/>
          <w:szCs w:val="24"/>
        </w:rPr>
      </w:pPr>
      <w:r w:rsidRPr="00A80E4C">
        <w:rPr>
          <w:sz w:val="24"/>
          <w:szCs w:val="24"/>
        </w:rPr>
        <w:t xml:space="preserve">To get even more specific, the situation </w:t>
      </w:r>
      <w:r w:rsidR="007C6BDF">
        <w:rPr>
          <w:sz w:val="24"/>
          <w:szCs w:val="24"/>
        </w:rPr>
        <w:t>of</w:t>
      </w:r>
      <w:r w:rsidRPr="00A80E4C">
        <w:rPr>
          <w:sz w:val="24"/>
          <w:szCs w:val="24"/>
        </w:rPr>
        <w:t xml:space="preserve"> Italy</w:t>
      </w:r>
      <w:r w:rsidR="007C6BDF">
        <w:rPr>
          <w:sz w:val="24"/>
          <w:szCs w:val="24"/>
        </w:rPr>
        <w:t xml:space="preserve"> (Table 1)</w:t>
      </w:r>
      <w:r w:rsidRPr="00A80E4C">
        <w:rPr>
          <w:sz w:val="24"/>
          <w:szCs w:val="24"/>
        </w:rPr>
        <w:t xml:space="preserve"> was taken as an example</w:t>
      </w:r>
      <w:r w:rsidR="00C17A89">
        <w:rPr>
          <w:sz w:val="24"/>
          <w:szCs w:val="24"/>
        </w:rPr>
        <w:t xml:space="preserve"> </w:t>
      </w:r>
      <w:r w:rsidR="003F6E61">
        <w:rPr>
          <w:sz w:val="24"/>
          <w:szCs w:val="24"/>
        </w:rPr>
        <w:fldChar w:fldCharType="begin" w:fldLock="1"/>
      </w:r>
      <w:r w:rsidR="009E362E">
        <w:rPr>
          <w:sz w:val="24"/>
          <w:szCs w:val="24"/>
        </w:rPr>
        <w:instrText>ADDIN CSL_CITATION {"citationItems":[{"id":"ITEM-1","itemData":{"author":[{"dropping-particle":"","family":"ISPRA","given":"","non-dropping-particle":"","parse-names":false,"suffix":""}],"id":"ITEM-1","issued":{"date-parts":[["2021"]]},"title":"I rifiuti costituiti da dpi usati","type":"article-journal","volume":"12"},"uris":["http://www.mendeley.com/documents/?uuid=0dd984ab-7812-4134-9f70-639a6bacc9f9"]}],"mendeley":{"formattedCitation":"(ISPRA, 2021)","plainTextFormattedCitation":"(ISPRA, 2021)","previouslyFormattedCitation":"(ISPRA, 2021)"},"properties":{"noteIndex":0},"schema":"https://github.com/citation-style-language/schema/raw/master/csl-citation.json"}</w:instrText>
      </w:r>
      <w:r w:rsidR="003F6E61">
        <w:rPr>
          <w:sz w:val="24"/>
          <w:szCs w:val="24"/>
        </w:rPr>
        <w:fldChar w:fldCharType="separate"/>
      </w:r>
      <w:r w:rsidR="009E362E" w:rsidRPr="009E362E">
        <w:rPr>
          <w:noProof/>
          <w:sz w:val="24"/>
          <w:szCs w:val="24"/>
        </w:rPr>
        <w:t>(ISPRA, 2021)</w:t>
      </w:r>
      <w:r w:rsidR="003F6E61">
        <w:rPr>
          <w:sz w:val="24"/>
          <w:szCs w:val="24"/>
        </w:rPr>
        <w:fldChar w:fldCharType="end"/>
      </w:r>
      <w:r w:rsidR="007C6BDF">
        <w:rPr>
          <w:sz w:val="24"/>
          <w:szCs w:val="24"/>
        </w:rPr>
        <w:t xml:space="preserve">. </w:t>
      </w:r>
      <w:r w:rsidR="007C6BDF" w:rsidRPr="007C6BDF">
        <w:rPr>
          <w:sz w:val="24"/>
          <w:szCs w:val="24"/>
        </w:rPr>
        <w:t>Considering</w:t>
      </w:r>
      <w:r w:rsidR="007C6BDF" w:rsidRPr="00A80E4C">
        <w:rPr>
          <w:sz w:val="24"/>
          <w:szCs w:val="24"/>
        </w:rPr>
        <w:t xml:space="preserve"> that around 7</w:t>
      </w:r>
      <w:r w:rsidR="007C6BDF">
        <w:rPr>
          <w:sz w:val="24"/>
          <w:szCs w:val="24"/>
        </w:rPr>
        <w:t>2</w:t>
      </w:r>
      <w:r w:rsidR="007C6BDF" w:rsidRPr="00A80E4C">
        <w:rPr>
          <w:sz w:val="24"/>
          <w:szCs w:val="24"/>
        </w:rPr>
        <w:t>% of PPE is made up of PP</w:t>
      </w:r>
      <w:r w:rsidR="007C6BDF">
        <w:rPr>
          <w:sz w:val="24"/>
          <w:szCs w:val="24"/>
        </w:rPr>
        <w:t xml:space="preserve"> </w:t>
      </w:r>
      <w:r w:rsidR="007C6BDF">
        <w:rPr>
          <w:sz w:val="24"/>
          <w:szCs w:val="24"/>
        </w:rPr>
        <w:fldChar w:fldCharType="begin" w:fldLock="1"/>
      </w:r>
      <w:r w:rsidR="007C6BDF">
        <w:rPr>
          <w:sz w:val="24"/>
          <w:szCs w:val="24"/>
        </w:rPr>
        <w:instrText>ADDIN CSL_CITATION {"citationItems":[{"id":"ITEM-1","itemData":{"DOI":"10.1016/j.scitotenv.2021.149911","ISSN":"18791026","PMID":"34525745","abstract":"COVID-19 global pandemic, originated from Wuhan, resulted in a massive increase in the output of polypropylene (PP)-based personal protective equipment (PPE) for healthcare workers. The continuous demand of PPE across the world caused the PP based plastic wastes accumulation. Some alternative approaches that have been practiced apart from collecting the plastic waste in the landfills are incineration approach and open burning. However, there were many drawbacks of these practices, which promote the release of chemical additives and greenhouse gases into the environment. Therefore, a proper approach in treating the plastic wastes, which introduces conversion of plastic wastes into renewable energy is paramount. Along the way of extensive research and studies, the recovery of PP plastic to fuel-like liquid oil and solid char through thermal decomposition of pyrolysis process, helps in reducing the number of PP plastic wastes and produces good quality pyrolysis liquid oil and solid char to be used in fuel applications. This paper summarizes the pyrolysis process for massively produced PP plastic wastes, type of pyrolysis used and the main pyrolysis parameters affecting the product yields. Literature studies of pyrolysis of PP plastic and several key points to optimize solid char production for PP were thoroughly elaborated in this review paper.","author":[{"dropping-particle":"","family":"Harussani","given":"M. M.","non-dropping-particle":"","parse-names":false,"suffix":""},{"dropping-particle":"","family":"Sapuan","given":"S. M.","non-dropping-particle":"","parse-names":false,"suffix":""},{"dropping-particle":"","family":"Rashid","given":"Umer","non-dropping-particle":"","parse-names":false,"suffix":""},{"dropping-particle":"","family":"Khalina","given":"A.","non-dropping-particle":"","parse-names":false,"suffix":""},{"dropping-particle":"","family":"Ilyas","given":"R. A.","non-dropping-particle":"","parse-names":false,"suffix":""}],"container-title":"Science of the Total Environment","id":"ITEM-1","issued":{"date-parts":[["2022"]]},"title":"Pyrolysis of polypropylene plastic waste into carbonaceous char: Priority of plastic waste management amidst COVID-19 pandemic","type":"article-journal","volume":"803"},"uris":["http://www.mendeley.com/documents/?uuid=c2ddcc65-008e-46fe-b145-e438084b3465"]}],"mendeley":{"formattedCitation":"(Harussani et al., 2022)","plainTextFormattedCitation":"(Harussani et al., 2022)","previouslyFormattedCitation":"(Harussani et al., 2022)"},"properties":{"noteIndex":0},"schema":"https://github.com/citation-style-language/schema/raw/master/csl-citation.json"}</w:instrText>
      </w:r>
      <w:r w:rsidR="007C6BDF">
        <w:rPr>
          <w:sz w:val="24"/>
          <w:szCs w:val="24"/>
        </w:rPr>
        <w:fldChar w:fldCharType="separate"/>
      </w:r>
      <w:r w:rsidR="007C6BDF" w:rsidRPr="00FC753A">
        <w:rPr>
          <w:noProof/>
          <w:sz w:val="24"/>
          <w:szCs w:val="24"/>
        </w:rPr>
        <w:t>(Harussani et al., 2022)</w:t>
      </w:r>
      <w:r w:rsidR="007C6BDF">
        <w:rPr>
          <w:sz w:val="24"/>
          <w:szCs w:val="24"/>
        </w:rPr>
        <w:fldChar w:fldCharType="end"/>
      </w:r>
      <w:r w:rsidR="007C6BDF">
        <w:rPr>
          <w:sz w:val="24"/>
          <w:szCs w:val="24"/>
        </w:rPr>
        <w:t xml:space="preserve"> and </w:t>
      </w:r>
      <w:r w:rsidR="007C6BDF" w:rsidRPr="0004193E">
        <w:rPr>
          <w:sz w:val="24"/>
          <w:szCs w:val="24"/>
        </w:rPr>
        <w:t>a 50/50 division between nitrile and latex gloves (FCDO, 2020)</w:t>
      </w:r>
      <w:r w:rsidR="007C6BDF">
        <w:rPr>
          <w:sz w:val="24"/>
          <w:szCs w:val="24"/>
        </w:rPr>
        <w:t xml:space="preserve">, in Italy alone in 2021 </w:t>
      </w:r>
      <w:r w:rsidR="007C6BDF" w:rsidRPr="0004193E">
        <w:rPr>
          <w:sz w:val="24"/>
          <w:szCs w:val="24"/>
        </w:rPr>
        <w:t>there was an annual production of 126.789, 252 t of PP</w:t>
      </w:r>
      <w:r w:rsidR="007C6BDF">
        <w:rPr>
          <w:sz w:val="24"/>
          <w:szCs w:val="24"/>
        </w:rPr>
        <w:t xml:space="preserve"> waste, </w:t>
      </w:r>
      <w:r w:rsidR="007C6BDF" w:rsidRPr="0004193E">
        <w:rPr>
          <w:sz w:val="24"/>
          <w:szCs w:val="24"/>
        </w:rPr>
        <w:t>174</w:t>
      </w:r>
      <w:r w:rsidR="007C6BDF">
        <w:rPr>
          <w:sz w:val="24"/>
          <w:szCs w:val="24"/>
        </w:rPr>
        <w:t>.</w:t>
      </w:r>
      <w:r w:rsidR="007C6BDF" w:rsidRPr="0004193E">
        <w:rPr>
          <w:sz w:val="24"/>
          <w:szCs w:val="24"/>
        </w:rPr>
        <w:t>771,855 tons of nitrile</w:t>
      </w:r>
      <w:r w:rsidR="00E36C59">
        <w:rPr>
          <w:sz w:val="24"/>
          <w:szCs w:val="24"/>
        </w:rPr>
        <w:t xml:space="preserve"> and</w:t>
      </w:r>
      <w:r w:rsidR="007C6BDF">
        <w:rPr>
          <w:sz w:val="24"/>
          <w:szCs w:val="24"/>
        </w:rPr>
        <w:t xml:space="preserve"> </w:t>
      </w:r>
      <w:r w:rsidR="007C6BDF" w:rsidRPr="00A80E4C">
        <w:rPr>
          <w:sz w:val="24"/>
          <w:szCs w:val="24"/>
        </w:rPr>
        <w:t>latex</w:t>
      </w:r>
      <w:r w:rsidR="007C6BDF">
        <w:rPr>
          <w:sz w:val="24"/>
          <w:szCs w:val="24"/>
        </w:rPr>
        <w:t xml:space="preserve"> waste.</w:t>
      </w:r>
    </w:p>
    <w:p w14:paraId="1AFDAA7B" w14:textId="77777777" w:rsidR="00D01D4B" w:rsidRPr="00D01D4B" w:rsidRDefault="00D01D4B" w:rsidP="00D01D4B">
      <w:pPr>
        <w:pStyle w:val="TextIndent"/>
        <w:spacing w:line="276" w:lineRule="auto"/>
      </w:pPr>
    </w:p>
    <w:p w14:paraId="1081F5B2" w14:textId="7723C17D" w:rsidR="00D01D4B" w:rsidRPr="00D01D4B" w:rsidRDefault="00D01D4B" w:rsidP="00D01D4B">
      <w:pPr>
        <w:pStyle w:val="TableCaption"/>
        <w:spacing w:after="120" w:line="276" w:lineRule="auto"/>
        <w:ind w:left="1915" w:right="1800"/>
      </w:pPr>
      <w:r w:rsidRPr="00D01D4B">
        <w:t xml:space="preserve">Table 1. </w:t>
      </w:r>
      <w:r w:rsidR="00484DA9" w:rsidRPr="00484DA9">
        <w:t xml:space="preserve">Estimations on the use of masks in Italy </w:t>
      </w:r>
    </w:p>
    <w:tbl>
      <w:tblPr>
        <w:tblW w:w="6238" w:type="dxa"/>
        <w:jc w:val="center"/>
        <w:tblLayout w:type="fixed"/>
        <w:tblLook w:val="0000" w:firstRow="0" w:lastRow="0" w:firstColumn="0" w:lastColumn="0" w:noHBand="0" w:noVBand="0"/>
      </w:tblPr>
      <w:tblGrid>
        <w:gridCol w:w="851"/>
        <w:gridCol w:w="1985"/>
        <w:gridCol w:w="842"/>
        <w:gridCol w:w="859"/>
        <w:gridCol w:w="850"/>
        <w:gridCol w:w="851"/>
      </w:tblGrid>
      <w:tr w:rsidR="00E92E1E" w:rsidRPr="00D01D4B" w14:paraId="316EFBF1" w14:textId="77777777" w:rsidTr="00E92E1E">
        <w:trPr>
          <w:trHeight w:val="200"/>
          <w:jc w:val="center"/>
        </w:trPr>
        <w:tc>
          <w:tcPr>
            <w:tcW w:w="851" w:type="dxa"/>
            <w:tcBorders>
              <w:top w:val="single" w:sz="4" w:space="0" w:color="auto"/>
              <w:bottom w:val="single" w:sz="4" w:space="0" w:color="auto"/>
            </w:tcBorders>
          </w:tcPr>
          <w:p w14:paraId="24D44413" w14:textId="77777777" w:rsidR="00E92E1E" w:rsidRPr="00D01D4B" w:rsidRDefault="00E92E1E" w:rsidP="00E07423">
            <w:pPr>
              <w:pStyle w:val="Table"/>
              <w:spacing w:line="276" w:lineRule="auto"/>
              <w:rPr>
                <w:snapToGrid w:val="0"/>
              </w:rPr>
            </w:pPr>
          </w:p>
        </w:tc>
        <w:tc>
          <w:tcPr>
            <w:tcW w:w="1985" w:type="dxa"/>
            <w:tcBorders>
              <w:top w:val="single" w:sz="4" w:space="0" w:color="auto"/>
              <w:bottom w:val="single" w:sz="4" w:space="0" w:color="auto"/>
            </w:tcBorders>
            <w:vAlign w:val="bottom"/>
          </w:tcPr>
          <w:p w14:paraId="208307DA" w14:textId="55331C5F" w:rsidR="00E92E1E" w:rsidRPr="00E92E1E" w:rsidRDefault="00E92E1E" w:rsidP="00E07423">
            <w:pPr>
              <w:pStyle w:val="Table"/>
              <w:spacing w:line="276" w:lineRule="auto"/>
              <w:rPr>
                <w:b/>
                <w:bCs/>
                <w:snapToGrid w:val="0"/>
              </w:rPr>
            </w:pPr>
            <w:r w:rsidRPr="00E92E1E">
              <w:rPr>
                <w:b/>
                <w:bCs/>
                <w:snapToGrid w:val="0"/>
              </w:rPr>
              <w:t>Year</w:t>
            </w:r>
          </w:p>
        </w:tc>
        <w:tc>
          <w:tcPr>
            <w:tcW w:w="842" w:type="dxa"/>
            <w:tcBorders>
              <w:top w:val="single" w:sz="4" w:space="0" w:color="auto"/>
              <w:bottom w:val="single" w:sz="4" w:space="0" w:color="auto"/>
            </w:tcBorders>
          </w:tcPr>
          <w:p w14:paraId="17F14C27" w14:textId="1F5F7BAE" w:rsidR="00E92E1E" w:rsidRPr="00E92E1E" w:rsidRDefault="00E92E1E" w:rsidP="00E07423">
            <w:pPr>
              <w:pStyle w:val="Table"/>
              <w:spacing w:line="276" w:lineRule="auto"/>
              <w:rPr>
                <w:b/>
                <w:bCs/>
                <w:snapToGrid w:val="0"/>
              </w:rPr>
            </w:pPr>
            <w:r w:rsidRPr="00E92E1E">
              <w:rPr>
                <w:b/>
                <w:bCs/>
                <w:snapToGrid w:val="0"/>
              </w:rPr>
              <w:t>U.M</w:t>
            </w:r>
          </w:p>
        </w:tc>
        <w:tc>
          <w:tcPr>
            <w:tcW w:w="859" w:type="dxa"/>
            <w:tcBorders>
              <w:top w:val="single" w:sz="4" w:space="0" w:color="auto"/>
              <w:bottom w:val="single" w:sz="4" w:space="0" w:color="auto"/>
            </w:tcBorders>
            <w:vAlign w:val="bottom"/>
          </w:tcPr>
          <w:p w14:paraId="33817312" w14:textId="6D66B316" w:rsidR="00E92E1E" w:rsidRPr="00E92E1E" w:rsidRDefault="00E92E1E" w:rsidP="00E07423">
            <w:pPr>
              <w:pStyle w:val="Table"/>
              <w:spacing w:line="276" w:lineRule="auto"/>
              <w:rPr>
                <w:b/>
                <w:bCs/>
                <w:snapToGrid w:val="0"/>
              </w:rPr>
            </w:pPr>
            <w:r w:rsidRPr="00E92E1E">
              <w:rPr>
                <w:b/>
                <w:bCs/>
                <w:snapToGrid w:val="0"/>
              </w:rPr>
              <w:t>2020</w:t>
            </w:r>
          </w:p>
        </w:tc>
        <w:tc>
          <w:tcPr>
            <w:tcW w:w="850" w:type="dxa"/>
            <w:tcBorders>
              <w:top w:val="single" w:sz="4" w:space="0" w:color="auto"/>
              <w:bottom w:val="single" w:sz="4" w:space="0" w:color="auto"/>
            </w:tcBorders>
            <w:vAlign w:val="bottom"/>
          </w:tcPr>
          <w:p w14:paraId="08284465" w14:textId="44540549" w:rsidR="00E92E1E" w:rsidRPr="00E92E1E" w:rsidRDefault="00E92E1E" w:rsidP="00E07423">
            <w:pPr>
              <w:pStyle w:val="Table"/>
              <w:spacing w:line="276" w:lineRule="auto"/>
              <w:rPr>
                <w:b/>
                <w:bCs/>
                <w:snapToGrid w:val="0"/>
              </w:rPr>
            </w:pPr>
            <w:r w:rsidRPr="00E92E1E">
              <w:rPr>
                <w:b/>
                <w:bCs/>
                <w:snapToGrid w:val="0"/>
              </w:rPr>
              <w:t>2021</w:t>
            </w:r>
          </w:p>
        </w:tc>
        <w:tc>
          <w:tcPr>
            <w:tcW w:w="851" w:type="dxa"/>
            <w:tcBorders>
              <w:top w:val="single" w:sz="4" w:space="0" w:color="auto"/>
              <w:bottom w:val="single" w:sz="4" w:space="0" w:color="auto"/>
            </w:tcBorders>
            <w:vAlign w:val="bottom"/>
          </w:tcPr>
          <w:p w14:paraId="0BD49BC7" w14:textId="6F13A247" w:rsidR="00E92E1E" w:rsidRPr="00E92E1E" w:rsidRDefault="00E92E1E" w:rsidP="00E07423">
            <w:pPr>
              <w:pStyle w:val="Table"/>
              <w:spacing w:line="276" w:lineRule="auto"/>
              <w:rPr>
                <w:b/>
                <w:bCs/>
                <w:snapToGrid w:val="0"/>
              </w:rPr>
            </w:pPr>
            <w:r w:rsidRPr="00E92E1E">
              <w:rPr>
                <w:b/>
                <w:bCs/>
                <w:snapToGrid w:val="0"/>
              </w:rPr>
              <w:t>2025</w:t>
            </w:r>
          </w:p>
        </w:tc>
      </w:tr>
      <w:tr w:rsidR="00E92E1E" w:rsidRPr="00D01D4B" w14:paraId="34CD0765" w14:textId="77777777" w:rsidTr="00E92E1E">
        <w:trPr>
          <w:trHeight w:val="200"/>
          <w:jc w:val="center"/>
        </w:trPr>
        <w:tc>
          <w:tcPr>
            <w:tcW w:w="851" w:type="dxa"/>
            <w:vMerge w:val="restart"/>
          </w:tcPr>
          <w:p w14:paraId="116F8827" w14:textId="7EC701CD" w:rsidR="00E92E1E" w:rsidRDefault="00E92E1E" w:rsidP="00E92E1E">
            <w:pPr>
              <w:pStyle w:val="Table"/>
              <w:spacing w:line="276" w:lineRule="auto"/>
              <w:ind w:left="70"/>
              <w:rPr>
                <w:snapToGrid w:val="0"/>
              </w:rPr>
            </w:pPr>
          </w:p>
          <w:p w14:paraId="339D1A2C" w14:textId="77777777" w:rsidR="00E92E1E" w:rsidRPr="00E92E1E" w:rsidRDefault="00E92E1E" w:rsidP="00E92E1E">
            <w:pPr>
              <w:pStyle w:val="Table"/>
              <w:spacing w:line="276" w:lineRule="auto"/>
              <w:ind w:left="70"/>
              <w:rPr>
                <w:snapToGrid w:val="0"/>
                <w:sz w:val="8"/>
                <w:szCs w:val="8"/>
              </w:rPr>
            </w:pPr>
          </w:p>
          <w:p w14:paraId="20F29B06" w14:textId="69ECE984" w:rsidR="00E92E1E" w:rsidRPr="00E92E1E" w:rsidRDefault="00E92E1E" w:rsidP="00E07423">
            <w:pPr>
              <w:pStyle w:val="Table"/>
              <w:spacing w:line="276" w:lineRule="auto"/>
              <w:rPr>
                <w:b/>
                <w:bCs/>
                <w:snapToGrid w:val="0"/>
              </w:rPr>
            </w:pPr>
            <w:r w:rsidRPr="00E92E1E">
              <w:rPr>
                <w:b/>
                <w:bCs/>
                <w:snapToGrid w:val="0"/>
              </w:rPr>
              <w:t>Masks</w:t>
            </w:r>
          </w:p>
        </w:tc>
        <w:tc>
          <w:tcPr>
            <w:tcW w:w="1985" w:type="dxa"/>
            <w:vAlign w:val="bottom"/>
          </w:tcPr>
          <w:p w14:paraId="09C42618" w14:textId="7E446564" w:rsidR="00E92E1E" w:rsidRPr="00D01D4B" w:rsidRDefault="00E92E1E" w:rsidP="00E07423">
            <w:pPr>
              <w:pStyle w:val="Table"/>
              <w:spacing w:line="276" w:lineRule="auto"/>
              <w:rPr>
                <w:snapToGrid w:val="0"/>
              </w:rPr>
            </w:pPr>
            <w:r>
              <w:rPr>
                <w:snapToGrid w:val="0"/>
              </w:rPr>
              <w:t>Daily requirement</w:t>
            </w:r>
          </w:p>
        </w:tc>
        <w:tc>
          <w:tcPr>
            <w:tcW w:w="842" w:type="dxa"/>
          </w:tcPr>
          <w:p w14:paraId="5B30C747" w14:textId="4BE98474" w:rsidR="00E92E1E" w:rsidRPr="00D01D4B" w:rsidRDefault="00E92E1E" w:rsidP="00E07423">
            <w:pPr>
              <w:pStyle w:val="Table"/>
              <w:spacing w:line="276" w:lineRule="auto"/>
              <w:rPr>
                <w:snapToGrid w:val="0"/>
              </w:rPr>
            </w:pPr>
            <w:r>
              <w:rPr>
                <w:snapToGrid w:val="0"/>
              </w:rPr>
              <w:t>n° (</w:t>
            </w:r>
            <w:proofErr w:type="spellStart"/>
            <w:r>
              <w:rPr>
                <w:snapToGrid w:val="0"/>
              </w:rPr>
              <w:t>mln</w:t>
            </w:r>
            <w:proofErr w:type="spellEnd"/>
            <w:r>
              <w:rPr>
                <w:snapToGrid w:val="0"/>
              </w:rPr>
              <w:t>)</w:t>
            </w:r>
          </w:p>
        </w:tc>
        <w:tc>
          <w:tcPr>
            <w:tcW w:w="859" w:type="dxa"/>
            <w:vAlign w:val="bottom"/>
          </w:tcPr>
          <w:p w14:paraId="30B0DDD4" w14:textId="5612F0B2" w:rsidR="00E92E1E" w:rsidRPr="00D01D4B" w:rsidRDefault="00E92E1E" w:rsidP="00E07423">
            <w:pPr>
              <w:pStyle w:val="Table"/>
              <w:spacing w:line="276" w:lineRule="auto"/>
              <w:rPr>
                <w:snapToGrid w:val="0"/>
              </w:rPr>
            </w:pPr>
            <w:r>
              <w:rPr>
                <w:snapToGrid w:val="0"/>
              </w:rPr>
              <w:t>37,5</w:t>
            </w:r>
          </w:p>
        </w:tc>
        <w:tc>
          <w:tcPr>
            <w:tcW w:w="850" w:type="dxa"/>
            <w:vAlign w:val="bottom"/>
          </w:tcPr>
          <w:p w14:paraId="0C3ADABF" w14:textId="45B69942" w:rsidR="00E92E1E" w:rsidRPr="00D01D4B" w:rsidRDefault="00E92E1E" w:rsidP="00E07423">
            <w:pPr>
              <w:pStyle w:val="Table"/>
              <w:spacing w:line="276" w:lineRule="auto"/>
              <w:rPr>
                <w:snapToGrid w:val="0"/>
              </w:rPr>
            </w:pPr>
            <w:r>
              <w:rPr>
                <w:snapToGrid w:val="0"/>
              </w:rPr>
              <w:t>43,3</w:t>
            </w:r>
          </w:p>
        </w:tc>
        <w:tc>
          <w:tcPr>
            <w:tcW w:w="851" w:type="dxa"/>
            <w:vAlign w:val="bottom"/>
          </w:tcPr>
          <w:p w14:paraId="48E684DD" w14:textId="77068B0B" w:rsidR="00E92E1E" w:rsidRPr="00D01D4B" w:rsidRDefault="00E92E1E" w:rsidP="00E07423">
            <w:pPr>
              <w:pStyle w:val="Table"/>
              <w:spacing w:line="276" w:lineRule="auto"/>
              <w:rPr>
                <w:snapToGrid w:val="0"/>
              </w:rPr>
            </w:pPr>
            <w:r>
              <w:rPr>
                <w:snapToGrid w:val="0"/>
              </w:rPr>
              <w:t>3,6</w:t>
            </w:r>
          </w:p>
        </w:tc>
      </w:tr>
      <w:tr w:rsidR="00E92E1E" w:rsidRPr="00D01D4B" w14:paraId="35CF6C96" w14:textId="77777777" w:rsidTr="00E92E1E">
        <w:trPr>
          <w:trHeight w:val="200"/>
          <w:jc w:val="center"/>
        </w:trPr>
        <w:tc>
          <w:tcPr>
            <w:tcW w:w="851" w:type="dxa"/>
            <w:vMerge/>
          </w:tcPr>
          <w:p w14:paraId="190409AA" w14:textId="53C97E1E" w:rsidR="00E92E1E" w:rsidRDefault="00E92E1E" w:rsidP="00E07423">
            <w:pPr>
              <w:pStyle w:val="Table"/>
              <w:spacing w:line="276" w:lineRule="auto"/>
              <w:rPr>
                <w:snapToGrid w:val="0"/>
              </w:rPr>
            </w:pPr>
          </w:p>
        </w:tc>
        <w:tc>
          <w:tcPr>
            <w:tcW w:w="1985" w:type="dxa"/>
            <w:vAlign w:val="bottom"/>
          </w:tcPr>
          <w:p w14:paraId="38A17BEB" w14:textId="16320C06" w:rsidR="00E92E1E" w:rsidRPr="00D01D4B" w:rsidRDefault="00E92E1E" w:rsidP="00E07423">
            <w:pPr>
              <w:pStyle w:val="Table"/>
              <w:spacing w:line="276" w:lineRule="auto"/>
              <w:rPr>
                <w:snapToGrid w:val="0"/>
              </w:rPr>
            </w:pPr>
            <w:r>
              <w:rPr>
                <w:snapToGrid w:val="0"/>
              </w:rPr>
              <w:t>Daily Waste production</w:t>
            </w:r>
          </w:p>
        </w:tc>
        <w:tc>
          <w:tcPr>
            <w:tcW w:w="842" w:type="dxa"/>
          </w:tcPr>
          <w:p w14:paraId="084F940A" w14:textId="306D5329" w:rsidR="00E92E1E" w:rsidRPr="00D01D4B" w:rsidRDefault="00E92E1E" w:rsidP="00E07423">
            <w:pPr>
              <w:pStyle w:val="Table"/>
              <w:spacing w:line="276" w:lineRule="auto"/>
              <w:rPr>
                <w:snapToGrid w:val="0"/>
              </w:rPr>
            </w:pPr>
            <w:r>
              <w:rPr>
                <w:snapToGrid w:val="0"/>
              </w:rPr>
              <w:t>t</w:t>
            </w:r>
          </w:p>
        </w:tc>
        <w:tc>
          <w:tcPr>
            <w:tcW w:w="859" w:type="dxa"/>
            <w:vAlign w:val="bottom"/>
          </w:tcPr>
          <w:p w14:paraId="0F8D419B" w14:textId="68DD4B20" w:rsidR="00E92E1E" w:rsidRPr="00D01D4B" w:rsidRDefault="00E92E1E" w:rsidP="00E07423">
            <w:pPr>
              <w:pStyle w:val="Table"/>
              <w:spacing w:line="276" w:lineRule="auto"/>
              <w:rPr>
                <w:snapToGrid w:val="0"/>
              </w:rPr>
            </w:pPr>
            <w:r>
              <w:rPr>
                <w:snapToGrid w:val="0"/>
              </w:rPr>
              <w:t>410</w:t>
            </w:r>
          </w:p>
        </w:tc>
        <w:tc>
          <w:tcPr>
            <w:tcW w:w="850" w:type="dxa"/>
            <w:vAlign w:val="bottom"/>
          </w:tcPr>
          <w:p w14:paraId="391A91D4" w14:textId="5D29970C" w:rsidR="00E92E1E" w:rsidRPr="00D01D4B" w:rsidRDefault="00E92E1E" w:rsidP="00E07423">
            <w:pPr>
              <w:pStyle w:val="Table"/>
              <w:spacing w:line="276" w:lineRule="auto"/>
              <w:rPr>
                <w:snapToGrid w:val="0"/>
              </w:rPr>
            </w:pPr>
            <w:r>
              <w:rPr>
                <w:snapToGrid w:val="0"/>
              </w:rPr>
              <w:t>473,1</w:t>
            </w:r>
          </w:p>
        </w:tc>
        <w:tc>
          <w:tcPr>
            <w:tcW w:w="851" w:type="dxa"/>
            <w:vAlign w:val="bottom"/>
          </w:tcPr>
          <w:p w14:paraId="4B594689" w14:textId="39A6040A" w:rsidR="00E92E1E" w:rsidRPr="00D01D4B" w:rsidRDefault="00E92E1E" w:rsidP="00E07423">
            <w:pPr>
              <w:pStyle w:val="Table"/>
              <w:spacing w:line="276" w:lineRule="auto"/>
              <w:rPr>
                <w:snapToGrid w:val="0"/>
              </w:rPr>
            </w:pPr>
            <w:r>
              <w:rPr>
                <w:snapToGrid w:val="0"/>
              </w:rPr>
              <w:t>39,4</w:t>
            </w:r>
          </w:p>
        </w:tc>
      </w:tr>
      <w:tr w:rsidR="00E92E1E" w:rsidRPr="00D01D4B" w14:paraId="7575B0DA" w14:textId="77777777" w:rsidTr="00E92E1E">
        <w:trPr>
          <w:trHeight w:val="200"/>
          <w:jc w:val="center"/>
        </w:trPr>
        <w:tc>
          <w:tcPr>
            <w:tcW w:w="851" w:type="dxa"/>
            <w:vMerge/>
          </w:tcPr>
          <w:p w14:paraId="7A15E695" w14:textId="77777777" w:rsidR="00E92E1E" w:rsidRDefault="00E92E1E" w:rsidP="00E07423">
            <w:pPr>
              <w:pStyle w:val="Table"/>
              <w:spacing w:line="276" w:lineRule="auto"/>
              <w:rPr>
                <w:snapToGrid w:val="0"/>
              </w:rPr>
            </w:pPr>
          </w:p>
        </w:tc>
        <w:tc>
          <w:tcPr>
            <w:tcW w:w="1985" w:type="dxa"/>
            <w:vAlign w:val="bottom"/>
          </w:tcPr>
          <w:p w14:paraId="7185907A" w14:textId="4AF37D2C" w:rsidR="00E92E1E" w:rsidRPr="00D01D4B" w:rsidRDefault="00E92E1E" w:rsidP="00E07423">
            <w:pPr>
              <w:pStyle w:val="Table"/>
              <w:spacing w:line="276" w:lineRule="auto"/>
              <w:rPr>
                <w:snapToGrid w:val="0"/>
              </w:rPr>
            </w:pPr>
            <w:r>
              <w:rPr>
                <w:snapToGrid w:val="0"/>
              </w:rPr>
              <w:t>Annual requirement</w:t>
            </w:r>
          </w:p>
        </w:tc>
        <w:tc>
          <w:tcPr>
            <w:tcW w:w="842" w:type="dxa"/>
          </w:tcPr>
          <w:p w14:paraId="3DC43C42" w14:textId="78AF83BE" w:rsidR="00E92E1E" w:rsidRPr="00D01D4B" w:rsidRDefault="00E92E1E" w:rsidP="00E07423">
            <w:pPr>
              <w:pStyle w:val="Table"/>
              <w:spacing w:line="276" w:lineRule="auto"/>
              <w:rPr>
                <w:snapToGrid w:val="0"/>
              </w:rPr>
            </w:pPr>
            <w:r>
              <w:rPr>
                <w:snapToGrid w:val="0"/>
              </w:rPr>
              <w:t>n° (</w:t>
            </w:r>
            <w:proofErr w:type="spellStart"/>
            <w:r>
              <w:rPr>
                <w:snapToGrid w:val="0"/>
              </w:rPr>
              <w:t>mln</w:t>
            </w:r>
            <w:proofErr w:type="spellEnd"/>
            <w:r>
              <w:rPr>
                <w:snapToGrid w:val="0"/>
              </w:rPr>
              <w:t>)</w:t>
            </w:r>
          </w:p>
        </w:tc>
        <w:tc>
          <w:tcPr>
            <w:tcW w:w="859" w:type="dxa"/>
            <w:vAlign w:val="bottom"/>
          </w:tcPr>
          <w:p w14:paraId="48397465" w14:textId="4474D930" w:rsidR="00E92E1E" w:rsidRPr="00D01D4B" w:rsidRDefault="00E92E1E" w:rsidP="00E07423">
            <w:pPr>
              <w:pStyle w:val="Table"/>
              <w:spacing w:line="276" w:lineRule="auto"/>
              <w:rPr>
                <w:snapToGrid w:val="0"/>
              </w:rPr>
            </w:pPr>
            <w:r>
              <w:rPr>
                <w:snapToGrid w:val="0"/>
              </w:rPr>
              <w:t>13.687,5</w:t>
            </w:r>
          </w:p>
        </w:tc>
        <w:tc>
          <w:tcPr>
            <w:tcW w:w="850" w:type="dxa"/>
            <w:vAlign w:val="bottom"/>
          </w:tcPr>
          <w:p w14:paraId="5F3315AA" w14:textId="53F19B96" w:rsidR="00E92E1E" w:rsidRPr="00D01D4B" w:rsidRDefault="00E92E1E" w:rsidP="00E07423">
            <w:pPr>
              <w:pStyle w:val="Table"/>
              <w:spacing w:line="276" w:lineRule="auto"/>
              <w:rPr>
                <w:snapToGrid w:val="0"/>
              </w:rPr>
            </w:pPr>
            <w:r>
              <w:rPr>
                <w:snapToGrid w:val="0"/>
              </w:rPr>
              <w:t>15.792,6</w:t>
            </w:r>
          </w:p>
        </w:tc>
        <w:tc>
          <w:tcPr>
            <w:tcW w:w="851" w:type="dxa"/>
            <w:vAlign w:val="bottom"/>
          </w:tcPr>
          <w:p w14:paraId="45D305D5" w14:textId="2ACC194A" w:rsidR="00E92E1E" w:rsidRPr="00D01D4B" w:rsidRDefault="00E36C59" w:rsidP="00E07423">
            <w:pPr>
              <w:pStyle w:val="Table"/>
              <w:spacing w:line="276" w:lineRule="auto"/>
              <w:rPr>
                <w:snapToGrid w:val="0"/>
              </w:rPr>
            </w:pPr>
            <w:r>
              <w:rPr>
                <w:snapToGrid w:val="0"/>
              </w:rPr>
              <w:t>1.316,1</w:t>
            </w:r>
          </w:p>
        </w:tc>
      </w:tr>
      <w:tr w:rsidR="00E92E1E" w:rsidRPr="00D01D4B" w14:paraId="452DF5E2" w14:textId="77777777" w:rsidTr="00E92E1E">
        <w:trPr>
          <w:trHeight w:val="200"/>
          <w:jc w:val="center"/>
        </w:trPr>
        <w:tc>
          <w:tcPr>
            <w:tcW w:w="851" w:type="dxa"/>
            <w:vMerge/>
            <w:tcBorders>
              <w:bottom w:val="single" w:sz="4" w:space="0" w:color="auto"/>
            </w:tcBorders>
          </w:tcPr>
          <w:p w14:paraId="57271473" w14:textId="77777777" w:rsidR="00E92E1E" w:rsidRDefault="00E92E1E" w:rsidP="00112B48">
            <w:pPr>
              <w:pStyle w:val="Table"/>
              <w:spacing w:line="276" w:lineRule="auto"/>
              <w:rPr>
                <w:snapToGrid w:val="0"/>
              </w:rPr>
            </w:pPr>
          </w:p>
        </w:tc>
        <w:tc>
          <w:tcPr>
            <w:tcW w:w="1985" w:type="dxa"/>
            <w:tcBorders>
              <w:bottom w:val="single" w:sz="4" w:space="0" w:color="auto"/>
            </w:tcBorders>
            <w:vAlign w:val="bottom"/>
          </w:tcPr>
          <w:p w14:paraId="187398D5" w14:textId="353BEE05" w:rsidR="00E92E1E" w:rsidRPr="00D01D4B" w:rsidRDefault="00E92E1E" w:rsidP="00112B48">
            <w:pPr>
              <w:pStyle w:val="Table"/>
              <w:spacing w:line="276" w:lineRule="auto"/>
              <w:rPr>
                <w:snapToGrid w:val="0"/>
              </w:rPr>
            </w:pPr>
            <w:r>
              <w:rPr>
                <w:snapToGrid w:val="0"/>
              </w:rPr>
              <w:t>Annual Waste production</w:t>
            </w:r>
          </w:p>
        </w:tc>
        <w:tc>
          <w:tcPr>
            <w:tcW w:w="842" w:type="dxa"/>
            <w:tcBorders>
              <w:bottom w:val="single" w:sz="4" w:space="0" w:color="auto"/>
            </w:tcBorders>
          </w:tcPr>
          <w:p w14:paraId="25BAE7CA" w14:textId="77777777" w:rsidR="00E92E1E" w:rsidRPr="00D01D4B" w:rsidRDefault="00E92E1E" w:rsidP="00112B48">
            <w:pPr>
              <w:pStyle w:val="Table"/>
              <w:spacing w:line="276" w:lineRule="auto"/>
              <w:rPr>
                <w:snapToGrid w:val="0"/>
              </w:rPr>
            </w:pPr>
            <w:r>
              <w:rPr>
                <w:snapToGrid w:val="0"/>
              </w:rPr>
              <w:t>t</w:t>
            </w:r>
          </w:p>
        </w:tc>
        <w:tc>
          <w:tcPr>
            <w:tcW w:w="859" w:type="dxa"/>
            <w:tcBorders>
              <w:bottom w:val="single" w:sz="4" w:space="0" w:color="auto"/>
            </w:tcBorders>
            <w:vAlign w:val="bottom"/>
          </w:tcPr>
          <w:p w14:paraId="0E5B0402" w14:textId="77777777" w:rsidR="00E92E1E" w:rsidRPr="00D01D4B" w:rsidRDefault="00E92E1E" w:rsidP="00112B48">
            <w:pPr>
              <w:pStyle w:val="Table"/>
              <w:spacing w:line="276" w:lineRule="auto"/>
              <w:rPr>
                <w:snapToGrid w:val="0"/>
              </w:rPr>
            </w:pPr>
            <w:r>
              <w:rPr>
                <w:snapToGrid w:val="0"/>
              </w:rPr>
              <w:t>149.650</w:t>
            </w:r>
          </w:p>
        </w:tc>
        <w:tc>
          <w:tcPr>
            <w:tcW w:w="850" w:type="dxa"/>
            <w:tcBorders>
              <w:bottom w:val="single" w:sz="4" w:space="0" w:color="auto"/>
            </w:tcBorders>
            <w:vAlign w:val="bottom"/>
          </w:tcPr>
          <w:p w14:paraId="54B5691D" w14:textId="12380BD7" w:rsidR="00E92E1E" w:rsidRPr="00D01D4B" w:rsidRDefault="007C6BDF" w:rsidP="00112B48">
            <w:pPr>
              <w:pStyle w:val="Table"/>
              <w:spacing w:line="276" w:lineRule="auto"/>
              <w:rPr>
                <w:snapToGrid w:val="0"/>
              </w:rPr>
            </w:pPr>
            <w:r>
              <w:rPr>
                <w:snapToGrid w:val="0"/>
              </w:rPr>
              <w:t>172.665,9</w:t>
            </w:r>
          </w:p>
        </w:tc>
        <w:tc>
          <w:tcPr>
            <w:tcW w:w="851" w:type="dxa"/>
            <w:tcBorders>
              <w:bottom w:val="single" w:sz="4" w:space="0" w:color="auto"/>
            </w:tcBorders>
            <w:vAlign w:val="bottom"/>
          </w:tcPr>
          <w:p w14:paraId="4E8E53B4" w14:textId="77777777" w:rsidR="00E92E1E" w:rsidRPr="00D01D4B" w:rsidRDefault="00E92E1E" w:rsidP="00112B48">
            <w:pPr>
              <w:pStyle w:val="Table"/>
              <w:spacing w:line="276" w:lineRule="auto"/>
              <w:rPr>
                <w:snapToGrid w:val="0"/>
              </w:rPr>
            </w:pPr>
            <w:r>
              <w:rPr>
                <w:snapToGrid w:val="0"/>
              </w:rPr>
              <w:t>14.388,85</w:t>
            </w:r>
          </w:p>
        </w:tc>
      </w:tr>
      <w:tr w:rsidR="00E92E1E" w:rsidRPr="00D01D4B" w14:paraId="67C08167" w14:textId="77777777" w:rsidTr="00E92E1E">
        <w:trPr>
          <w:trHeight w:val="200"/>
          <w:jc w:val="center"/>
        </w:trPr>
        <w:tc>
          <w:tcPr>
            <w:tcW w:w="851" w:type="dxa"/>
            <w:tcBorders>
              <w:top w:val="single" w:sz="4" w:space="0" w:color="auto"/>
              <w:bottom w:val="single" w:sz="4" w:space="0" w:color="auto"/>
            </w:tcBorders>
          </w:tcPr>
          <w:p w14:paraId="220158C9" w14:textId="77777777" w:rsidR="00E92E1E" w:rsidRPr="00D01D4B" w:rsidRDefault="00E92E1E" w:rsidP="00112B48">
            <w:pPr>
              <w:pStyle w:val="Table"/>
              <w:spacing w:line="276" w:lineRule="auto"/>
              <w:rPr>
                <w:snapToGrid w:val="0"/>
              </w:rPr>
            </w:pPr>
          </w:p>
        </w:tc>
        <w:tc>
          <w:tcPr>
            <w:tcW w:w="1985" w:type="dxa"/>
            <w:tcBorders>
              <w:top w:val="single" w:sz="4" w:space="0" w:color="auto"/>
              <w:bottom w:val="single" w:sz="4" w:space="0" w:color="auto"/>
            </w:tcBorders>
            <w:vAlign w:val="bottom"/>
          </w:tcPr>
          <w:p w14:paraId="0D170F8C" w14:textId="1148696E" w:rsidR="00E92E1E" w:rsidRPr="00E92E1E" w:rsidRDefault="00E92E1E" w:rsidP="00112B48">
            <w:pPr>
              <w:pStyle w:val="Table"/>
              <w:spacing w:line="276" w:lineRule="auto"/>
              <w:rPr>
                <w:b/>
                <w:bCs/>
                <w:snapToGrid w:val="0"/>
              </w:rPr>
            </w:pPr>
            <w:r w:rsidRPr="00E92E1E">
              <w:rPr>
                <w:b/>
                <w:bCs/>
                <w:snapToGrid w:val="0"/>
              </w:rPr>
              <w:t>Year</w:t>
            </w:r>
          </w:p>
        </w:tc>
        <w:tc>
          <w:tcPr>
            <w:tcW w:w="842" w:type="dxa"/>
            <w:tcBorders>
              <w:top w:val="single" w:sz="4" w:space="0" w:color="auto"/>
              <w:bottom w:val="single" w:sz="4" w:space="0" w:color="auto"/>
            </w:tcBorders>
          </w:tcPr>
          <w:p w14:paraId="48BC198B" w14:textId="77777777" w:rsidR="00E92E1E" w:rsidRPr="00E92E1E" w:rsidRDefault="00E92E1E" w:rsidP="00112B48">
            <w:pPr>
              <w:pStyle w:val="Table"/>
              <w:spacing w:line="276" w:lineRule="auto"/>
              <w:rPr>
                <w:b/>
                <w:bCs/>
                <w:snapToGrid w:val="0"/>
              </w:rPr>
            </w:pPr>
            <w:r w:rsidRPr="00E92E1E">
              <w:rPr>
                <w:b/>
                <w:bCs/>
                <w:snapToGrid w:val="0"/>
              </w:rPr>
              <w:t>U.M</w:t>
            </w:r>
          </w:p>
        </w:tc>
        <w:tc>
          <w:tcPr>
            <w:tcW w:w="859" w:type="dxa"/>
            <w:tcBorders>
              <w:top w:val="single" w:sz="4" w:space="0" w:color="auto"/>
              <w:bottom w:val="single" w:sz="4" w:space="0" w:color="auto"/>
            </w:tcBorders>
            <w:vAlign w:val="bottom"/>
          </w:tcPr>
          <w:p w14:paraId="732CBF5C" w14:textId="77777777" w:rsidR="00E92E1E" w:rsidRPr="00E92E1E" w:rsidRDefault="00E92E1E" w:rsidP="00112B48">
            <w:pPr>
              <w:pStyle w:val="Table"/>
              <w:spacing w:line="276" w:lineRule="auto"/>
              <w:rPr>
                <w:b/>
                <w:bCs/>
                <w:snapToGrid w:val="0"/>
              </w:rPr>
            </w:pPr>
            <w:r w:rsidRPr="00E92E1E">
              <w:rPr>
                <w:b/>
                <w:bCs/>
                <w:snapToGrid w:val="0"/>
              </w:rPr>
              <w:t>2020</w:t>
            </w:r>
          </w:p>
        </w:tc>
        <w:tc>
          <w:tcPr>
            <w:tcW w:w="850" w:type="dxa"/>
            <w:tcBorders>
              <w:top w:val="single" w:sz="4" w:space="0" w:color="auto"/>
              <w:bottom w:val="single" w:sz="4" w:space="0" w:color="auto"/>
            </w:tcBorders>
            <w:vAlign w:val="bottom"/>
          </w:tcPr>
          <w:p w14:paraId="16B632C5" w14:textId="77777777" w:rsidR="00E92E1E" w:rsidRPr="00E92E1E" w:rsidRDefault="00E92E1E" w:rsidP="00112B48">
            <w:pPr>
              <w:pStyle w:val="Table"/>
              <w:spacing w:line="276" w:lineRule="auto"/>
              <w:rPr>
                <w:b/>
                <w:bCs/>
                <w:snapToGrid w:val="0"/>
              </w:rPr>
            </w:pPr>
            <w:r w:rsidRPr="00E92E1E">
              <w:rPr>
                <w:b/>
                <w:bCs/>
                <w:snapToGrid w:val="0"/>
              </w:rPr>
              <w:t>2021</w:t>
            </w:r>
          </w:p>
        </w:tc>
        <w:tc>
          <w:tcPr>
            <w:tcW w:w="851" w:type="dxa"/>
            <w:tcBorders>
              <w:top w:val="single" w:sz="4" w:space="0" w:color="auto"/>
              <w:bottom w:val="single" w:sz="4" w:space="0" w:color="auto"/>
            </w:tcBorders>
            <w:vAlign w:val="bottom"/>
          </w:tcPr>
          <w:p w14:paraId="66C67D44" w14:textId="77777777" w:rsidR="00E92E1E" w:rsidRPr="00E92E1E" w:rsidRDefault="00E92E1E" w:rsidP="00112B48">
            <w:pPr>
              <w:pStyle w:val="Table"/>
              <w:spacing w:line="276" w:lineRule="auto"/>
              <w:rPr>
                <w:b/>
                <w:bCs/>
                <w:snapToGrid w:val="0"/>
              </w:rPr>
            </w:pPr>
            <w:r w:rsidRPr="00E92E1E">
              <w:rPr>
                <w:b/>
                <w:bCs/>
                <w:snapToGrid w:val="0"/>
              </w:rPr>
              <w:t>2025</w:t>
            </w:r>
          </w:p>
        </w:tc>
      </w:tr>
      <w:tr w:rsidR="00E92E1E" w:rsidRPr="00D01D4B" w14:paraId="56FB8749" w14:textId="77777777" w:rsidTr="00E92E1E">
        <w:trPr>
          <w:trHeight w:val="200"/>
          <w:jc w:val="center"/>
        </w:trPr>
        <w:tc>
          <w:tcPr>
            <w:tcW w:w="851" w:type="dxa"/>
            <w:vMerge w:val="restart"/>
          </w:tcPr>
          <w:p w14:paraId="2421AF0D" w14:textId="77777777" w:rsidR="00E92E1E" w:rsidRDefault="00E92E1E" w:rsidP="00112B48">
            <w:pPr>
              <w:pStyle w:val="Table"/>
              <w:spacing w:line="276" w:lineRule="auto"/>
              <w:rPr>
                <w:snapToGrid w:val="0"/>
              </w:rPr>
            </w:pPr>
          </w:p>
          <w:p w14:paraId="6D67A064" w14:textId="77777777" w:rsidR="00E92E1E" w:rsidRPr="00E92E1E" w:rsidRDefault="00E92E1E" w:rsidP="00112B48">
            <w:pPr>
              <w:pStyle w:val="Table"/>
              <w:spacing w:line="276" w:lineRule="auto"/>
              <w:rPr>
                <w:snapToGrid w:val="0"/>
                <w:sz w:val="8"/>
                <w:szCs w:val="8"/>
              </w:rPr>
            </w:pPr>
          </w:p>
          <w:p w14:paraId="2FBA8679" w14:textId="3B455200" w:rsidR="00E92E1E" w:rsidRPr="00E92E1E" w:rsidRDefault="00E92E1E" w:rsidP="00112B48">
            <w:pPr>
              <w:pStyle w:val="Table"/>
              <w:spacing w:line="276" w:lineRule="auto"/>
              <w:rPr>
                <w:b/>
                <w:bCs/>
                <w:snapToGrid w:val="0"/>
              </w:rPr>
            </w:pPr>
            <w:r w:rsidRPr="00E92E1E">
              <w:rPr>
                <w:b/>
                <w:bCs/>
                <w:snapToGrid w:val="0"/>
              </w:rPr>
              <w:t>Gloves</w:t>
            </w:r>
          </w:p>
        </w:tc>
        <w:tc>
          <w:tcPr>
            <w:tcW w:w="1985" w:type="dxa"/>
            <w:vAlign w:val="bottom"/>
          </w:tcPr>
          <w:p w14:paraId="5F31353E" w14:textId="28B7D6DC" w:rsidR="00E92E1E" w:rsidRPr="00D01D4B" w:rsidRDefault="00E92E1E" w:rsidP="00112B48">
            <w:pPr>
              <w:pStyle w:val="Table"/>
              <w:spacing w:line="276" w:lineRule="auto"/>
              <w:rPr>
                <w:snapToGrid w:val="0"/>
              </w:rPr>
            </w:pPr>
            <w:r>
              <w:rPr>
                <w:snapToGrid w:val="0"/>
              </w:rPr>
              <w:t>Daily requirement</w:t>
            </w:r>
          </w:p>
        </w:tc>
        <w:tc>
          <w:tcPr>
            <w:tcW w:w="842" w:type="dxa"/>
          </w:tcPr>
          <w:p w14:paraId="7DD469C8" w14:textId="77777777" w:rsidR="00E92E1E" w:rsidRPr="00D01D4B" w:rsidRDefault="00E92E1E" w:rsidP="00112B48">
            <w:pPr>
              <w:pStyle w:val="Table"/>
              <w:spacing w:line="276" w:lineRule="auto"/>
              <w:rPr>
                <w:snapToGrid w:val="0"/>
              </w:rPr>
            </w:pPr>
            <w:r>
              <w:rPr>
                <w:snapToGrid w:val="0"/>
              </w:rPr>
              <w:t>n° (</w:t>
            </w:r>
            <w:proofErr w:type="spellStart"/>
            <w:r>
              <w:rPr>
                <w:snapToGrid w:val="0"/>
              </w:rPr>
              <w:t>mln</w:t>
            </w:r>
            <w:proofErr w:type="spellEnd"/>
            <w:r>
              <w:rPr>
                <w:snapToGrid w:val="0"/>
              </w:rPr>
              <w:t>)</w:t>
            </w:r>
          </w:p>
        </w:tc>
        <w:tc>
          <w:tcPr>
            <w:tcW w:w="859" w:type="dxa"/>
            <w:vAlign w:val="bottom"/>
          </w:tcPr>
          <w:p w14:paraId="58EB0AD3" w14:textId="77777777" w:rsidR="00E92E1E" w:rsidRPr="00D01D4B" w:rsidRDefault="00E92E1E" w:rsidP="00112B48">
            <w:pPr>
              <w:pStyle w:val="Table"/>
              <w:spacing w:line="276" w:lineRule="auto"/>
              <w:rPr>
                <w:snapToGrid w:val="0"/>
              </w:rPr>
            </w:pPr>
            <w:r>
              <w:rPr>
                <w:snapToGrid w:val="0"/>
              </w:rPr>
              <w:t>75</w:t>
            </w:r>
          </w:p>
        </w:tc>
        <w:tc>
          <w:tcPr>
            <w:tcW w:w="850" w:type="dxa"/>
            <w:vAlign w:val="bottom"/>
          </w:tcPr>
          <w:p w14:paraId="4C0B3384" w14:textId="6DC8E681" w:rsidR="00E92E1E" w:rsidRPr="00D01D4B" w:rsidRDefault="00E92E1E" w:rsidP="00112B48">
            <w:pPr>
              <w:pStyle w:val="Table"/>
              <w:spacing w:line="276" w:lineRule="auto"/>
              <w:rPr>
                <w:snapToGrid w:val="0"/>
              </w:rPr>
            </w:pPr>
            <w:r>
              <w:rPr>
                <w:snapToGrid w:val="0"/>
              </w:rPr>
              <w:t>86,</w:t>
            </w:r>
            <w:r w:rsidR="003F6CCB">
              <w:rPr>
                <w:snapToGrid w:val="0"/>
              </w:rPr>
              <w:t>6</w:t>
            </w:r>
          </w:p>
        </w:tc>
        <w:tc>
          <w:tcPr>
            <w:tcW w:w="851" w:type="dxa"/>
            <w:vAlign w:val="bottom"/>
          </w:tcPr>
          <w:p w14:paraId="64C43A40" w14:textId="767B2301" w:rsidR="00E92E1E" w:rsidRPr="00D01D4B" w:rsidRDefault="000A74E1" w:rsidP="00112B48">
            <w:pPr>
              <w:pStyle w:val="Table"/>
              <w:spacing w:line="276" w:lineRule="auto"/>
              <w:rPr>
                <w:snapToGrid w:val="0"/>
              </w:rPr>
            </w:pPr>
            <w:r>
              <w:rPr>
                <w:snapToGrid w:val="0"/>
              </w:rPr>
              <w:t>63,7</w:t>
            </w:r>
          </w:p>
        </w:tc>
      </w:tr>
      <w:tr w:rsidR="00E92E1E" w:rsidRPr="00D01D4B" w14:paraId="60628E24" w14:textId="77777777" w:rsidTr="00E92E1E">
        <w:trPr>
          <w:trHeight w:val="200"/>
          <w:jc w:val="center"/>
        </w:trPr>
        <w:tc>
          <w:tcPr>
            <w:tcW w:w="851" w:type="dxa"/>
            <w:vMerge/>
          </w:tcPr>
          <w:p w14:paraId="32D4198A" w14:textId="64EDD0F9" w:rsidR="00E92E1E" w:rsidRDefault="00E92E1E" w:rsidP="00112B48">
            <w:pPr>
              <w:pStyle w:val="Table"/>
              <w:spacing w:line="276" w:lineRule="auto"/>
              <w:rPr>
                <w:snapToGrid w:val="0"/>
              </w:rPr>
            </w:pPr>
          </w:p>
        </w:tc>
        <w:tc>
          <w:tcPr>
            <w:tcW w:w="1985" w:type="dxa"/>
            <w:vAlign w:val="bottom"/>
          </w:tcPr>
          <w:p w14:paraId="0A81D3CA" w14:textId="21C58D8D" w:rsidR="00E92E1E" w:rsidRPr="00D01D4B" w:rsidRDefault="00E92E1E" w:rsidP="00112B48">
            <w:pPr>
              <w:pStyle w:val="Table"/>
              <w:spacing w:line="276" w:lineRule="auto"/>
              <w:rPr>
                <w:snapToGrid w:val="0"/>
              </w:rPr>
            </w:pPr>
            <w:r>
              <w:rPr>
                <w:snapToGrid w:val="0"/>
              </w:rPr>
              <w:t>Daily Waste production</w:t>
            </w:r>
          </w:p>
        </w:tc>
        <w:tc>
          <w:tcPr>
            <w:tcW w:w="842" w:type="dxa"/>
          </w:tcPr>
          <w:p w14:paraId="31A69ED0" w14:textId="77777777" w:rsidR="00E92E1E" w:rsidRPr="00D01D4B" w:rsidRDefault="00E92E1E" w:rsidP="00112B48">
            <w:pPr>
              <w:pStyle w:val="Table"/>
              <w:spacing w:line="276" w:lineRule="auto"/>
              <w:rPr>
                <w:snapToGrid w:val="0"/>
              </w:rPr>
            </w:pPr>
            <w:r>
              <w:rPr>
                <w:snapToGrid w:val="0"/>
              </w:rPr>
              <w:t>t</w:t>
            </w:r>
          </w:p>
        </w:tc>
        <w:tc>
          <w:tcPr>
            <w:tcW w:w="859" w:type="dxa"/>
            <w:vAlign w:val="bottom"/>
          </w:tcPr>
          <w:p w14:paraId="60274E67" w14:textId="77777777" w:rsidR="00E92E1E" w:rsidRPr="00D01D4B" w:rsidRDefault="00E92E1E" w:rsidP="00112B48">
            <w:pPr>
              <w:pStyle w:val="Table"/>
              <w:spacing w:line="276" w:lineRule="auto"/>
              <w:rPr>
                <w:snapToGrid w:val="0"/>
              </w:rPr>
            </w:pPr>
            <w:r>
              <w:rPr>
                <w:snapToGrid w:val="0"/>
              </w:rPr>
              <w:t>830</w:t>
            </w:r>
          </w:p>
        </w:tc>
        <w:tc>
          <w:tcPr>
            <w:tcW w:w="850" w:type="dxa"/>
            <w:vAlign w:val="bottom"/>
          </w:tcPr>
          <w:p w14:paraId="5EF7B223" w14:textId="77777777" w:rsidR="00E92E1E" w:rsidRPr="00D01D4B" w:rsidRDefault="00E92E1E" w:rsidP="00112B48">
            <w:pPr>
              <w:pStyle w:val="Table"/>
              <w:spacing w:line="276" w:lineRule="auto"/>
              <w:rPr>
                <w:snapToGrid w:val="0"/>
              </w:rPr>
            </w:pPr>
            <w:r>
              <w:rPr>
                <w:snapToGrid w:val="0"/>
              </w:rPr>
              <w:t>957,7</w:t>
            </w:r>
          </w:p>
        </w:tc>
        <w:tc>
          <w:tcPr>
            <w:tcW w:w="851" w:type="dxa"/>
            <w:vAlign w:val="bottom"/>
          </w:tcPr>
          <w:p w14:paraId="5F79D80F" w14:textId="4DA03D63" w:rsidR="00E92E1E" w:rsidRPr="00D01D4B" w:rsidRDefault="00E92E1E" w:rsidP="00112B48">
            <w:pPr>
              <w:pStyle w:val="Table"/>
              <w:spacing w:line="276" w:lineRule="auto"/>
              <w:rPr>
                <w:snapToGrid w:val="0"/>
              </w:rPr>
            </w:pPr>
            <w:r>
              <w:rPr>
                <w:snapToGrid w:val="0"/>
              </w:rPr>
              <w:t>7</w:t>
            </w:r>
            <w:r w:rsidR="000A74E1">
              <w:rPr>
                <w:snapToGrid w:val="0"/>
              </w:rPr>
              <w:t>05,5</w:t>
            </w:r>
          </w:p>
        </w:tc>
      </w:tr>
      <w:tr w:rsidR="00E92E1E" w:rsidRPr="00D01D4B" w14:paraId="6D89D1FC" w14:textId="77777777" w:rsidTr="00E92E1E">
        <w:trPr>
          <w:trHeight w:val="200"/>
          <w:jc w:val="center"/>
        </w:trPr>
        <w:tc>
          <w:tcPr>
            <w:tcW w:w="851" w:type="dxa"/>
            <w:vMerge/>
          </w:tcPr>
          <w:p w14:paraId="1372D025" w14:textId="77777777" w:rsidR="00E92E1E" w:rsidRDefault="00E92E1E" w:rsidP="00112B48">
            <w:pPr>
              <w:pStyle w:val="Table"/>
              <w:spacing w:line="276" w:lineRule="auto"/>
              <w:rPr>
                <w:snapToGrid w:val="0"/>
              </w:rPr>
            </w:pPr>
          </w:p>
        </w:tc>
        <w:tc>
          <w:tcPr>
            <w:tcW w:w="1985" w:type="dxa"/>
            <w:vAlign w:val="bottom"/>
          </w:tcPr>
          <w:p w14:paraId="3FF3DAFD" w14:textId="0DE48945" w:rsidR="00E92E1E" w:rsidRPr="00D01D4B" w:rsidRDefault="00E92E1E" w:rsidP="00112B48">
            <w:pPr>
              <w:pStyle w:val="Table"/>
              <w:spacing w:line="276" w:lineRule="auto"/>
              <w:rPr>
                <w:snapToGrid w:val="0"/>
              </w:rPr>
            </w:pPr>
            <w:r>
              <w:rPr>
                <w:snapToGrid w:val="0"/>
              </w:rPr>
              <w:t>Annual requirement</w:t>
            </w:r>
          </w:p>
        </w:tc>
        <w:tc>
          <w:tcPr>
            <w:tcW w:w="842" w:type="dxa"/>
          </w:tcPr>
          <w:p w14:paraId="0924E292" w14:textId="77777777" w:rsidR="00E92E1E" w:rsidRPr="00D01D4B" w:rsidRDefault="00E92E1E" w:rsidP="00112B48">
            <w:pPr>
              <w:pStyle w:val="Table"/>
              <w:spacing w:line="276" w:lineRule="auto"/>
              <w:rPr>
                <w:snapToGrid w:val="0"/>
              </w:rPr>
            </w:pPr>
            <w:r>
              <w:rPr>
                <w:snapToGrid w:val="0"/>
              </w:rPr>
              <w:t>n° (</w:t>
            </w:r>
            <w:proofErr w:type="spellStart"/>
            <w:r>
              <w:rPr>
                <w:snapToGrid w:val="0"/>
              </w:rPr>
              <w:t>mln</w:t>
            </w:r>
            <w:proofErr w:type="spellEnd"/>
            <w:r>
              <w:rPr>
                <w:snapToGrid w:val="0"/>
              </w:rPr>
              <w:t>)</w:t>
            </w:r>
          </w:p>
        </w:tc>
        <w:tc>
          <w:tcPr>
            <w:tcW w:w="859" w:type="dxa"/>
            <w:vAlign w:val="bottom"/>
          </w:tcPr>
          <w:p w14:paraId="6714B987" w14:textId="77777777" w:rsidR="00E92E1E" w:rsidRPr="00D01D4B" w:rsidRDefault="00E92E1E" w:rsidP="00112B48">
            <w:pPr>
              <w:pStyle w:val="Table"/>
              <w:spacing w:line="276" w:lineRule="auto"/>
              <w:rPr>
                <w:snapToGrid w:val="0"/>
              </w:rPr>
            </w:pPr>
            <w:r>
              <w:rPr>
                <w:snapToGrid w:val="0"/>
              </w:rPr>
              <w:t>27.375</w:t>
            </w:r>
          </w:p>
        </w:tc>
        <w:tc>
          <w:tcPr>
            <w:tcW w:w="850" w:type="dxa"/>
            <w:vAlign w:val="bottom"/>
          </w:tcPr>
          <w:p w14:paraId="211E5C9E" w14:textId="0F907E76" w:rsidR="00E92E1E" w:rsidRPr="00D01D4B" w:rsidRDefault="00E92E1E" w:rsidP="00112B48">
            <w:pPr>
              <w:pStyle w:val="Table"/>
              <w:spacing w:line="276" w:lineRule="auto"/>
              <w:rPr>
                <w:snapToGrid w:val="0"/>
              </w:rPr>
            </w:pPr>
            <w:r>
              <w:rPr>
                <w:snapToGrid w:val="0"/>
              </w:rPr>
              <w:t>31.</w:t>
            </w:r>
            <w:r w:rsidR="000A74E1">
              <w:rPr>
                <w:snapToGrid w:val="0"/>
              </w:rPr>
              <w:t>585</w:t>
            </w:r>
            <w:r>
              <w:rPr>
                <w:snapToGrid w:val="0"/>
              </w:rPr>
              <w:t>,</w:t>
            </w:r>
            <w:r w:rsidR="000A74E1">
              <w:rPr>
                <w:snapToGrid w:val="0"/>
              </w:rPr>
              <w:t>3</w:t>
            </w:r>
          </w:p>
        </w:tc>
        <w:tc>
          <w:tcPr>
            <w:tcW w:w="851" w:type="dxa"/>
            <w:vAlign w:val="bottom"/>
          </w:tcPr>
          <w:p w14:paraId="24D3D472" w14:textId="2001AC76" w:rsidR="00E92E1E" w:rsidRPr="00D01D4B" w:rsidRDefault="00E92E1E" w:rsidP="00112B48">
            <w:pPr>
              <w:pStyle w:val="Table"/>
              <w:spacing w:line="276" w:lineRule="auto"/>
              <w:rPr>
                <w:snapToGrid w:val="0"/>
              </w:rPr>
            </w:pPr>
            <w:r>
              <w:rPr>
                <w:snapToGrid w:val="0"/>
              </w:rPr>
              <w:t>2</w:t>
            </w:r>
            <w:r w:rsidR="000A74E1">
              <w:rPr>
                <w:snapToGrid w:val="0"/>
              </w:rPr>
              <w:t>3</w:t>
            </w:r>
            <w:r>
              <w:rPr>
                <w:snapToGrid w:val="0"/>
              </w:rPr>
              <w:t>.</w:t>
            </w:r>
            <w:r w:rsidR="000A74E1">
              <w:rPr>
                <w:snapToGrid w:val="0"/>
              </w:rPr>
              <w:t>267</w:t>
            </w:r>
            <w:r>
              <w:rPr>
                <w:snapToGrid w:val="0"/>
              </w:rPr>
              <w:t>,</w:t>
            </w:r>
            <w:r w:rsidR="000A74E1">
              <w:rPr>
                <w:snapToGrid w:val="0"/>
              </w:rPr>
              <w:t>8</w:t>
            </w:r>
          </w:p>
        </w:tc>
      </w:tr>
      <w:tr w:rsidR="00E92E1E" w:rsidRPr="00D01D4B" w14:paraId="35FA03C1" w14:textId="77777777" w:rsidTr="00E92E1E">
        <w:trPr>
          <w:trHeight w:val="200"/>
          <w:jc w:val="center"/>
        </w:trPr>
        <w:tc>
          <w:tcPr>
            <w:tcW w:w="851" w:type="dxa"/>
            <w:vMerge/>
            <w:tcBorders>
              <w:bottom w:val="single" w:sz="4" w:space="0" w:color="auto"/>
            </w:tcBorders>
          </w:tcPr>
          <w:p w14:paraId="601B6F22" w14:textId="77777777" w:rsidR="00E92E1E" w:rsidRDefault="00E92E1E" w:rsidP="00112B48">
            <w:pPr>
              <w:pStyle w:val="Table"/>
              <w:spacing w:line="276" w:lineRule="auto"/>
              <w:rPr>
                <w:snapToGrid w:val="0"/>
              </w:rPr>
            </w:pPr>
          </w:p>
        </w:tc>
        <w:tc>
          <w:tcPr>
            <w:tcW w:w="1985" w:type="dxa"/>
            <w:tcBorders>
              <w:bottom w:val="single" w:sz="4" w:space="0" w:color="auto"/>
            </w:tcBorders>
            <w:vAlign w:val="bottom"/>
          </w:tcPr>
          <w:p w14:paraId="5B498FB4" w14:textId="36A7D822" w:rsidR="00E92E1E" w:rsidRPr="00D01D4B" w:rsidRDefault="00E92E1E" w:rsidP="00112B48">
            <w:pPr>
              <w:pStyle w:val="Table"/>
              <w:spacing w:line="276" w:lineRule="auto"/>
              <w:rPr>
                <w:snapToGrid w:val="0"/>
              </w:rPr>
            </w:pPr>
            <w:r>
              <w:rPr>
                <w:snapToGrid w:val="0"/>
              </w:rPr>
              <w:t>Annual Waste production</w:t>
            </w:r>
          </w:p>
        </w:tc>
        <w:tc>
          <w:tcPr>
            <w:tcW w:w="842" w:type="dxa"/>
            <w:tcBorders>
              <w:bottom w:val="single" w:sz="4" w:space="0" w:color="auto"/>
            </w:tcBorders>
          </w:tcPr>
          <w:p w14:paraId="301AE09B" w14:textId="77777777" w:rsidR="00E92E1E" w:rsidRPr="00D01D4B" w:rsidRDefault="00E92E1E" w:rsidP="00112B48">
            <w:pPr>
              <w:pStyle w:val="Table"/>
              <w:spacing w:line="276" w:lineRule="auto"/>
              <w:rPr>
                <w:snapToGrid w:val="0"/>
              </w:rPr>
            </w:pPr>
            <w:r>
              <w:rPr>
                <w:snapToGrid w:val="0"/>
              </w:rPr>
              <w:t>t</w:t>
            </w:r>
          </w:p>
        </w:tc>
        <w:tc>
          <w:tcPr>
            <w:tcW w:w="859" w:type="dxa"/>
            <w:tcBorders>
              <w:bottom w:val="single" w:sz="4" w:space="0" w:color="auto"/>
            </w:tcBorders>
            <w:vAlign w:val="bottom"/>
          </w:tcPr>
          <w:p w14:paraId="12276996" w14:textId="77777777" w:rsidR="00E92E1E" w:rsidRPr="00D01D4B" w:rsidRDefault="00E92E1E" w:rsidP="00112B48">
            <w:pPr>
              <w:pStyle w:val="Table"/>
              <w:spacing w:line="276" w:lineRule="auto"/>
              <w:rPr>
                <w:snapToGrid w:val="0"/>
              </w:rPr>
            </w:pPr>
            <w:r>
              <w:rPr>
                <w:snapToGrid w:val="0"/>
              </w:rPr>
              <w:t>302.950</w:t>
            </w:r>
          </w:p>
        </w:tc>
        <w:tc>
          <w:tcPr>
            <w:tcW w:w="850" w:type="dxa"/>
            <w:tcBorders>
              <w:bottom w:val="single" w:sz="4" w:space="0" w:color="auto"/>
            </w:tcBorders>
            <w:vAlign w:val="bottom"/>
          </w:tcPr>
          <w:p w14:paraId="0D0A59B7" w14:textId="77777777" w:rsidR="00E92E1E" w:rsidRPr="00D01D4B" w:rsidRDefault="00E92E1E" w:rsidP="00112B48">
            <w:pPr>
              <w:pStyle w:val="Table"/>
              <w:spacing w:line="276" w:lineRule="auto"/>
              <w:rPr>
                <w:snapToGrid w:val="0"/>
              </w:rPr>
            </w:pPr>
            <w:r>
              <w:rPr>
                <w:snapToGrid w:val="0"/>
              </w:rPr>
              <w:t>349.543,7</w:t>
            </w:r>
          </w:p>
        </w:tc>
        <w:tc>
          <w:tcPr>
            <w:tcW w:w="851" w:type="dxa"/>
            <w:tcBorders>
              <w:bottom w:val="single" w:sz="4" w:space="0" w:color="auto"/>
            </w:tcBorders>
            <w:vAlign w:val="bottom"/>
          </w:tcPr>
          <w:p w14:paraId="61207A20" w14:textId="1E04DCE8" w:rsidR="00E92E1E" w:rsidRPr="00D01D4B" w:rsidRDefault="00E92E1E" w:rsidP="00112B48">
            <w:pPr>
              <w:pStyle w:val="Table"/>
              <w:spacing w:line="276" w:lineRule="auto"/>
              <w:rPr>
                <w:snapToGrid w:val="0"/>
              </w:rPr>
            </w:pPr>
            <w:r>
              <w:rPr>
                <w:snapToGrid w:val="0"/>
              </w:rPr>
              <w:t>2</w:t>
            </w:r>
            <w:r w:rsidR="000A74E1">
              <w:rPr>
                <w:snapToGrid w:val="0"/>
              </w:rPr>
              <w:t>57</w:t>
            </w:r>
            <w:r>
              <w:rPr>
                <w:snapToGrid w:val="0"/>
              </w:rPr>
              <w:t>.</w:t>
            </w:r>
            <w:r w:rsidR="000A74E1">
              <w:rPr>
                <w:snapToGrid w:val="0"/>
              </w:rPr>
              <w:t>497</w:t>
            </w:r>
            <w:r>
              <w:rPr>
                <w:snapToGrid w:val="0"/>
              </w:rPr>
              <w:t>,</w:t>
            </w:r>
            <w:r w:rsidR="000A74E1">
              <w:rPr>
                <w:snapToGrid w:val="0"/>
              </w:rPr>
              <w:t>2</w:t>
            </w:r>
          </w:p>
        </w:tc>
      </w:tr>
    </w:tbl>
    <w:p w14:paraId="067D3030" w14:textId="71D3F866" w:rsidR="00D01D4B" w:rsidRPr="001A60AE" w:rsidRDefault="00D01D4B" w:rsidP="00D01D4B">
      <w:pPr>
        <w:pStyle w:val="TableCaption"/>
        <w:spacing w:after="120" w:line="276" w:lineRule="auto"/>
        <w:ind w:left="1915" w:right="1800"/>
        <w:rPr>
          <w:b/>
          <w:u w:val="single"/>
        </w:rPr>
      </w:pPr>
      <w:r w:rsidRPr="001A60AE">
        <w:t>Sources</w:t>
      </w:r>
      <w:r w:rsidRPr="001A60AE">
        <w:rPr>
          <w:szCs w:val="18"/>
        </w:rPr>
        <w:t xml:space="preserve">: </w:t>
      </w:r>
      <w:r w:rsidR="003F6E61">
        <w:rPr>
          <w:szCs w:val="18"/>
          <w:lang w:val="it-IT"/>
        </w:rPr>
        <w:fldChar w:fldCharType="begin" w:fldLock="1"/>
      </w:r>
      <w:r w:rsidR="009E362E" w:rsidRPr="001A60AE">
        <w:rPr>
          <w:szCs w:val="18"/>
        </w:rPr>
        <w:instrText>ADDIN CSL_CITATION {"citationItems":[{"id":"ITEM-1","itemData":{"author":[{"dropping-particle":"","family":"ISPRA","given":"","non-dropping-particle":"","parse-names":false,"suffix":""}],"id":"ITEM-1","issued":{"date-parts":[["2021"]]},"title":"I rifiuti costituiti da dpi usati","type":"article-journal","volume":"12"},"uris":["http://www.mendeley.com/documents/?uuid=0dd984ab-7812-4134-9f70-639a6bacc9f9"]},{"id":"ITEM-2","itemData":{"author":[{"dropping-particle":"","family":"FCDO","given":"","non-dropping-particle":"","parse-names":false,"suffix":""}],"container-title":"Foreign, Commonwealth and Development Office","id":"ITEM-2","issue":"December","issued":{"date-parts":[["2020"]]},"title":"Covid-19 – PPE demand &amp; supply perspectives","type":"article-journal"},"uris":["http://www.mendeley.com/documents/?uuid=34285b61-f01e-414c-b56a-df5a5554de01"]}],"mendeley":{"formattedCitation":"(FCDO, 2020; ISPRA, 2021)","plainTextFormattedCitation":"(FCDO, 2020; ISPRA, 2021)","previouslyFormattedCitation":"(FCDO, 2020; ISPRA, 2021)"},"properties":{"noteIndex":0},"schema":"https://github.com/citation-style-language/schema/raw/master/csl-citation.json"}</w:instrText>
      </w:r>
      <w:r w:rsidR="003F6E61">
        <w:rPr>
          <w:szCs w:val="18"/>
          <w:lang w:val="it-IT"/>
        </w:rPr>
        <w:fldChar w:fldCharType="separate"/>
      </w:r>
      <w:r w:rsidR="009E362E" w:rsidRPr="001A60AE">
        <w:rPr>
          <w:noProof/>
          <w:szCs w:val="18"/>
        </w:rPr>
        <w:t>(FCDO, 2020; ISPRA, 2021)</w:t>
      </w:r>
      <w:r w:rsidR="003F6E61">
        <w:rPr>
          <w:szCs w:val="18"/>
          <w:lang w:val="it-IT"/>
        </w:rPr>
        <w:fldChar w:fldCharType="end"/>
      </w:r>
    </w:p>
    <w:p w14:paraId="1C5E35D1" w14:textId="27DF1F12" w:rsidR="0004193E" w:rsidRDefault="0004193E" w:rsidP="00A80E4C">
      <w:pPr>
        <w:spacing w:line="276" w:lineRule="auto"/>
        <w:rPr>
          <w:sz w:val="24"/>
          <w:szCs w:val="24"/>
        </w:rPr>
      </w:pPr>
    </w:p>
    <w:p w14:paraId="040B094E" w14:textId="2879A099" w:rsidR="00991A33" w:rsidRPr="000A74E1" w:rsidRDefault="0004193E" w:rsidP="000A74E1">
      <w:pPr>
        <w:spacing w:line="276" w:lineRule="auto"/>
        <w:rPr>
          <w:sz w:val="24"/>
          <w:szCs w:val="24"/>
        </w:rPr>
      </w:pPr>
      <w:r>
        <w:rPr>
          <w:sz w:val="24"/>
          <w:szCs w:val="24"/>
        </w:rPr>
        <w:t>For the abovementioned reasons</w:t>
      </w:r>
      <w:r w:rsidRPr="0004193E">
        <w:rPr>
          <w:sz w:val="24"/>
          <w:szCs w:val="24"/>
        </w:rPr>
        <w:t xml:space="preserve">, recovery and recycling methods </w:t>
      </w:r>
      <w:r>
        <w:rPr>
          <w:sz w:val="24"/>
          <w:szCs w:val="24"/>
        </w:rPr>
        <w:t>for</w:t>
      </w:r>
      <w:r w:rsidRPr="0004193E">
        <w:rPr>
          <w:sz w:val="24"/>
          <w:szCs w:val="24"/>
        </w:rPr>
        <w:t xml:space="preserve"> such PPE must be studied</w:t>
      </w:r>
      <w:r>
        <w:rPr>
          <w:sz w:val="24"/>
          <w:szCs w:val="24"/>
        </w:rPr>
        <w:t xml:space="preserve">. The present study aims to investigate the feasibility and the environmental benefits </w:t>
      </w:r>
      <w:r w:rsidR="000A74E1">
        <w:rPr>
          <w:sz w:val="24"/>
          <w:szCs w:val="24"/>
        </w:rPr>
        <w:t>of an innovative circular scenario:</w:t>
      </w:r>
      <w:r>
        <w:rPr>
          <w:sz w:val="24"/>
          <w:szCs w:val="24"/>
        </w:rPr>
        <w:t xml:space="preserve"> the reuse of mixed PPE waste as reinforcement in bituminous conglomerates.</w:t>
      </w:r>
    </w:p>
    <w:p w14:paraId="600F7597" w14:textId="3562C057" w:rsidR="00060FAC" w:rsidRDefault="000A74E1" w:rsidP="003D12C9">
      <w:pPr>
        <w:pStyle w:val="Titolo1"/>
        <w:numPr>
          <w:ilvl w:val="1"/>
          <w:numId w:val="13"/>
        </w:numPr>
        <w:spacing w:before="0" w:after="0" w:line="276" w:lineRule="auto"/>
        <w:rPr>
          <w:snapToGrid w:val="0"/>
        </w:rPr>
      </w:pPr>
      <w:r>
        <w:rPr>
          <w:snapToGrid w:val="0"/>
        </w:rPr>
        <w:lastRenderedPageBreak/>
        <w:t>Literature r</w:t>
      </w:r>
      <w:r w:rsidR="00060FAC" w:rsidRPr="008C685C">
        <w:rPr>
          <w:snapToGrid w:val="0"/>
        </w:rPr>
        <w:t>eview</w:t>
      </w:r>
    </w:p>
    <w:p w14:paraId="1EAD51E0" w14:textId="3092EC24" w:rsidR="005E53D5" w:rsidRPr="005E53D5" w:rsidRDefault="005E53D5" w:rsidP="005E53D5">
      <w:pPr>
        <w:spacing w:line="276" w:lineRule="auto"/>
        <w:rPr>
          <w:sz w:val="24"/>
          <w:szCs w:val="24"/>
        </w:rPr>
      </w:pPr>
      <w:r w:rsidRPr="005E53D5">
        <w:rPr>
          <w:sz w:val="24"/>
          <w:szCs w:val="24"/>
        </w:rPr>
        <w:t>Several scientific literature studies investigated the use of plastics in asphalt mixtures</w:t>
      </w:r>
      <w:r w:rsidR="00F216B4">
        <w:rPr>
          <w:sz w:val="24"/>
          <w:szCs w:val="24"/>
        </w:rPr>
        <w:t xml:space="preserve"> </w:t>
      </w:r>
      <w:r w:rsidR="00F216B4">
        <w:rPr>
          <w:sz w:val="24"/>
          <w:szCs w:val="24"/>
        </w:rPr>
        <w:fldChar w:fldCharType="begin" w:fldLock="1"/>
      </w:r>
      <w:r w:rsidR="002E3AAB">
        <w:rPr>
          <w:sz w:val="24"/>
          <w:szCs w:val="24"/>
        </w:rPr>
        <w:instrText>ADDIN CSL_CITATION {"citationItems":[{"id":"ITEM-1","itemData":{"DOI":"10.1016/j.conbuildmat.2020.120199","ISSN":"09500618","abstract":"The inclusion of an artificial aggregate manufactured using plastic waste to develop a light-weight concrete was studied. Five separate mixes were designed, progressively increasing the amount of artificial aggregate and measuring the fresh and hardened concrete properties, and it was found that the slump and density of the concrete decreased as the amount of artificial aggregate in the concrete increased. Both the compressive and the tensile Then the mix that was most suitable to the requirements of the study in terms of density and compressive strength was chosen for further investigation in stage two. Fifteen percent of the natural aggregate by weight was replaced in this optimal mix, which equals more than thirty-seven percent of the volume given the lower density of the manufactured aggregate compared to natural aggregate. A larger number of specimens and more detailed testing was undertaken for stage two when compared to stage one, including establishing the compressive stress–strain relationship and the modulus of elasticity of the newly developed concrete mix. The results indicated that plastic aggregates manufactured following shredding, palletisation and extrusion processes can be used to obtain a lightweight concrete (1800 kg/m3) while having relatively good compressive strength properties (20 MPa at 28 days). These results were higher than other results previously reported in the literature on the replacement of coarse aggregate with plastic, but were marginally lower than results reported in the literature for studies where fine aggregate was replaced with plastic. It was concluded that the concrete mix reported herein can be used for a wide spectrum of applications such as non-structural facades and sound barriers for highways. Further research is required to investigate the durability of concrete with the artificial aggregate included in the mix, especially if the product is to be subjected to wear and tear such as in driveways or warehouse slabs.","author":[{"dropping-particle":"","family":"Rey Castillo","given":"Enrique","non-dropping-particle":"del","parse-names":false,"suffix":""},{"dropping-particle":"","family":"Almesfer","given":"Nasser","non-dropping-particle":"","parse-names":false,"suffix":""},{"dropping-particle":"","family":"Saggi","given":"Opinder","non-dropping-particle":"","parse-names":false,"suffix":""},{"dropping-particle":"","family":"Ingham","given":"Jason M.","non-dropping-particle":"","parse-names":false,"suffix":""}],"container-title":"Construction and Building Materials","id":"ITEM-1","issued":{"date-parts":[["2020"]]},"title":"Light-weight concrete with artificial aggregate manufactured from plastic waste","type":"article-journal","volume":"265"},"uris":["http://www.mendeley.com/documents/?uuid=1ce88832-ac2d-313f-82b9-ecfa03eff2cb"]},{"id":"ITEM-2","itemData":{"DOI":"10.1016/j.cscm.2020.e00411","ISSN":"22145095","abstract":"Scarce resources in a developing country like India calls for the optimal use of the road infrastructure using scientific pavement management tools. In the process of finding ways for modifying the traditional methods of making bituminous roads, the use of waste plastic as a substitute to a certain percentage of bitumen is a promising alternative. Gradual deterioration of road infrastructure is a major concern. A vast amount of condition assessment data must be collected to identify the major defects and their causes, to plan for an optimum maintenance alternative. This study evaluates the deterioration rates of waste plastic modified bituminous roads (also called plastic roads) as compared to normal bituminous roads in the metro city of Pune, India. Measurement of deterioration is done with field tests and distress surveys. Ranking of distress parameters was done using Analytic Hierarchy Process (AHP) where the relative importance (on Saaty's scale) assigned to each parameter in the hierarchy was given by the experts (transportation professionals). AHP was implemented using the MATLAB package. The study reveals that the deterioration rate for plastic roads is slower as compared to conventional bituminous roads.","author":[{"dropping-particle":"","family":"Biswas","given":"Arjita","non-dropping-particle":"","parse-names":false,"suffix":""},{"dropping-particle":"","family":"Goel","given":"Amit","non-dropping-particle":"","parse-names":false,"suffix":""},{"dropping-particle":"","family":"Potnis","given":"Sandeep","non-dropping-particle":"","parse-names":false,"suffix":""}],"container-title":"Case Studies in Construction Materials","id":"ITEM-2","issued":{"date-parts":[["2020"]]},"title":"Performance comparison of waste plastic modified versus conventional bituminous roads in Pune city: A case study","type":"article-journal","volume":"13"},"uris":["http://www.mendeley.com/documents/?uuid=ebcdfb9b-bc27-3be9-b4fa-a3b1226b354c"]},{"id":"ITEM-3","itemData":{"DOI":"10.1016/j.cscm.2016.11.001","ISSN":"22145095","abstract":"This paper forms part of research to solve two main problems in Ghana: firstly, the management of municipal solid waste (MSW), particularly with regards to used plastics which have overwhelmed major cities and towns; secondly, the formation of potholes onroads due to excessive traffic and axle weight. This study examines the effect of blending waste thermoplastic polymers, namely High density polyethylene (HDPE) and Polypropylene (PP) in Conventional AC-20 graded bitumen, at various plastic compositions. The plastics were shredded and blended with the bitumen ‘in-situ’, with a shear mixer at a temperature range of 160 °C–170 °C. Basic rheological parameters such as penetration, ring &amp; ball softening point and viscosity tests were employed to determine the resulting changes from base bitumen.FTIR spectroscopy was also employed to study the chemical functionalities present in the bitumen composite. The properties of the unmodified bitumen were found to be enhanced with the changes recorded in the rheological properties of the polymer modified bitumen (PMB). It was observed that polypropylene polymer, showed profound effect on homogeneity and compatibility with slight linear increment in the viscosity, softening and penetration values as against relatively high changes for HDPE modified bitumen.The viscosity of unmodified bitumen was enhanced with the addition of the polymers and thixotropic effect was observed for both HDPE and PP at 60 °C. For all modified binders prepared, the penetration values decrease as polymer-bitumen ratio increases whiles softening temperature generally increases as polymer ratio increases. The most compatible and incompatible blends for HDPE were respectively observed at 2% and 3% polymer loading. The most enhanced, homogenous blend is achieved with PP at 3% polymer loading. Three prominent peaks were identified in the spectrum of the unmodified bitumen, occurring at the 3000–2850 cm−1 IR frequency range, typical of aliphatic [sbnd]C[sbnd]H symmetrical and asymmetrical stretches in alkanes. CH2 and CH3 bends were also observed at the characteristic frequencies of 1465 cm−1 and 1375 cm−1 respectively. A low intensity peak was observed within the 2400 cm−1–2100 cm−1 range, indicating the presence of a very weak −C[tbnd]C- or −C[tbnd]N group with an absorbance of precisely 0.12.The use of waste commodity plastics in binder modification carries the advantage of a cheap and effective means of enhancing conventional bitumen binder per…","author":[{"dropping-particle":"","family":"Appiah","given":"Johnson Kwabena","non-dropping-particle":"","parse-names":false,"suffix":""},{"dropping-particle":"","family":"Berko-Boateng","given":"Victor Nana","non-dropping-particle":"","parse-names":false,"suffix":""},{"dropping-particle":"","family":"Tagbor","given":"Trinity Ama","non-dropping-particle":"","parse-names":false,"suffix":""}],"container-title":"Case Studies in Construction Materials","id":"ITEM-3","issued":{"date-parts":[["2017"]]},"title":"Use of waste plastic materials for road construction in Ghana","type":"article-journal","volume":"6"},"uris":["http://www.mendeley.com/documents/?uuid=e1f4f738-6bc3-3a10-ba3b-eaa9839a104c"]}],"mendeley":{"formattedCitation":"(Appiah et al., 2017; Biswas et al., 2020; del Rey Castillo et al., 2020)","plainTextFormattedCitation":"(Appiah et al., 2017; Biswas et al., 2020; del Rey Castillo et al., 2020)","previouslyFormattedCitation":"(Appiah et al., 2017; Biswas et al., 2020; del Rey Castillo et al., 2020)"},"properties":{"noteIndex":0},"schema":"https://github.com/citation-style-language/schema/raw/master/csl-citation.json"}</w:instrText>
      </w:r>
      <w:r w:rsidR="00F216B4">
        <w:rPr>
          <w:sz w:val="24"/>
          <w:szCs w:val="24"/>
        </w:rPr>
        <w:fldChar w:fldCharType="separate"/>
      </w:r>
      <w:r w:rsidR="002E3AAB" w:rsidRPr="002E3AAB">
        <w:rPr>
          <w:noProof/>
          <w:sz w:val="24"/>
          <w:szCs w:val="24"/>
          <w:lang w:val="it-IT"/>
        </w:rPr>
        <w:t>(Appiah et al., 2017; Biswas et al., 2020; del Rey Castillo et al., 2020)</w:t>
      </w:r>
      <w:r w:rsidR="00F216B4">
        <w:rPr>
          <w:sz w:val="24"/>
          <w:szCs w:val="24"/>
        </w:rPr>
        <w:fldChar w:fldCharType="end"/>
      </w:r>
      <w:r w:rsidRPr="002E3AAB">
        <w:rPr>
          <w:sz w:val="24"/>
          <w:szCs w:val="24"/>
          <w:lang w:val="it-IT"/>
        </w:rPr>
        <w:t xml:space="preserve">. </w:t>
      </w:r>
      <w:r w:rsidRPr="005E53D5">
        <w:rPr>
          <w:sz w:val="24"/>
          <w:szCs w:val="24"/>
        </w:rPr>
        <w:t xml:space="preserve">An interesting study evaluated </w:t>
      </w:r>
      <w:r w:rsidR="00BE247B">
        <w:rPr>
          <w:sz w:val="24"/>
          <w:szCs w:val="24"/>
        </w:rPr>
        <w:t>at</w:t>
      </w:r>
      <w:r w:rsidRPr="005E53D5">
        <w:rPr>
          <w:sz w:val="24"/>
          <w:szCs w:val="24"/>
        </w:rPr>
        <w:t xml:space="preserve"> laboratory</w:t>
      </w:r>
      <w:r w:rsidR="00BE247B">
        <w:rPr>
          <w:sz w:val="24"/>
          <w:szCs w:val="24"/>
        </w:rPr>
        <w:t xml:space="preserve"> scale</w:t>
      </w:r>
      <w:r w:rsidRPr="005E53D5">
        <w:rPr>
          <w:sz w:val="24"/>
          <w:szCs w:val="24"/>
        </w:rPr>
        <w:t xml:space="preserve"> the use of three commercially available recycled plastic products in the same asphalt mixture for the purpose of extending and modifying the binder. The results confirmed that the recycled plastic improved deformation and fracture resistance, had minor effects on moisture resistance and increased the structural contribution of asphalt to pavement </w:t>
      </w:r>
      <w:r w:rsidR="00F216B4">
        <w:rPr>
          <w:sz w:val="24"/>
          <w:szCs w:val="24"/>
        </w:rPr>
        <w:fldChar w:fldCharType="begin" w:fldLock="1"/>
      </w:r>
      <w:r w:rsidR="00F216B4">
        <w:rPr>
          <w:sz w:val="24"/>
          <w:szCs w:val="24"/>
        </w:rPr>
        <w:instrText>ADDIN CSL_CITATION {"citationItems":[{"id":"ITEM-1","itemData":{"DOI":"10.1201/9781351063265-1","ISBN":"9781138480285","abstract":"Two waste plastic products for asphalt binder modification and extension, known as MR 6 and MR 10, were added to penetration-grade bitumen in the laboratory. The samples were tested for the index properties contained in the British modified binder specification, as well as high temperature Performance Grading. The investigation included 50/70 and 100/150 penetration grade bitumen with 4-8% (by mass) waste plastic content, tested at 52-82°C. Waste plastic modification significantly improved the high temperature Performance Grading. The harder 50/70 penetration grade bitumen produced a harder modified binder and the difference between 4% and 6% waste plastic content was significantly greater than the difference between 6% and 8%. The MR 6 modified binder was more elastomeric and had greater resistance to deformation than MR 10. Further research is recommended to compare the properties of wet blended and dry mixed production methods.","author":[{"dropping-particle":"","family":"White","given":"Greg","non-dropping-particle":"","parse-names":false,"suffix":""},{"dropping-particle":"","family":"Reid","given":"Gordon","non-dropping-particle":"","parse-names":false,"suffix":""}],"container-title":"Bituminous Mixtures and Pavements VII- Proceedings of the 7th International Conference on Bituminous Mixtures and Pavements, ICONFBMP 2019","id":"ITEM-1","issue":"April","issued":{"date-parts":[["2019"]]},"page":"3-12","title":"Recycled waste plastic modification of bituminous binder","type":"article-journal"},"uris":["http://www.mendeley.com/documents/?uuid=6f73d172-9f45-413e-ae63-bdc21b9bb458"]}],"mendeley":{"formattedCitation":"(White &amp; Reid, 2019)","plainTextFormattedCitation":"(White &amp; Reid, 2019)","previouslyFormattedCitation":"(White &amp; Reid, 2019)"},"properties":{"noteIndex":0},"schema":"https://github.com/citation-style-language/schema/raw/master/csl-citation.json"}</w:instrText>
      </w:r>
      <w:r w:rsidR="00F216B4">
        <w:rPr>
          <w:sz w:val="24"/>
          <w:szCs w:val="24"/>
        </w:rPr>
        <w:fldChar w:fldCharType="separate"/>
      </w:r>
      <w:r w:rsidR="00F216B4" w:rsidRPr="00F216B4">
        <w:rPr>
          <w:noProof/>
          <w:sz w:val="24"/>
          <w:szCs w:val="24"/>
        </w:rPr>
        <w:t>(White &amp; Reid, 2019)</w:t>
      </w:r>
      <w:r w:rsidR="00F216B4">
        <w:rPr>
          <w:sz w:val="24"/>
          <w:szCs w:val="24"/>
        </w:rPr>
        <w:fldChar w:fldCharType="end"/>
      </w:r>
      <w:r w:rsidRPr="005E53D5">
        <w:rPr>
          <w:sz w:val="24"/>
          <w:szCs w:val="24"/>
        </w:rPr>
        <w:t xml:space="preserve">. In addition, the use of textile fibers deriving from the disposal of end-of-life tires </w:t>
      </w:r>
      <w:r w:rsidR="006F2D6A" w:rsidRPr="005E53D5">
        <w:rPr>
          <w:sz w:val="24"/>
          <w:szCs w:val="24"/>
        </w:rPr>
        <w:t>to produce</w:t>
      </w:r>
      <w:r w:rsidRPr="005E53D5">
        <w:rPr>
          <w:sz w:val="24"/>
          <w:szCs w:val="24"/>
        </w:rPr>
        <w:t xml:space="preserve"> reinforced asphalt was tested. The application has shown increases asphalt drainage, leading to a significant increase in fatigue resistance</w:t>
      </w:r>
      <w:r w:rsidR="00EA7DCC">
        <w:rPr>
          <w:sz w:val="24"/>
          <w:szCs w:val="24"/>
        </w:rPr>
        <w:t xml:space="preserve"> </w:t>
      </w:r>
      <w:r w:rsidR="00EA7DCC">
        <w:rPr>
          <w:sz w:val="24"/>
          <w:szCs w:val="24"/>
        </w:rPr>
        <w:fldChar w:fldCharType="begin" w:fldLock="1"/>
      </w:r>
      <w:r w:rsidR="00F552C6">
        <w:rPr>
          <w:sz w:val="24"/>
          <w:szCs w:val="24"/>
        </w:rPr>
        <w:instrText>ADDIN CSL_CITATION {"citationItems":[{"id":"ITEM-1","itemData":{"author":[{"dropping-particle":"","family":"Landi","given":"Daniele","non-dropping-particle":"","parse-names":false,"suffix":""},{"dropping-particle":"","family":"Marconi","given":"Marco","non-dropping-particle":"","parse-names":false,"suffix":""},{"dropping-particle":"","family":"Bocci","given":"Edoardo","non-dropping-particle":"","parse-names":false,"suffix":""},{"dropping-particle":"","family":"Michele","given":"Germani","non-dropping-particle":"","parse-names":false,"suffix":""}],"container-title":"Journal of Cleaner Production 248","id":"ITEM-1","issued":{"date-parts":[["2020"]]},"title":"Comparative life cycle assessment of standard, cellulose-reinforced and end of life tires fiber-reinforced hot mix asphalt mixtures","type":"article-journal"},"uris":["http://www.mendeley.com/documents/?uuid=bde59492-5770-44a0-a5c4-52e9163b5647"]},{"id":"ITEM-2","itemData":{"DOI":"10.1016/j.wasman.2018.02.018","ISSN":"18792456","abstract":"The management of end-of-life tyres (ELTs) is regulated by several national and international legislations aiming to promote the recovery of materials and energy from this waste. The three main materials used in tyres are considered: rubber (main product), which is currently reused in other closed-loop applications; steel, which is used for the production of virgin materials; and textile fibres (approximately 10% by weight of ELTs), which are mainly incinerated for energy recovery (open-loop scenario). This study aims to propose and validate a new closed-loop scenario for textile fibres based on material reuse for bituminous conglomerates. The final objective is to verify the technical, environmental, financial, and economic feasibility of the proposed treatment process and reuse scenario. After characterization of the textile material, which is required to determine the technological feasibility, a specific process has been developed to clean, compact, and prepare the fibres for subsequent reuse. A life cycle assessment (LCA) has been carried out to quantify the environmental benefits of reusing the fibres. Finally, a cost benefit analysis based on the LCA results was conducted to establish the long-term financial and economic sustainability. From a technological point of view, the tyre textile fibres could be a promising substitute to the reinforcement cellulose commonly used in asphalts as long as the fibres are properly prepared (compaction and pellet production) for application in the standard bituminous conglomerate production process. From an environmental point of view, relevant benefits in terms of global warming potential and acidification potential reduction were observed in comparison with the standard incineration for energy recovery (respectively −86% and −45%). Moreover, the proposed scenario can be considered as financially viable in the medium to long term (cumulative generated cash flow is positive after the 5th year) and economically sustainable (expected net present value of more than €3,000,000 and economic rate of return of approximately 30%). Finally, the sensitivity and risk analyses show that no specific issues are foreseen for the future implementation in real industrial applications.","author":[{"dropping-particle":"","family":"Landi","given":"Daniele","non-dropping-particle":"","parse-names":false,"suffix":""},{"dropping-particle":"","family":"Gigli","given":"Silvia","non-dropping-particle":"","parse-names":false,"suffix":""},{"dropping-particle":"","family":"Germani","given":"Michele","non-dropping-particle":"","parse-names":false,"suffix":""},{"dropping-particle":"","family":"Marconi","given":"Marco","non-dropping-particle":"","parse-names":false,"suffix":""}],"container-title":"Waste Management","id":"ITEM-2","issued":{"date-parts":[["2018"]]},"title":"Investigating the feasibility of a reuse scenario for textile fibres recovered from end-of-life tyres","type":"article-journal","volume":"75"},"uris":["http://www.mendeley.com/documents/?uuid=13e429d1-5168-3154-b383-fffd7f7ba174"]}],"mendeley":{"formattedCitation":"(Landi et al., 2018a, 2020)","plainTextFormattedCitation":"(Landi et al., 2018a, 2020)","previouslyFormattedCitation":"(Landi et al., 2018a, 2020)"},"properties":{"noteIndex":0},"schema":"https://github.com/citation-style-language/schema/raw/master/csl-citation.json"}</w:instrText>
      </w:r>
      <w:r w:rsidR="00EA7DCC">
        <w:rPr>
          <w:sz w:val="24"/>
          <w:szCs w:val="24"/>
        </w:rPr>
        <w:fldChar w:fldCharType="separate"/>
      </w:r>
      <w:r w:rsidR="00F552C6" w:rsidRPr="00F552C6">
        <w:rPr>
          <w:noProof/>
          <w:sz w:val="24"/>
          <w:szCs w:val="24"/>
        </w:rPr>
        <w:t>(Landi et al., 2018a, 2020)</w:t>
      </w:r>
      <w:r w:rsidR="00EA7DCC">
        <w:rPr>
          <w:sz w:val="24"/>
          <w:szCs w:val="24"/>
        </w:rPr>
        <w:fldChar w:fldCharType="end"/>
      </w:r>
      <w:r w:rsidRPr="005E53D5">
        <w:rPr>
          <w:sz w:val="24"/>
          <w:szCs w:val="24"/>
        </w:rPr>
        <w:t>.</w:t>
      </w:r>
    </w:p>
    <w:p w14:paraId="54267C28" w14:textId="3829892A" w:rsidR="005E53D5" w:rsidRPr="005E53D5" w:rsidRDefault="005E53D5" w:rsidP="005E53D5">
      <w:pPr>
        <w:spacing w:line="276" w:lineRule="auto"/>
        <w:rPr>
          <w:sz w:val="24"/>
          <w:szCs w:val="24"/>
        </w:rPr>
      </w:pPr>
      <w:r w:rsidRPr="005E53D5">
        <w:rPr>
          <w:sz w:val="24"/>
          <w:szCs w:val="24"/>
        </w:rPr>
        <w:t>Closely related to the</w:t>
      </w:r>
      <w:r w:rsidR="00BE247B">
        <w:rPr>
          <w:sz w:val="24"/>
          <w:szCs w:val="24"/>
        </w:rPr>
        <w:t xml:space="preserve"> present</w:t>
      </w:r>
      <w:r w:rsidRPr="005E53D5">
        <w:rPr>
          <w:sz w:val="24"/>
          <w:szCs w:val="24"/>
        </w:rPr>
        <w:t xml:space="preserve"> study</w:t>
      </w:r>
      <w:r w:rsidR="00BE247B">
        <w:rPr>
          <w:sz w:val="24"/>
          <w:szCs w:val="24"/>
        </w:rPr>
        <w:t xml:space="preserve"> </w:t>
      </w:r>
      <w:r w:rsidRPr="005E53D5">
        <w:rPr>
          <w:sz w:val="24"/>
          <w:szCs w:val="24"/>
        </w:rPr>
        <w:t xml:space="preserve">is </w:t>
      </w:r>
      <w:r w:rsidR="00BE247B">
        <w:rPr>
          <w:sz w:val="24"/>
          <w:szCs w:val="24"/>
        </w:rPr>
        <w:t>a</w:t>
      </w:r>
      <w:r w:rsidRPr="005E53D5">
        <w:rPr>
          <w:sz w:val="24"/>
          <w:szCs w:val="24"/>
        </w:rPr>
        <w:t xml:space="preserve"> recent experimentation </w:t>
      </w:r>
      <w:r w:rsidR="00BE247B">
        <w:rPr>
          <w:sz w:val="24"/>
          <w:szCs w:val="24"/>
        </w:rPr>
        <w:t>about the introduction of</w:t>
      </w:r>
      <w:r w:rsidRPr="005E53D5">
        <w:rPr>
          <w:sz w:val="24"/>
          <w:szCs w:val="24"/>
        </w:rPr>
        <w:t xml:space="preserve"> shredded face mask</w:t>
      </w:r>
      <w:r w:rsidR="00BE247B">
        <w:rPr>
          <w:sz w:val="24"/>
          <w:szCs w:val="24"/>
        </w:rPr>
        <w:t>s</w:t>
      </w:r>
      <w:r w:rsidRPr="005E53D5">
        <w:rPr>
          <w:sz w:val="24"/>
          <w:szCs w:val="24"/>
        </w:rPr>
        <w:t xml:space="preserve"> (SFM) in a recycled concrete aggregate (RCA) for base/sub-base flooring applications</w:t>
      </w:r>
      <w:r w:rsidR="00EA7DCC">
        <w:rPr>
          <w:sz w:val="24"/>
          <w:szCs w:val="24"/>
        </w:rPr>
        <w:t xml:space="preserve"> </w:t>
      </w:r>
      <w:r w:rsidR="00EA7DCC">
        <w:rPr>
          <w:sz w:val="24"/>
          <w:szCs w:val="24"/>
        </w:rPr>
        <w:fldChar w:fldCharType="begin" w:fldLock="1"/>
      </w:r>
      <w:r w:rsidR="00982D0A">
        <w:rPr>
          <w:sz w:val="24"/>
          <w:szCs w:val="24"/>
        </w:rPr>
        <w:instrText>ADDIN CSL_CITATION {"citationItems":[{"id":"ITEM-1","itemData":{"DOI":"10.1016/j.scitotenv.2021.145527","ISSN":"18791026","PMID":"33736252","abstract":"The coronavirus (COVID-19) pandemic has not only created a global health crisis, but it is also now threatening the environment. A multidisciplinary collaborative approach is required to fight against the pandemic and reduce the environmental risks associated with the disposal of used personal protective equipment (PPE). This paper explores an innovative way to reduce pandemic-generated waste by recycling the used face masks with other waste materials in civil constructions. In this research, for the first time, a series of experiments, including modified compaction, unconfined compression strength and resilient modulus tests, were conducted on the blends of different percentages of the shredded face mask (SFM) added to the recycled concrete aggregate (RCA) for road base and subbase applications. The experimental results show that RCA mixed with three different percentages (i.e., 1%, 2% and 3%) of SFM satisfied the stiffness and strength requirements for pavements base/subbase. The introduction of the shredded face mask not only increased the strength and stiffness but also improved the ductility and flexibility of RCA/SFM blends. The inclusion of 1% SFM to RCA resulted in the highest values of unconfined compressive strength (216 kPa) and the highest resilient modulus (314.35 MP). However, beyond 2%, increasing the amount of SFM led to a decrease in strength and stiffness.","author":[{"dropping-particle":"","family":"Saberian","given":"Mohammad","non-dropping-particle":"","parse-names":false,"suffix":""},{"dropping-particle":"","family":"Li","given":"Jie","non-dropping-particle":"","parse-names":false,"suffix":""},{"dropping-particle":"","family":"Kilmartin-Lynch","given":"Shannon","non-dropping-particle":"","parse-names":false,"suffix":""},{"dropping-particle":"","family":"Boroujeni","given":"Mahdi","non-dropping-particle":"","parse-names":false,"suffix":""}],"container-title":"Science of the Total Environment","id":"ITEM-1","issued":{"date-parts":[["2021"]]},"page":"145527","publisher":"Elsevier B.V.","title":"Repurposing of COVID-19 single-use face masks for pavements base/subbase","type":"article-journal","volume":"769"},"uris":["http://www.mendeley.com/documents/?uuid=0854c6c7-f2bc-42aa-b04f-342f00d3fbbf"]}],"mendeley":{"formattedCitation":"(Saberian et al., 2021)","plainTextFormattedCitation":"(Saberian et al., 2021)","previouslyFormattedCitation":"(Saberian et al., 2021)"},"properties":{"noteIndex":0},"schema":"https://github.com/citation-style-language/schema/raw/master/csl-citation.json"}</w:instrText>
      </w:r>
      <w:r w:rsidR="00EA7DCC">
        <w:rPr>
          <w:sz w:val="24"/>
          <w:szCs w:val="24"/>
        </w:rPr>
        <w:fldChar w:fldCharType="separate"/>
      </w:r>
      <w:r w:rsidR="00EA7DCC" w:rsidRPr="00EA7DCC">
        <w:rPr>
          <w:noProof/>
          <w:sz w:val="24"/>
          <w:szCs w:val="24"/>
        </w:rPr>
        <w:t>(Saberian et al., 2021)</w:t>
      </w:r>
      <w:r w:rsidR="00EA7DCC">
        <w:rPr>
          <w:sz w:val="24"/>
          <w:szCs w:val="24"/>
        </w:rPr>
        <w:fldChar w:fldCharType="end"/>
      </w:r>
      <w:r w:rsidRPr="005E53D5">
        <w:rPr>
          <w:sz w:val="24"/>
          <w:szCs w:val="24"/>
        </w:rPr>
        <w:t xml:space="preserve">. In the experimental program, shredded surgical masks </w:t>
      </w:r>
      <w:r w:rsidR="00C073F1">
        <w:rPr>
          <w:sz w:val="24"/>
          <w:szCs w:val="24"/>
        </w:rPr>
        <w:t xml:space="preserve">(without </w:t>
      </w:r>
      <w:r w:rsidR="00C073F1" w:rsidRPr="005E53D5">
        <w:rPr>
          <w:sz w:val="24"/>
          <w:szCs w:val="24"/>
        </w:rPr>
        <w:t>nose pads and ear loops</w:t>
      </w:r>
      <w:r w:rsidR="00C073F1">
        <w:rPr>
          <w:sz w:val="24"/>
          <w:szCs w:val="24"/>
        </w:rPr>
        <w:t xml:space="preserve">) </w:t>
      </w:r>
      <w:r w:rsidRPr="005E53D5">
        <w:rPr>
          <w:sz w:val="24"/>
          <w:szCs w:val="24"/>
        </w:rPr>
        <w:t xml:space="preserve">to the size of 0.5 cm in width and 2 cm in length were used. </w:t>
      </w:r>
      <w:r w:rsidR="00C073F1">
        <w:rPr>
          <w:sz w:val="24"/>
          <w:szCs w:val="24"/>
        </w:rPr>
        <w:t>T</w:t>
      </w:r>
      <w:r w:rsidRPr="005E53D5">
        <w:rPr>
          <w:sz w:val="24"/>
          <w:szCs w:val="24"/>
        </w:rPr>
        <w:t>he chopped templates were mixed with 1%, 2% and 3% (</w:t>
      </w:r>
      <w:proofErr w:type="spellStart"/>
      <w:r w:rsidRPr="005E53D5">
        <w:rPr>
          <w:sz w:val="24"/>
          <w:szCs w:val="24"/>
        </w:rPr>
        <w:t>wt</w:t>
      </w:r>
      <w:proofErr w:type="spellEnd"/>
      <w:r w:rsidRPr="005E53D5">
        <w:rPr>
          <w:sz w:val="24"/>
          <w:szCs w:val="24"/>
        </w:rPr>
        <w:t>%) dry RCA</w:t>
      </w:r>
      <w:r w:rsidR="00C073F1">
        <w:rPr>
          <w:sz w:val="24"/>
          <w:szCs w:val="24"/>
        </w:rPr>
        <w:t>, with an observed</w:t>
      </w:r>
      <w:r w:rsidRPr="005E53D5">
        <w:rPr>
          <w:sz w:val="24"/>
          <w:szCs w:val="24"/>
        </w:rPr>
        <w:t xml:space="preserve"> increase </w:t>
      </w:r>
      <w:r w:rsidR="00C073F1">
        <w:rPr>
          <w:sz w:val="24"/>
          <w:szCs w:val="24"/>
        </w:rPr>
        <w:t xml:space="preserve">in </w:t>
      </w:r>
      <w:r w:rsidRPr="005E53D5">
        <w:rPr>
          <w:sz w:val="24"/>
          <w:szCs w:val="24"/>
        </w:rPr>
        <w:t>strength and stiffness, but also improve</w:t>
      </w:r>
      <w:r w:rsidR="00C073F1">
        <w:rPr>
          <w:sz w:val="24"/>
          <w:szCs w:val="24"/>
        </w:rPr>
        <w:t>ments in terms of</w:t>
      </w:r>
      <w:r w:rsidRPr="005E53D5">
        <w:rPr>
          <w:sz w:val="24"/>
          <w:szCs w:val="24"/>
        </w:rPr>
        <w:t xml:space="preserve"> the suppleness and flexibility of the RCA/SFM blends. </w:t>
      </w:r>
    </w:p>
    <w:p w14:paraId="394EA082" w14:textId="082D6B05" w:rsidR="00916DFA" w:rsidRDefault="005E53D5" w:rsidP="005E53D5">
      <w:pPr>
        <w:spacing w:line="276" w:lineRule="auto"/>
        <w:rPr>
          <w:sz w:val="24"/>
          <w:szCs w:val="24"/>
        </w:rPr>
      </w:pPr>
      <w:r w:rsidRPr="005E53D5">
        <w:rPr>
          <w:sz w:val="24"/>
          <w:szCs w:val="24"/>
        </w:rPr>
        <w:t xml:space="preserve">The scenario of the </w:t>
      </w:r>
      <w:r w:rsidR="00C073F1">
        <w:rPr>
          <w:sz w:val="24"/>
          <w:szCs w:val="24"/>
        </w:rPr>
        <w:t xml:space="preserve">present </w:t>
      </w:r>
      <w:r w:rsidRPr="005E53D5">
        <w:rPr>
          <w:sz w:val="24"/>
          <w:szCs w:val="24"/>
        </w:rPr>
        <w:t xml:space="preserve">study is configured as original since the use of PPE as reinforcement in bituminous conglomerates has never been investigated in previous research or development experiences, </w:t>
      </w:r>
      <w:r w:rsidR="002D0AC0">
        <w:rPr>
          <w:sz w:val="24"/>
          <w:szCs w:val="24"/>
        </w:rPr>
        <w:t>as also confirmed by a patent search in the Orbit database. A</w:t>
      </w:r>
      <w:r w:rsidRPr="005E53D5">
        <w:rPr>
          <w:sz w:val="24"/>
          <w:szCs w:val="24"/>
        </w:rPr>
        <w:t xml:space="preserve">t the same time </w:t>
      </w:r>
      <w:r w:rsidR="002D0AC0">
        <w:rPr>
          <w:sz w:val="24"/>
          <w:szCs w:val="24"/>
        </w:rPr>
        <w:t xml:space="preserve">the </w:t>
      </w:r>
      <w:r w:rsidR="00740292">
        <w:rPr>
          <w:sz w:val="24"/>
          <w:szCs w:val="24"/>
        </w:rPr>
        <w:t>scenario</w:t>
      </w:r>
      <w:r w:rsidR="002D0AC0">
        <w:rPr>
          <w:sz w:val="24"/>
          <w:szCs w:val="24"/>
        </w:rPr>
        <w:t xml:space="preserve"> </w:t>
      </w:r>
      <w:r w:rsidR="00C073F1">
        <w:rPr>
          <w:sz w:val="24"/>
          <w:szCs w:val="24"/>
        </w:rPr>
        <w:t xml:space="preserve">seems </w:t>
      </w:r>
      <w:r w:rsidRPr="005E53D5">
        <w:rPr>
          <w:sz w:val="24"/>
          <w:szCs w:val="24"/>
        </w:rPr>
        <w:t>feasible because it is based on very widespread ideas such as the use of reinforcements in construction materials.</w:t>
      </w:r>
    </w:p>
    <w:p w14:paraId="547DEA3D" w14:textId="77777777" w:rsidR="002D0AC0" w:rsidRPr="00683A18" w:rsidRDefault="002D0AC0" w:rsidP="005E53D5">
      <w:pPr>
        <w:spacing w:line="276" w:lineRule="auto"/>
        <w:rPr>
          <w:sz w:val="24"/>
          <w:szCs w:val="24"/>
        </w:rPr>
      </w:pPr>
    </w:p>
    <w:p w14:paraId="4C1F0655" w14:textId="631827A0" w:rsidR="00060FAC" w:rsidRDefault="00060FAC">
      <w:pPr>
        <w:pStyle w:val="Titolo1"/>
        <w:numPr>
          <w:ilvl w:val="1"/>
          <w:numId w:val="13"/>
        </w:numPr>
        <w:spacing w:before="0" w:after="0" w:line="276" w:lineRule="auto"/>
        <w:rPr>
          <w:snapToGrid w:val="0"/>
        </w:rPr>
      </w:pPr>
      <w:r w:rsidRPr="008C685C">
        <w:rPr>
          <w:snapToGrid w:val="0"/>
        </w:rPr>
        <w:t>Material and methods</w:t>
      </w:r>
    </w:p>
    <w:p w14:paraId="7AA7EC73" w14:textId="6B4653D4" w:rsidR="00250880" w:rsidRDefault="00A32313" w:rsidP="002D0AC0">
      <w:pPr>
        <w:spacing w:line="276" w:lineRule="auto"/>
        <w:rPr>
          <w:sz w:val="24"/>
          <w:szCs w:val="24"/>
        </w:rPr>
      </w:pPr>
      <w:r w:rsidRPr="00072051">
        <w:rPr>
          <w:sz w:val="24"/>
          <w:szCs w:val="24"/>
        </w:rPr>
        <w:t xml:space="preserve">Through the context analysis and the </w:t>
      </w:r>
      <w:r w:rsidR="00740292">
        <w:rPr>
          <w:sz w:val="24"/>
          <w:szCs w:val="24"/>
        </w:rPr>
        <w:t>literature</w:t>
      </w:r>
      <w:r w:rsidRPr="00072051">
        <w:rPr>
          <w:sz w:val="24"/>
          <w:szCs w:val="24"/>
        </w:rPr>
        <w:t xml:space="preserve"> review, the study</w:t>
      </w:r>
      <w:r w:rsidR="00475D9A" w:rsidRPr="00072051">
        <w:rPr>
          <w:sz w:val="24"/>
          <w:szCs w:val="24"/>
        </w:rPr>
        <w:t xml:space="preserve"> was oriented</w:t>
      </w:r>
      <w:r w:rsidRPr="00072051">
        <w:rPr>
          <w:sz w:val="24"/>
          <w:szCs w:val="24"/>
        </w:rPr>
        <w:t xml:space="preserve"> towards the experimentation of an innovative product based on the reuse of PPE, widely used during the COVID-19 </w:t>
      </w:r>
      <w:r w:rsidR="00740292" w:rsidRPr="00072051">
        <w:rPr>
          <w:sz w:val="24"/>
          <w:szCs w:val="24"/>
        </w:rPr>
        <w:t>pandemic,</w:t>
      </w:r>
      <w:r w:rsidRPr="00072051">
        <w:rPr>
          <w:sz w:val="24"/>
          <w:szCs w:val="24"/>
        </w:rPr>
        <w:t xml:space="preserve"> and currently disposed of in landfills or </w:t>
      </w:r>
      <w:r w:rsidR="002D0AC0" w:rsidRPr="00072051">
        <w:rPr>
          <w:sz w:val="24"/>
          <w:szCs w:val="24"/>
        </w:rPr>
        <w:t>incinerated</w:t>
      </w:r>
      <w:r w:rsidRPr="00072051">
        <w:rPr>
          <w:sz w:val="24"/>
          <w:szCs w:val="24"/>
        </w:rPr>
        <w:t xml:space="preserve">. </w:t>
      </w:r>
      <w:r w:rsidR="00740292">
        <w:rPr>
          <w:sz w:val="24"/>
          <w:szCs w:val="24"/>
        </w:rPr>
        <w:t>The</w:t>
      </w:r>
      <w:r w:rsidRPr="00072051">
        <w:rPr>
          <w:sz w:val="24"/>
          <w:szCs w:val="24"/>
        </w:rPr>
        <w:t xml:space="preserve"> product will be a bituminous conglomerate intended for the construction and civil market, </w:t>
      </w:r>
      <w:proofErr w:type="gramStart"/>
      <w:r w:rsidRPr="00072051">
        <w:rPr>
          <w:sz w:val="24"/>
          <w:szCs w:val="24"/>
        </w:rPr>
        <w:t>in particular for</w:t>
      </w:r>
      <w:proofErr w:type="gramEnd"/>
      <w:r w:rsidRPr="00072051">
        <w:rPr>
          <w:sz w:val="24"/>
          <w:szCs w:val="24"/>
        </w:rPr>
        <w:t xml:space="preserve"> the construction and maintenance of road infrastructures.</w:t>
      </w:r>
    </w:p>
    <w:p w14:paraId="72623555" w14:textId="3CA4EA27" w:rsidR="00740292" w:rsidRPr="003409F9" w:rsidRDefault="00740292" w:rsidP="002D0AC0">
      <w:pPr>
        <w:spacing w:line="276" w:lineRule="auto"/>
        <w:rPr>
          <w:sz w:val="24"/>
          <w:szCs w:val="24"/>
        </w:rPr>
      </w:pPr>
      <w:r w:rsidRPr="00250880">
        <w:rPr>
          <w:sz w:val="24"/>
          <w:szCs w:val="24"/>
        </w:rPr>
        <w:lastRenderedPageBreak/>
        <w:t xml:space="preserve">Four different bituminous conglomerates were tested, one representing the reference scenario without the use of PPE and three mixing the bitumen with PPE in percentages representing realistic scenarios based on previous studies: (1) Reference hot mix asphalt (HMA) bituminous conglomerate, without PPE; (2) HMA bituminous conglomerate with masks; (3) </w:t>
      </w:r>
      <w:r w:rsidRPr="00250880">
        <w:rPr>
          <w:sz w:val="24"/>
          <w:szCs w:val="24"/>
        </w:rPr>
        <w:tab/>
        <w:t xml:space="preserve">HMA bituminous conglomerate with masks and gloves; (4) </w:t>
      </w:r>
      <w:r w:rsidRPr="00250880">
        <w:rPr>
          <w:sz w:val="24"/>
          <w:szCs w:val="24"/>
        </w:rPr>
        <w:tab/>
        <w:t>Warm mix asphalt (WMA) bituminous conglomerate with masks. The details of the tested mixtures are reported in the following Table 2.</w:t>
      </w:r>
    </w:p>
    <w:p w14:paraId="4CADF108" w14:textId="2BA3D939" w:rsidR="002D0AC0" w:rsidRDefault="002D0AC0" w:rsidP="002D0AC0">
      <w:pPr>
        <w:spacing w:line="276" w:lineRule="auto"/>
        <w:rPr>
          <w:sz w:val="24"/>
          <w:szCs w:val="24"/>
        </w:rPr>
      </w:pPr>
    </w:p>
    <w:p w14:paraId="587AEC67" w14:textId="314C6AD0" w:rsidR="00383DAE" w:rsidRDefault="00383DAE" w:rsidP="00383DAE">
      <w:pPr>
        <w:pStyle w:val="TableCaption"/>
        <w:spacing w:after="120" w:line="276" w:lineRule="auto"/>
        <w:ind w:left="1915" w:right="1800"/>
      </w:pPr>
      <w:r>
        <w:rPr>
          <w:noProof/>
        </w:rPr>
        <w:t>Table</w:t>
      </w:r>
      <w:r w:rsidRPr="00581B30">
        <w:t xml:space="preserve"> </w:t>
      </w:r>
      <w:r w:rsidR="00250880">
        <w:t>2</w:t>
      </w:r>
      <w:r w:rsidRPr="00581B30">
        <w:t xml:space="preserve">. </w:t>
      </w:r>
      <w:r w:rsidR="00D13754">
        <w:t xml:space="preserve">Tested </w:t>
      </w:r>
      <w:r w:rsidR="002E3AAB">
        <w:t>b</w:t>
      </w:r>
      <w:r w:rsidR="00D13754">
        <w:t>ituminous conglomerates</w:t>
      </w:r>
    </w:p>
    <w:tbl>
      <w:tblPr>
        <w:tblW w:w="7230" w:type="dxa"/>
        <w:jc w:val="center"/>
        <w:tblLayout w:type="fixed"/>
        <w:tblLook w:val="0000" w:firstRow="0" w:lastRow="0" w:firstColumn="0" w:lastColumn="0" w:noHBand="0" w:noVBand="0"/>
      </w:tblPr>
      <w:tblGrid>
        <w:gridCol w:w="2410"/>
        <w:gridCol w:w="4820"/>
      </w:tblGrid>
      <w:tr w:rsidR="00A00E99" w:rsidRPr="00D01D4B" w14:paraId="407A2ADF" w14:textId="77777777" w:rsidTr="001A60AE">
        <w:trPr>
          <w:trHeight w:val="200"/>
          <w:jc w:val="center"/>
        </w:trPr>
        <w:tc>
          <w:tcPr>
            <w:tcW w:w="2410" w:type="dxa"/>
            <w:tcBorders>
              <w:top w:val="single" w:sz="4" w:space="0" w:color="auto"/>
              <w:bottom w:val="single" w:sz="4" w:space="0" w:color="auto"/>
            </w:tcBorders>
            <w:vAlign w:val="bottom"/>
          </w:tcPr>
          <w:p w14:paraId="074C3494" w14:textId="4E40E8DF" w:rsidR="00A00E99" w:rsidRPr="002E3AAB" w:rsidRDefault="002E3AAB" w:rsidP="008465C9">
            <w:pPr>
              <w:pStyle w:val="Table"/>
              <w:spacing w:line="276" w:lineRule="auto"/>
              <w:rPr>
                <w:b/>
                <w:bCs/>
                <w:snapToGrid w:val="0"/>
              </w:rPr>
            </w:pPr>
            <w:r w:rsidRPr="002E3AAB">
              <w:rPr>
                <w:b/>
                <w:bCs/>
                <w:snapToGrid w:val="0"/>
              </w:rPr>
              <w:t>Mixture</w:t>
            </w:r>
          </w:p>
        </w:tc>
        <w:tc>
          <w:tcPr>
            <w:tcW w:w="4820" w:type="dxa"/>
            <w:tcBorders>
              <w:top w:val="single" w:sz="4" w:space="0" w:color="auto"/>
              <w:bottom w:val="single" w:sz="4" w:space="0" w:color="auto"/>
            </w:tcBorders>
          </w:tcPr>
          <w:p w14:paraId="1189BD4D" w14:textId="7A22CED7" w:rsidR="00A00E99" w:rsidRPr="002E3AAB" w:rsidRDefault="00A00E99" w:rsidP="008465C9">
            <w:pPr>
              <w:pStyle w:val="Table"/>
              <w:spacing w:line="276" w:lineRule="auto"/>
              <w:rPr>
                <w:b/>
                <w:bCs/>
                <w:snapToGrid w:val="0"/>
              </w:rPr>
            </w:pPr>
            <w:r w:rsidRPr="002E3AAB">
              <w:rPr>
                <w:b/>
                <w:bCs/>
                <w:snapToGrid w:val="0"/>
              </w:rPr>
              <w:t>Components</w:t>
            </w:r>
          </w:p>
        </w:tc>
      </w:tr>
      <w:tr w:rsidR="00A00E99" w:rsidRPr="00D01D4B" w14:paraId="7DA55C5C" w14:textId="77777777" w:rsidTr="001A60AE">
        <w:trPr>
          <w:trHeight w:val="200"/>
          <w:jc w:val="center"/>
        </w:trPr>
        <w:tc>
          <w:tcPr>
            <w:tcW w:w="2410" w:type="dxa"/>
            <w:tcBorders>
              <w:bottom w:val="single" w:sz="4" w:space="0" w:color="000000"/>
            </w:tcBorders>
            <w:vAlign w:val="bottom"/>
          </w:tcPr>
          <w:p w14:paraId="7FE9AAAF" w14:textId="77777777" w:rsidR="003955D8" w:rsidRPr="002E3AAB" w:rsidRDefault="003955D8" w:rsidP="008465C9">
            <w:pPr>
              <w:pStyle w:val="Table"/>
              <w:spacing w:line="276" w:lineRule="auto"/>
              <w:rPr>
                <w:b/>
                <w:bCs/>
                <w:snapToGrid w:val="0"/>
              </w:rPr>
            </w:pPr>
            <w:r w:rsidRPr="002E3AAB">
              <w:rPr>
                <w:b/>
                <w:bCs/>
                <w:snapToGrid w:val="0"/>
              </w:rPr>
              <w:t>Mixture 1</w:t>
            </w:r>
          </w:p>
          <w:p w14:paraId="4D04D35D" w14:textId="77777777" w:rsidR="00A00E99" w:rsidRPr="002E3AAB" w:rsidRDefault="00A00E99" w:rsidP="008465C9">
            <w:pPr>
              <w:pStyle w:val="Table"/>
              <w:spacing w:line="276" w:lineRule="auto"/>
              <w:rPr>
                <w:b/>
                <w:bCs/>
                <w:snapToGrid w:val="0"/>
              </w:rPr>
            </w:pPr>
            <w:r w:rsidRPr="002E3AAB">
              <w:rPr>
                <w:b/>
                <w:bCs/>
                <w:snapToGrid w:val="0"/>
              </w:rPr>
              <w:t xml:space="preserve">Standard HMA </w:t>
            </w:r>
          </w:p>
          <w:p w14:paraId="29CB8ECB" w14:textId="2B328AD5" w:rsidR="002E3AAB" w:rsidRPr="002E3AAB" w:rsidRDefault="002E3AAB" w:rsidP="008465C9">
            <w:pPr>
              <w:pStyle w:val="Table"/>
              <w:spacing w:line="276" w:lineRule="auto"/>
              <w:rPr>
                <w:b/>
                <w:bCs/>
                <w:snapToGrid w:val="0"/>
                <w:sz w:val="10"/>
                <w:szCs w:val="11"/>
              </w:rPr>
            </w:pPr>
          </w:p>
        </w:tc>
        <w:tc>
          <w:tcPr>
            <w:tcW w:w="4820" w:type="dxa"/>
            <w:tcBorders>
              <w:bottom w:val="single" w:sz="4" w:space="0" w:color="000000"/>
            </w:tcBorders>
          </w:tcPr>
          <w:p w14:paraId="662B7C00" w14:textId="4CF7F87E" w:rsidR="00107E9F" w:rsidRPr="00107E9F" w:rsidRDefault="00107E9F" w:rsidP="00107E9F">
            <w:pPr>
              <w:pStyle w:val="Table"/>
              <w:spacing w:line="276" w:lineRule="auto"/>
              <w:rPr>
                <w:snapToGrid w:val="0"/>
              </w:rPr>
            </w:pPr>
            <w:r w:rsidRPr="00107E9F">
              <w:rPr>
                <w:snapToGrid w:val="0"/>
              </w:rPr>
              <w:t>Virgin aggregate 80%, T = 180 °C</w:t>
            </w:r>
          </w:p>
          <w:p w14:paraId="2D4100D1" w14:textId="17E8FBAA" w:rsidR="00107E9F" w:rsidRPr="00107E9F" w:rsidRDefault="00107E9F" w:rsidP="00107E9F">
            <w:pPr>
              <w:pStyle w:val="Table"/>
              <w:spacing w:line="276" w:lineRule="auto"/>
              <w:rPr>
                <w:snapToGrid w:val="0"/>
              </w:rPr>
            </w:pPr>
            <w:r w:rsidRPr="00107E9F">
              <w:rPr>
                <w:snapToGrid w:val="0"/>
              </w:rPr>
              <w:t>Milled 20%, T = room temperature</w:t>
            </w:r>
          </w:p>
          <w:p w14:paraId="0131DD2A" w14:textId="79DB22E5" w:rsidR="00A00E99" w:rsidRPr="00D01D4B" w:rsidRDefault="00107E9F" w:rsidP="00107E9F">
            <w:pPr>
              <w:pStyle w:val="Table"/>
              <w:spacing w:line="276" w:lineRule="auto"/>
              <w:rPr>
                <w:snapToGrid w:val="0"/>
              </w:rPr>
            </w:pPr>
            <w:r w:rsidRPr="00107E9F">
              <w:rPr>
                <w:snapToGrid w:val="0"/>
              </w:rPr>
              <w:t>Virgin bitumen 4.3% (total bitumen about 5.3%), T = 150 ° C</w:t>
            </w:r>
          </w:p>
        </w:tc>
      </w:tr>
      <w:tr w:rsidR="00A00E99" w:rsidRPr="00D01D4B" w14:paraId="2FC34C2C" w14:textId="77777777" w:rsidTr="001A60AE">
        <w:trPr>
          <w:trHeight w:val="200"/>
          <w:jc w:val="center"/>
        </w:trPr>
        <w:tc>
          <w:tcPr>
            <w:tcW w:w="2410" w:type="dxa"/>
            <w:tcBorders>
              <w:top w:val="single" w:sz="4" w:space="0" w:color="000000"/>
              <w:bottom w:val="single" w:sz="4" w:space="0" w:color="000000"/>
            </w:tcBorders>
            <w:vAlign w:val="bottom"/>
          </w:tcPr>
          <w:p w14:paraId="15F0E892" w14:textId="77777777" w:rsidR="003955D8" w:rsidRPr="002E3AAB" w:rsidRDefault="003955D8" w:rsidP="008465C9">
            <w:pPr>
              <w:pStyle w:val="Table"/>
              <w:spacing w:line="276" w:lineRule="auto"/>
              <w:rPr>
                <w:b/>
                <w:bCs/>
                <w:snapToGrid w:val="0"/>
              </w:rPr>
            </w:pPr>
            <w:r w:rsidRPr="002E3AAB">
              <w:rPr>
                <w:b/>
                <w:bCs/>
                <w:snapToGrid w:val="0"/>
              </w:rPr>
              <w:t>Mixture 2</w:t>
            </w:r>
          </w:p>
          <w:p w14:paraId="6146D2D1" w14:textId="60DDAAA2" w:rsidR="00A00E99" w:rsidRPr="002E3AAB" w:rsidRDefault="00A00E99" w:rsidP="008465C9">
            <w:pPr>
              <w:pStyle w:val="Table"/>
              <w:spacing w:line="276" w:lineRule="auto"/>
              <w:rPr>
                <w:b/>
                <w:bCs/>
                <w:snapToGrid w:val="0"/>
              </w:rPr>
            </w:pPr>
            <w:r w:rsidRPr="002E3AAB">
              <w:rPr>
                <w:b/>
                <w:bCs/>
                <w:snapToGrid w:val="0"/>
              </w:rPr>
              <w:t>HMA</w:t>
            </w:r>
            <w:r w:rsidR="003955D8" w:rsidRPr="002E3AAB">
              <w:rPr>
                <w:b/>
                <w:bCs/>
                <w:snapToGrid w:val="0"/>
              </w:rPr>
              <w:t xml:space="preserve"> </w:t>
            </w:r>
            <w:r w:rsidR="002E3AAB" w:rsidRPr="002E3AAB">
              <w:rPr>
                <w:b/>
                <w:bCs/>
                <w:snapToGrid w:val="0"/>
              </w:rPr>
              <w:t>–</w:t>
            </w:r>
            <w:r w:rsidR="003955D8" w:rsidRPr="002E3AAB">
              <w:rPr>
                <w:b/>
                <w:bCs/>
                <w:snapToGrid w:val="0"/>
              </w:rPr>
              <w:t xml:space="preserve"> </w:t>
            </w:r>
            <w:r w:rsidRPr="002E3AAB">
              <w:rPr>
                <w:b/>
                <w:bCs/>
                <w:snapToGrid w:val="0"/>
              </w:rPr>
              <w:t>Masks</w:t>
            </w:r>
          </w:p>
          <w:p w14:paraId="04CDF387" w14:textId="77777777" w:rsidR="002E3AAB" w:rsidRPr="002E3AAB" w:rsidRDefault="002E3AAB" w:rsidP="008465C9">
            <w:pPr>
              <w:pStyle w:val="Table"/>
              <w:spacing w:line="276" w:lineRule="auto"/>
              <w:rPr>
                <w:b/>
                <w:bCs/>
                <w:snapToGrid w:val="0"/>
                <w:sz w:val="16"/>
                <w:szCs w:val="18"/>
              </w:rPr>
            </w:pPr>
          </w:p>
          <w:p w14:paraId="4BD538EC" w14:textId="32E7E1CB" w:rsidR="002E3AAB" w:rsidRPr="002E3AAB" w:rsidRDefault="002E3AAB" w:rsidP="008465C9">
            <w:pPr>
              <w:pStyle w:val="Table"/>
              <w:spacing w:line="276" w:lineRule="auto"/>
              <w:rPr>
                <w:b/>
                <w:bCs/>
                <w:snapToGrid w:val="0"/>
              </w:rPr>
            </w:pPr>
          </w:p>
        </w:tc>
        <w:tc>
          <w:tcPr>
            <w:tcW w:w="4820" w:type="dxa"/>
            <w:tcBorders>
              <w:top w:val="single" w:sz="4" w:space="0" w:color="000000"/>
              <w:bottom w:val="single" w:sz="4" w:space="0" w:color="000000"/>
            </w:tcBorders>
          </w:tcPr>
          <w:p w14:paraId="2E166CC9" w14:textId="60BA4E3A" w:rsidR="00107E9F" w:rsidRPr="00107E9F" w:rsidRDefault="00107E9F" w:rsidP="00107E9F">
            <w:pPr>
              <w:pStyle w:val="Table"/>
              <w:spacing w:line="276" w:lineRule="auto"/>
              <w:rPr>
                <w:snapToGrid w:val="0"/>
              </w:rPr>
            </w:pPr>
            <w:r w:rsidRPr="00107E9F">
              <w:rPr>
                <w:snapToGrid w:val="0"/>
              </w:rPr>
              <w:t>Virgin aggregate 80%, T = 180 °C</w:t>
            </w:r>
          </w:p>
          <w:p w14:paraId="2D582F04" w14:textId="408702F0" w:rsidR="00107E9F" w:rsidRPr="00107E9F" w:rsidRDefault="00107E9F" w:rsidP="00107E9F">
            <w:pPr>
              <w:pStyle w:val="Table"/>
              <w:spacing w:line="276" w:lineRule="auto"/>
              <w:rPr>
                <w:snapToGrid w:val="0"/>
              </w:rPr>
            </w:pPr>
            <w:r w:rsidRPr="00107E9F">
              <w:rPr>
                <w:snapToGrid w:val="0"/>
              </w:rPr>
              <w:t>Milled 20%, T = room temperature</w:t>
            </w:r>
          </w:p>
          <w:p w14:paraId="2B1077AF" w14:textId="0C9B81A6" w:rsidR="00107E9F" w:rsidRPr="00107E9F" w:rsidRDefault="00107E9F" w:rsidP="00107E9F">
            <w:pPr>
              <w:pStyle w:val="Table"/>
              <w:spacing w:line="276" w:lineRule="auto"/>
              <w:rPr>
                <w:snapToGrid w:val="0"/>
              </w:rPr>
            </w:pPr>
            <w:r w:rsidRPr="00107E9F">
              <w:rPr>
                <w:snapToGrid w:val="0"/>
              </w:rPr>
              <w:t>Virgin bitumen 4.3% on the mix (total bitumen about 5.3%</w:t>
            </w:r>
            <w:proofErr w:type="gramStart"/>
            <w:r w:rsidRPr="00107E9F">
              <w:rPr>
                <w:snapToGrid w:val="0"/>
              </w:rPr>
              <w:t xml:space="preserve">),   </w:t>
            </w:r>
            <w:proofErr w:type="gramEnd"/>
            <w:r w:rsidRPr="00107E9F">
              <w:rPr>
                <w:snapToGrid w:val="0"/>
              </w:rPr>
              <w:t xml:space="preserve">           T = 150 ° C</w:t>
            </w:r>
          </w:p>
          <w:p w14:paraId="4DF5872E" w14:textId="58D01405" w:rsidR="00A00E99" w:rsidRPr="00D01D4B" w:rsidRDefault="00107E9F" w:rsidP="00107E9F">
            <w:pPr>
              <w:pStyle w:val="Table"/>
              <w:spacing w:line="276" w:lineRule="auto"/>
              <w:rPr>
                <w:snapToGrid w:val="0"/>
              </w:rPr>
            </w:pPr>
            <w:r w:rsidRPr="00107E9F">
              <w:rPr>
                <w:snapToGrid w:val="0"/>
              </w:rPr>
              <w:t>PPE Masks (75% PP masks, 25% PET / PBT masks) = 0.5% on the aggregate, T = room temperature</w:t>
            </w:r>
          </w:p>
        </w:tc>
      </w:tr>
      <w:tr w:rsidR="00A00E99" w:rsidRPr="00D01D4B" w14:paraId="16B970D1" w14:textId="77777777" w:rsidTr="001A60AE">
        <w:trPr>
          <w:trHeight w:val="200"/>
          <w:jc w:val="center"/>
        </w:trPr>
        <w:tc>
          <w:tcPr>
            <w:tcW w:w="2410" w:type="dxa"/>
            <w:tcBorders>
              <w:top w:val="single" w:sz="4" w:space="0" w:color="000000"/>
            </w:tcBorders>
            <w:vAlign w:val="bottom"/>
          </w:tcPr>
          <w:p w14:paraId="1E8D7FCE" w14:textId="77777777" w:rsidR="003955D8" w:rsidRPr="002E3AAB" w:rsidRDefault="003955D8" w:rsidP="008465C9">
            <w:pPr>
              <w:pStyle w:val="Table"/>
              <w:spacing w:line="276" w:lineRule="auto"/>
              <w:rPr>
                <w:b/>
                <w:bCs/>
                <w:snapToGrid w:val="0"/>
              </w:rPr>
            </w:pPr>
            <w:r w:rsidRPr="002E3AAB">
              <w:rPr>
                <w:b/>
                <w:bCs/>
                <w:snapToGrid w:val="0"/>
              </w:rPr>
              <w:t>Mixture 3</w:t>
            </w:r>
          </w:p>
          <w:p w14:paraId="7A1E2E9F" w14:textId="77777777" w:rsidR="00A00E99" w:rsidRPr="002E3AAB" w:rsidRDefault="00A00E99" w:rsidP="008465C9">
            <w:pPr>
              <w:pStyle w:val="Table"/>
              <w:spacing w:line="276" w:lineRule="auto"/>
              <w:rPr>
                <w:b/>
                <w:bCs/>
                <w:snapToGrid w:val="0"/>
              </w:rPr>
            </w:pPr>
            <w:r w:rsidRPr="002E3AAB">
              <w:rPr>
                <w:b/>
                <w:bCs/>
                <w:snapToGrid w:val="0"/>
              </w:rPr>
              <w:t>HMA</w:t>
            </w:r>
            <w:r w:rsidR="003955D8" w:rsidRPr="002E3AAB">
              <w:rPr>
                <w:b/>
                <w:bCs/>
                <w:snapToGrid w:val="0"/>
              </w:rPr>
              <w:t xml:space="preserve"> - </w:t>
            </w:r>
            <w:proofErr w:type="spellStart"/>
            <w:r w:rsidRPr="002E3AAB">
              <w:rPr>
                <w:b/>
                <w:bCs/>
                <w:snapToGrid w:val="0"/>
              </w:rPr>
              <w:t>Masks</w:t>
            </w:r>
            <w:r w:rsidR="003955D8" w:rsidRPr="002E3AAB">
              <w:rPr>
                <w:b/>
                <w:bCs/>
                <w:snapToGrid w:val="0"/>
              </w:rPr>
              <w:t>+</w:t>
            </w:r>
            <w:r w:rsidRPr="002E3AAB">
              <w:rPr>
                <w:b/>
                <w:bCs/>
                <w:snapToGrid w:val="0"/>
              </w:rPr>
              <w:t>Gloves</w:t>
            </w:r>
            <w:proofErr w:type="spellEnd"/>
          </w:p>
          <w:p w14:paraId="6905AC10" w14:textId="77777777" w:rsidR="002E3AAB" w:rsidRPr="002E3AAB" w:rsidRDefault="002E3AAB" w:rsidP="008465C9">
            <w:pPr>
              <w:pStyle w:val="Table"/>
              <w:spacing w:line="276" w:lineRule="auto"/>
              <w:rPr>
                <w:b/>
                <w:bCs/>
                <w:snapToGrid w:val="0"/>
              </w:rPr>
            </w:pPr>
          </w:p>
          <w:p w14:paraId="30F7939C" w14:textId="77777777" w:rsidR="002E3AAB" w:rsidRPr="002E3AAB" w:rsidRDefault="002E3AAB" w:rsidP="008465C9">
            <w:pPr>
              <w:pStyle w:val="Table"/>
              <w:spacing w:line="276" w:lineRule="auto"/>
              <w:rPr>
                <w:b/>
                <w:bCs/>
                <w:snapToGrid w:val="0"/>
              </w:rPr>
            </w:pPr>
          </w:p>
          <w:p w14:paraId="724E13F7" w14:textId="19A6D9A0" w:rsidR="002E3AAB" w:rsidRPr="002E3AAB" w:rsidRDefault="002E3AAB" w:rsidP="008465C9">
            <w:pPr>
              <w:pStyle w:val="Table"/>
              <w:spacing w:line="276" w:lineRule="auto"/>
              <w:rPr>
                <w:b/>
                <w:bCs/>
                <w:snapToGrid w:val="0"/>
                <w:sz w:val="8"/>
                <w:szCs w:val="10"/>
              </w:rPr>
            </w:pPr>
          </w:p>
        </w:tc>
        <w:tc>
          <w:tcPr>
            <w:tcW w:w="4820" w:type="dxa"/>
            <w:tcBorders>
              <w:top w:val="single" w:sz="4" w:space="0" w:color="000000"/>
            </w:tcBorders>
          </w:tcPr>
          <w:p w14:paraId="571EC837" w14:textId="61126F85" w:rsidR="00107E9F" w:rsidRPr="00107E9F" w:rsidRDefault="00107E9F" w:rsidP="00107E9F">
            <w:pPr>
              <w:pStyle w:val="Table"/>
              <w:spacing w:line="276" w:lineRule="auto"/>
              <w:rPr>
                <w:snapToGrid w:val="0"/>
              </w:rPr>
            </w:pPr>
            <w:r w:rsidRPr="00107E9F">
              <w:rPr>
                <w:snapToGrid w:val="0"/>
              </w:rPr>
              <w:t>Virgin aggregate 80%, T = 180 °C</w:t>
            </w:r>
          </w:p>
          <w:p w14:paraId="52F3B8ED" w14:textId="4ED3B164" w:rsidR="00107E9F" w:rsidRPr="00107E9F" w:rsidRDefault="00107E9F" w:rsidP="00107E9F">
            <w:pPr>
              <w:pStyle w:val="Table"/>
              <w:spacing w:line="276" w:lineRule="auto"/>
              <w:rPr>
                <w:snapToGrid w:val="0"/>
              </w:rPr>
            </w:pPr>
            <w:r w:rsidRPr="00107E9F">
              <w:rPr>
                <w:snapToGrid w:val="0"/>
              </w:rPr>
              <w:t>Milled 20%, T = room temperature</w:t>
            </w:r>
          </w:p>
          <w:p w14:paraId="6B0A38DB" w14:textId="7E586D93" w:rsidR="00107E9F" w:rsidRPr="00107E9F" w:rsidRDefault="00107E9F" w:rsidP="00107E9F">
            <w:pPr>
              <w:pStyle w:val="Table"/>
              <w:spacing w:line="276" w:lineRule="auto"/>
              <w:rPr>
                <w:snapToGrid w:val="0"/>
              </w:rPr>
            </w:pPr>
            <w:r w:rsidRPr="00107E9F">
              <w:rPr>
                <w:snapToGrid w:val="0"/>
              </w:rPr>
              <w:t>Virgin bitumen 4.3% on the mix (total bitumen about 5.3%</w:t>
            </w:r>
            <w:proofErr w:type="gramStart"/>
            <w:r w:rsidRPr="00107E9F">
              <w:rPr>
                <w:snapToGrid w:val="0"/>
              </w:rPr>
              <w:t xml:space="preserve">), </w:t>
            </w:r>
            <w:r w:rsidR="00250880">
              <w:rPr>
                <w:snapToGrid w:val="0"/>
              </w:rPr>
              <w:t xml:space="preserve">  </w:t>
            </w:r>
            <w:proofErr w:type="gramEnd"/>
            <w:r w:rsidR="00250880">
              <w:rPr>
                <w:snapToGrid w:val="0"/>
              </w:rPr>
              <w:t xml:space="preserve">      </w:t>
            </w:r>
            <w:r w:rsidRPr="00107E9F">
              <w:rPr>
                <w:snapToGrid w:val="0"/>
              </w:rPr>
              <w:t>T = 150 ° C</w:t>
            </w:r>
          </w:p>
          <w:p w14:paraId="3860DEB8" w14:textId="0B33C513" w:rsidR="00A00E99" w:rsidRDefault="00107E9F" w:rsidP="00107E9F">
            <w:pPr>
              <w:pStyle w:val="Table"/>
              <w:spacing w:line="276" w:lineRule="auto"/>
              <w:rPr>
                <w:snapToGrid w:val="0"/>
              </w:rPr>
            </w:pPr>
            <w:r w:rsidRPr="00107E9F">
              <w:rPr>
                <w:snapToGrid w:val="0"/>
              </w:rPr>
              <w:t>PPE Masks + Gloves (45% PP masks, 15% PET / PBT masks, 20% latex gloves, 20% nitrile gloves) = 0.5% on the aggregate, T = room temperature</w:t>
            </w:r>
          </w:p>
        </w:tc>
      </w:tr>
      <w:tr w:rsidR="00A00E99" w:rsidRPr="00D01D4B" w14:paraId="2DF27793" w14:textId="77777777" w:rsidTr="001A60AE">
        <w:trPr>
          <w:trHeight w:val="200"/>
          <w:jc w:val="center"/>
        </w:trPr>
        <w:tc>
          <w:tcPr>
            <w:tcW w:w="2410" w:type="dxa"/>
            <w:tcBorders>
              <w:top w:val="single" w:sz="4" w:space="0" w:color="000000"/>
              <w:bottom w:val="single" w:sz="4" w:space="0" w:color="auto"/>
            </w:tcBorders>
            <w:vAlign w:val="bottom"/>
          </w:tcPr>
          <w:p w14:paraId="387B3E76" w14:textId="77777777" w:rsidR="003955D8" w:rsidRPr="002E3AAB" w:rsidRDefault="003955D8" w:rsidP="008465C9">
            <w:pPr>
              <w:pStyle w:val="Table"/>
              <w:spacing w:line="276" w:lineRule="auto"/>
              <w:rPr>
                <w:b/>
                <w:bCs/>
                <w:snapToGrid w:val="0"/>
              </w:rPr>
            </w:pPr>
            <w:r w:rsidRPr="002E3AAB">
              <w:rPr>
                <w:b/>
                <w:bCs/>
                <w:snapToGrid w:val="0"/>
              </w:rPr>
              <w:t>Mixture 4</w:t>
            </w:r>
          </w:p>
          <w:p w14:paraId="3EEBAEF8" w14:textId="20D0DD30" w:rsidR="00A00E99" w:rsidRPr="002E3AAB" w:rsidRDefault="00A00E99" w:rsidP="008465C9">
            <w:pPr>
              <w:pStyle w:val="Table"/>
              <w:spacing w:line="276" w:lineRule="auto"/>
              <w:rPr>
                <w:b/>
                <w:bCs/>
                <w:snapToGrid w:val="0"/>
              </w:rPr>
            </w:pPr>
            <w:r w:rsidRPr="002E3AAB">
              <w:rPr>
                <w:b/>
                <w:bCs/>
                <w:snapToGrid w:val="0"/>
              </w:rPr>
              <w:t>WMA</w:t>
            </w:r>
            <w:r w:rsidR="003955D8" w:rsidRPr="002E3AAB">
              <w:rPr>
                <w:b/>
                <w:bCs/>
                <w:snapToGrid w:val="0"/>
              </w:rPr>
              <w:t xml:space="preserve"> </w:t>
            </w:r>
            <w:r w:rsidR="002E3AAB" w:rsidRPr="002E3AAB">
              <w:rPr>
                <w:b/>
                <w:bCs/>
                <w:snapToGrid w:val="0"/>
              </w:rPr>
              <w:t>–</w:t>
            </w:r>
            <w:r w:rsidR="003955D8" w:rsidRPr="002E3AAB">
              <w:rPr>
                <w:b/>
                <w:bCs/>
                <w:snapToGrid w:val="0"/>
              </w:rPr>
              <w:t xml:space="preserve"> </w:t>
            </w:r>
            <w:r w:rsidRPr="002E3AAB">
              <w:rPr>
                <w:b/>
                <w:bCs/>
                <w:snapToGrid w:val="0"/>
              </w:rPr>
              <w:t>Masks</w:t>
            </w:r>
          </w:p>
          <w:p w14:paraId="438A0C16" w14:textId="77777777" w:rsidR="002E3AAB" w:rsidRPr="002E3AAB" w:rsidRDefault="002E3AAB" w:rsidP="008465C9">
            <w:pPr>
              <w:pStyle w:val="Table"/>
              <w:spacing w:line="276" w:lineRule="auto"/>
              <w:rPr>
                <w:b/>
                <w:bCs/>
                <w:snapToGrid w:val="0"/>
              </w:rPr>
            </w:pPr>
          </w:p>
          <w:p w14:paraId="752C71F2" w14:textId="07C2497E" w:rsidR="002E3AAB" w:rsidRPr="002E3AAB" w:rsidRDefault="002E3AAB" w:rsidP="008465C9">
            <w:pPr>
              <w:pStyle w:val="Table"/>
              <w:spacing w:line="276" w:lineRule="auto"/>
              <w:rPr>
                <w:b/>
                <w:bCs/>
                <w:snapToGrid w:val="0"/>
                <w:sz w:val="16"/>
                <w:szCs w:val="18"/>
              </w:rPr>
            </w:pPr>
          </w:p>
        </w:tc>
        <w:tc>
          <w:tcPr>
            <w:tcW w:w="4820" w:type="dxa"/>
            <w:tcBorders>
              <w:top w:val="single" w:sz="4" w:space="0" w:color="000000"/>
              <w:bottom w:val="single" w:sz="4" w:space="0" w:color="auto"/>
            </w:tcBorders>
          </w:tcPr>
          <w:p w14:paraId="6F2BA5D7" w14:textId="7E489E7A" w:rsidR="00250880" w:rsidRPr="00250880" w:rsidRDefault="00250880" w:rsidP="00250880">
            <w:pPr>
              <w:pStyle w:val="Table"/>
              <w:spacing w:line="276" w:lineRule="auto"/>
              <w:rPr>
                <w:snapToGrid w:val="0"/>
              </w:rPr>
            </w:pPr>
            <w:r w:rsidRPr="00250880">
              <w:rPr>
                <w:snapToGrid w:val="0"/>
              </w:rPr>
              <w:t>Virgin aggregate 80%, T = 145 °C</w:t>
            </w:r>
          </w:p>
          <w:p w14:paraId="788608C9" w14:textId="3A4DCDEE" w:rsidR="00250880" w:rsidRPr="00250880" w:rsidRDefault="00250880" w:rsidP="00250880">
            <w:pPr>
              <w:pStyle w:val="Table"/>
              <w:spacing w:line="276" w:lineRule="auto"/>
              <w:rPr>
                <w:snapToGrid w:val="0"/>
              </w:rPr>
            </w:pPr>
            <w:r w:rsidRPr="00250880">
              <w:rPr>
                <w:snapToGrid w:val="0"/>
              </w:rPr>
              <w:t>Milled 20%, T = temperature 4.3% virgin bitumen on the mixture (total bitumen about 5.3%), T = 150 °C</w:t>
            </w:r>
          </w:p>
          <w:p w14:paraId="490C0593" w14:textId="0E8CD79E" w:rsidR="00250880" w:rsidRPr="00250880" w:rsidRDefault="00250880" w:rsidP="00250880">
            <w:pPr>
              <w:pStyle w:val="Table"/>
              <w:spacing w:line="276" w:lineRule="auto"/>
              <w:rPr>
                <w:snapToGrid w:val="0"/>
              </w:rPr>
            </w:pPr>
            <w:proofErr w:type="spellStart"/>
            <w:r w:rsidRPr="00250880">
              <w:rPr>
                <w:snapToGrid w:val="0"/>
              </w:rPr>
              <w:t>Iterlow</w:t>
            </w:r>
            <w:proofErr w:type="spellEnd"/>
            <w:r w:rsidRPr="00250880">
              <w:rPr>
                <w:snapToGrid w:val="0"/>
              </w:rPr>
              <w:t xml:space="preserve"> type additive 0.5% on the weight of the bitumen (to be mixed with the bitumen before adding it to the mix)</w:t>
            </w:r>
          </w:p>
          <w:p w14:paraId="451C41D5" w14:textId="3C4F930B" w:rsidR="00A00E99" w:rsidRDefault="00250880" w:rsidP="00250880">
            <w:pPr>
              <w:pStyle w:val="Table"/>
              <w:spacing w:line="276" w:lineRule="auto"/>
              <w:rPr>
                <w:snapToGrid w:val="0"/>
              </w:rPr>
            </w:pPr>
            <w:r w:rsidRPr="00250880">
              <w:rPr>
                <w:snapToGrid w:val="0"/>
              </w:rPr>
              <w:t>PPE Masks + Gloves (75% PP masks, 25% PET / PBT masks</w:t>
            </w:r>
          </w:p>
        </w:tc>
      </w:tr>
    </w:tbl>
    <w:p w14:paraId="616BDDD7" w14:textId="59131181" w:rsidR="00942DDA" w:rsidRPr="00250880" w:rsidRDefault="00942DDA" w:rsidP="001A60AE">
      <w:pPr>
        <w:spacing w:line="276" w:lineRule="auto"/>
        <w:rPr>
          <w:sz w:val="24"/>
          <w:szCs w:val="24"/>
        </w:rPr>
      </w:pPr>
    </w:p>
    <w:p w14:paraId="481922E0" w14:textId="4CFEC812" w:rsidR="00C14D9E" w:rsidRDefault="008B1D06" w:rsidP="00250880">
      <w:pPr>
        <w:pStyle w:val="Arabiclist"/>
        <w:numPr>
          <w:ilvl w:val="0"/>
          <w:numId w:val="0"/>
        </w:numPr>
        <w:spacing w:line="276" w:lineRule="auto"/>
        <w:rPr>
          <w:sz w:val="24"/>
        </w:rPr>
      </w:pPr>
      <w:r w:rsidRPr="00250880">
        <w:rPr>
          <w:sz w:val="24"/>
        </w:rPr>
        <w:t xml:space="preserve">Several tests were performed during </w:t>
      </w:r>
      <w:r w:rsidR="00F41212" w:rsidRPr="00250880">
        <w:rPr>
          <w:sz w:val="24"/>
        </w:rPr>
        <w:t>the</w:t>
      </w:r>
      <w:r w:rsidRPr="00250880">
        <w:rPr>
          <w:sz w:val="24"/>
        </w:rPr>
        <w:t xml:space="preserve"> experimental phase.</w:t>
      </w:r>
      <w:r w:rsidR="00F41212" w:rsidRPr="00250880">
        <w:rPr>
          <w:sz w:val="24"/>
        </w:rPr>
        <w:t xml:space="preserve"> For each mixture, 4 specimens were compacted with a rotary</w:t>
      </w:r>
      <w:r w:rsidR="00F41212" w:rsidRPr="00F41212">
        <w:rPr>
          <w:sz w:val="24"/>
        </w:rPr>
        <w:t xml:space="preserve"> press according to the UNI EN 12697-31 standard. The void content of these specimens was measured according to the UNI EN 12697-6 standard using the dry method. Subsequently, the specimens were broken in an indirect tensile configuration according to the UNI EN 12697-23 standard. From this test </w:t>
      </w:r>
      <w:r w:rsidR="00F41212" w:rsidRPr="00F41212">
        <w:rPr>
          <w:sz w:val="24"/>
        </w:rPr>
        <w:lastRenderedPageBreak/>
        <w:t xml:space="preserve">the indirect tensile strength (Rt), the indirect tensile coefficient (CTI) and the cracking tolerance index (CT-Index) were determined. Furthermore, the bitumen extraction (UNI EN 12697-1) and then a visual analysis of the residual solid material was carried out on the loose bituminous conglomerate collected at the end of the mixing, </w:t>
      </w:r>
      <w:r w:rsidR="00250880" w:rsidRPr="00F41212">
        <w:rPr>
          <w:sz w:val="24"/>
        </w:rPr>
        <w:t>to</w:t>
      </w:r>
      <w:r w:rsidR="00F41212" w:rsidRPr="00F41212">
        <w:rPr>
          <w:sz w:val="24"/>
        </w:rPr>
        <w:t xml:space="preserve"> evaluate the effect of the high processing temperatures on PPE</w:t>
      </w:r>
      <w:r w:rsidR="002D0AC0">
        <w:rPr>
          <w:sz w:val="24"/>
        </w:rPr>
        <w:t>.</w:t>
      </w:r>
    </w:p>
    <w:p w14:paraId="1C5B21D5" w14:textId="1EE0E1CD" w:rsidR="00F6438D" w:rsidRPr="00C3578C" w:rsidRDefault="00F6438D" w:rsidP="00F41212">
      <w:pPr>
        <w:pStyle w:val="Arabiclist"/>
        <w:numPr>
          <w:ilvl w:val="0"/>
          <w:numId w:val="0"/>
        </w:numPr>
        <w:spacing w:line="276" w:lineRule="auto"/>
        <w:rPr>
          <w:sz w:val="24"/>
        </w:rPr>
      </w:pPr>
      <w:r>
        <w:rPr>
          <w:sz w:val="24"/>
        </w:rPr>
        <w:t>The environmental benefits, instead, have been preliminarily estimated on the basis of literature data deriving from previous studies on similar topics, conducted by using the Life Cycle Assessment methodology</w:t>
      </w:r>
      <w:r w:rsidR="00C3578C">
        <w:rPr>
          <w:sz w:val="24"/>
        </w:rPr>
        <w:t xml:space="preserve"> </w:t>
      </w:r>
      <w:r w:rsidR="00C3578C">
        <w:rPr>
          <w:sz w:val="24"/>
        </w:rPr>
        <w:fldChar w:fldCharType="begin" w:fldLock="1"/>
      </w:r>
      <w:r w:rsidR="00F552C6">
        <w:rPr>
          <w:sz w:val="24"/>
        </w:rPr>
        <w:instrText>ADDIN CSL_CITATION {"citationItems":[{"id":"ITEM-1","itemData":{"DOI":"10.1016/j.procir.2022.02.011","ISBN":"3907613570","ISSN":"22128271","abstract":"After more than one year form the first cases of Sars-Cov-2 infection, it is now clear that the most effective mean to prevent the diffusion of the pandemic is the use of face masks, that however are based on fossil materials and could potentially generate an environmental problem. This study wants to quantitatively investigate the environmental impacts related to the life cycle of a single use surgical mask through the use of the Life Cycle Assessment methodology. Results highlight significant impacts due to the material supply and transport, as well as product packaging and distribution. The study outcomes can be also useful to set potential eco-design strategies for the product environmental improvement.","author":[{"dropping-particle":"","family":"Barbanera","given":"Marco","non-dropping-particle":"","parse-names":false,"suffix":""},{"dropping-particle":"","family":"Marconi","given":"Marco","non-dropping-particle":"","parse-names":false,"suffix":""},{"dropping-particle":"","family":"Peruzzi","given":"Alessandro","non-dropping-particle":"","parse-names":false,"suffix":""},{"dropping-particle":"","family":"Dinarelli","given":"Serena","non-dropping-particle":"","parse-names":false,"suffix":""}],"container-title":"Procedia CIRP","id":"ITEM-1","issued":{"date-parts":[["2022"]]},"page":"61-66","publisher":"Elsevier B.V.","title":"Environmental assessment and eco-design of a surgical face mask","type":"article-journal","volume":"105"},"uris":["http://www.mendeley.com/documents/?uuid=a5ae0773-9c9d-482d-8ec0-f4528d01b281"]},{"id":"ITEM-2","itemData":{"DOI":"10.1016/j.wasman.2018.02.018","ISSN":"18792456","PMID":"29454817","abstract":"The management of end-of-life tyres (ELTs) is regulated by several national and international legislations aiming to promote the recovery of materials and energy from this waste. The three main materials used in tyres are considered: rubber (main product), which is currently reused in other closed-loop applications; steel, which is used for the production of virgin materials; and textile fibres (approximately 10% by weight of ELTs), which are mainly incinerated for energy recovery (open-loop scenario). This study aims to propose and validate a new closed-loop scenario for textile fibres based on material reuse for bituminous conglomerates. The final objective is to verify the technical, environmental, financial, and economic feasibility of the proposed treatment process and reuse scenario. After characterization of the textile material, which is required to determine the technological feasibility, a specific process has been developed to clean, compact, and prepare the fibres for subsequent reuse. A life cycle assessment (LCA) has been carried out to quantify the environmental benefits of reusing the fibres. Finally, a cost benefit analysis based on the LCA results was conducted to establish the long-term financial and economic sustainability. From a technological point of view, the tyre textile fibres could be a promising substitute to the reinforcement cellulose commonly used in asphalts as long as the fibres are properly prepared (compaction and pellet production) for application in the standard bituminous conglomerate production process. From an environmental point of view, relevant benefits in terms of global warming potential and acidification potential reduction were observed in comparison with the standard incineration for energy recovery (respectively −86% and −45%). Moreover, the proposed scenario can be considered as financially viable in the medium to long term (cumulative generated cash flow is positive after the 5th year) and economically sustainable (expected net present value of more than €3,000,000 and economic rate of return of approximately 30%). Finally, the sensitivity and risk analyses show that no specific issues are foreseen for the future implementation in real industrial applications.","author":[{"dropping-particle":"","family":"Landi","given":"Daniele","non-dropping-particle":"","parse-names":false,"suffix":""},{"dropping-particle":"","family":"Gigli","given":"Silvia","non-dropping-particle":"","parse-names":false,"suffix":""},{"dropping-particle":"","family":"Germani","given":"Michele","non-dropping-particle":"","parse-names":false,"suffix":""},{"dropping-particle":"","family":"Marconi","given":"Marco","non-dropping-particle":"","parse-names":false,"suffix":""}],"container-title":"Waste Management","id":"ITEM-2","issued":{"date-parts":[["2018"]]},"page":"187-204","publisher":"Elsevier Ltd","title":"Investigating the feasibility of a reuse scenario for textile fibres recovered from end-of-life tyres","type":"article-journal","volume":"75"},"uris":["http://www.mendeley.com/documents/?uuid=6d668b70-b006-4ba9-bcf5-d06e8e0fabe2"]}],"mendeley":{"formattedCitation":"(Barbanera et al., 2022; Landi et al., 2018b)","plainTextFormattedCitation":"(Barbanera et al., 2022; Landi et al., 2018b)","previouslyFormattedCitation":"(Barbanera et al., 2022; Landi et al., 2018b)"},"properties":{"noteIndex":0},"schema":"https://github.com/citation-style-language/schema/raw/master/csl-citation.json"}</w:instrText>
      </w:r>
      <w:r w:rsidR="00C3578C">
        <w:rPr>
          <w:sz w:val="24"/>
        </w:rPr>
        <w:fldChar w:fldCharType="separate"/>
      </w:r>
      <w:r w:rsidR="00F552C6" w:rsidRPr="00F552C6">
        <w:rPr>
          <w:noProof/>
          <w:sz w:val="24"/>
        </w:rPr>
        <w:t>(Barbanera et al., 2022; Landi et al., 2018b)</w:t>
      </w:r>
      <w:r w:rsidR="00C3578C">
        <w:rPr>
          <w:sz w:val="24"/>
        </w:rPr>
        <w:fldChar w:fldCharType="end"/>
      </w:r>
      <w:r w:rsidR="00C3578C">
        <w:rPr>
          <w:sz w:val="24"/>
        </w:rPr>
        <w:t>.</w:t>
      </w:r>
    </w:p>
    <w:p w14:paraId="15B466C6" w14:textId="4BE3CF71" w:rsidR="006F6EC4" w:rsidRPr="00C3578C" w:rsidRDefault="006F6EC4" w:rsidP="00A80E4C">
      <w:pPr>
        <w:spacing w:line="276" w:lineRule="auto"/>
        <w:rPr>
          <w:sz w:val="24"/>
          <w:szCs w:val="24"/>
        </w:rPr>
      </w:pPr>
    </w:p>
    <w:p w14:paraId="7CE497BC" w14:textId="78264ADA" w:rsidR="00581B30" w:rsidRPr="00390AD3" w:rsidRDefault="00060FAC" w:rsidP="00060FAC">
      <w:pPr>
        <w:pStyle w:val="Titolo1"/>
        <w:numPr>
          <w:ilvl w:val="1"/>
          <w:numId w:val="13"/>
        </w:numPr>
        <w:spacing w:before="0" w:after="0" w:line="276" w:lineRule="auto"/>
        <w:rPr>
          <w:snapToGrid w:val="0"/>
        </w:rPr>
      </w:pPr>
      <w:r>
        <w:rPr>
          <w:snapToGrid w:val="0"/>
        </w:rPr>
        <w:t>Results and discussion</w:t>
      </w:r>
    </w:p>
    <w:p w14:paraId="75A11730" w14:textId="5DC21F77" w:rsidR="00581B30" w:rsidRPr="006F2D6A" w:rsidRDefault="00581B30" w:rsidP="001A60AE">
      <w:pPr>
        <w:spacing w:line="276" w:lineRule="auto"/>
        <w:rPr>
          <w:sz w:val="24"/>
          <w:szCs w:val="24"/>
        </w:rPr>
      </w:pPr>
      <w:r w:rsidRPr="006F2D6A">
        <w:rPr>
          <w:sz w:val="24"/>
          <w:szCs w:val="24"/>
        </w:rPr>
        <w:t xml:space="preserve">The results of the tests </w:t>
      </w:r>
      <w:r w:rsidR="00F6438D" w:rsidRPr="006F2D6A">
        <w:rPr>
          <w:sz w:val="24"/>
          <w:szCs w:val="24"/>
        </w:rPr>
        <w:t xml:space="preserve">(Figure </w:t>
      </w:r>
      <w:r w:rsidR="003955D8" w:rsidRPr="001A60AE">
        <w:rPr>
          <w:sz w:val="24"/>
          <w:szCs w:val="24"/>
        </w:rPr>
        <w:t>1</w:t>
      </w:r>
      <w:r w:rsidR="00F6438D" w:rsidRPr="006F2D6A">
        <w:rPr>
          <w:sz w:val="24"/>
          <w:szCs w:val="24"/>
        </w:rPr>
        <w:t xml:space="preserve">) </w:t>
      </w:r>
      <w:r w:rsidRPr="006F2D6A">
        <w:rPr>
          <w:sz w:val="24"/>
          <w:szCs w:val="24"/>
        </w:rPr>
        <w:t xml:space="preserve">show that the introduction of the masks increases the content of the voids, therefore the porosity, passing from 4.5% to 6.5% in </w:t>
      </w:r>
      <w:r w:rsidR="00942DDA" w:rsidRPr="006F2D6A">
        <w:rPr>
          <w:sz w:val="24"/>
          <w:szCs w:val="24"/>
        </w:rPr>
        <w:t>mixture (2)</w:t>
      </w:r>
      <w:r w:rsidRPr="006F2D6A">
        <w:rPr>
          <w:sz w:val="24"/>
          <w:szCs w:val="24"/>
        </w:rPr>
        <w:t xml:space="preserve"> and even to 8.5% in </w:t>
      </w:r>
      <w:r w:rsidR="00942DDA" w:rsidRPr="006F2D6A">
        <w:rPr>
          <w:sz w:val="24"/>
          <w:szCs w:val="24"/>
        </w:rPr>
        <w:t>mixture (</w:t>
      </w:r>
      <w:r w:rsidR="003955D8" w:rsidRPr="006F2D6A">
        <w:rPr>
          <w:sz w:val="24"/>
          <w:szCs w:val="24"/>
        </w:rPr>
        <w:t>4</w:t>
      </w:r>
      <w:r w:rsidR="00942DDA" w:rsidRPr="006F2D6A">
        <w:rPr>
          <w:sz w:val="24"/>
          <w:szCs w:val="24"/>
        </w:rPr>
        <w:t>)</w:t>
      </w:r>
      <w:r w:rsidRPr="006F2D6A">
        <w:rPr>
          <w:sz w:val="24"/>
          <w:szCs w:val="24"/>
        </w:rPr>
        <w:t xml:space="preserve">. As porosity increases, mechanical strength </w:t>
      </w:r>
      <w:r w:rsidR="00942DDA" w:rsidRPr="006F2D6A">
        <w:rPr>
          <w:sz w:val="24"/>
          <w:szCs w:val="24"/>
        </w:rPr>
        <w:t xml:space="preserve">generally </w:t>
      </w:r>
      <w:r w:rsidRPr="006F2D6A">
        <w:rPr>
          <w:sz w:val="24"/>
          <w:szCs w:val="24"/>
        </w:rPr>
        <w:t xml:space="preserve">decreases, because the bonds between the granules of the conglomerate decrease. This can be explained through the visual analysis which shows that a large </w:t>
      </w:r>
      <w:proofErr w:type="gramStart"/>
      <w:r w:rsidRPr="006F2D6A">
        <w:rPr>
          <w:sz w:val="24"/>
          <w:szCs w:val="24"/>
        </w:rPr>
        <w:t>amount</w:t>
      </w:r>
      <w:proofErr w:type="gramEnd"/>
      <w:r w:rsidRPr="006F2D6A">
        <w:rPr>
          <w:sz w:val="24"/>
          <w:szCs w:val="24"/>
        </w:rPr>
        <w:t xml:space="preserve"> of masks that did not dissolve and remained present among the aggregate granules in the form of fibrous filaments. </w:t>
      </w:r>
      <w:r w:rsidR="00F6438D" w:rsidRPr="006F2D6A">
        <w:rPr>
          <w:sz w:val="24"/>
          <w:szCs w:val="24"/>
        </w:rPr>
        <w:t>In case of mixture (</w:t>
      </w:r>
      <w:r w:rsidR="003955D8" w:rsidRPr="006F2D6A">
        <w:rPr>
          <w:sz w:val="24"/>
          <w:szCs w:val="24"/>
        </w:rPr>
        <w:t>3</w:t>
      </w:r>
      <w:r w:rsidR="00F6438D" w:rsidRPr="006F2D6A">
        <w:rPr>
          <w:sz w:val="24"/>
          <w:szCs w:val="24"/>
        </w:rPr>
        <w:t>)</w:t>
      </w:r>
      <w:r w:rsidRPr="006F2D6A">
        <w:rPr>
          <w:sz w:val="24"/>
          <w:szCs w:val="24"/>
        </w:rPr>
        <w:t xml:space="preserve"> with masks and gloves the nitrile component, with a melting point around 120°, has melted, being incorporated into the binder, increasing its </w:t>
      </w:r>
      <w:proofErr w:type="gramStart"/>
      <w:r w:rsidRPr="006F2D6A">
        <w:rPr>
          <w:sz w:val="24"/>
          <w:szCs w:val="24"/>
        </w:rPr>
        <w:t>volume</w:t>
      </w:r>
      <w:proofErr w:type="gramEnd"/>
      <w:r w:rsidRPr="006F2D6A">
        <w:rPr>
          <w:sz w:val="24"/>
          <w:szCs w:val="24"/>
        </w:rPr>
        <w:t xml:space="preserve"> and reducing its voids, reaching a similar result</w:t>
      </w:r>
      <w:r w:rsidR="00083F30" w:rsidRPr="006F2D6A">
        <w:rPr>
          <w:sz w:val="24"/>
          <w:szCs w:val="24"/>
        </w:rPr>
        <w:t xml:space="preserve"> </w:t>
      </w:r>
      <w:r w:rsidRPr="006F2D6A">
        <w:rPr>
          <w:sz w:val="24"/>
          <w:szCs w:val="24"/>
        </w:rPr>
        <w:t xml:space="preserve">to </w:t>
      </w:r>
      <w:r w:rsidR="001A60AE">
        <w:rPr>
          <w:sz w:val="24"/>
          <w:szCs w:val="24"/>
        </w:rPr>
        <w:t>mixture (1)</w:t>
      </w:r>
      <w:r w:rsidRPr="006F2D6A">
        <w:rPr>
          <w:sz w:val="24"/>
          <w:szCs w:val="24"/>
        </w:rPr>
        <w:t>. Probably an even higher percentage of gloves would lead to a lower porosity.</w:t>
      </w:r>
    </w:p>
    <w:p w14:paraId="3E02D531" w14:textId="593942A4" w:rsidR="00F6438D" w:rsidRPr="001A60AE" w:rsidRDefault="00F6438D" w:rsidP="001A60AE">
      <w:pPr>
        <w:spacing w:line="276" w:lineRule="auto"/>
        <w:rPr>
          <w:sz w:val="24"/>
          <w:szCs w:val="24"/>
        </w:rPr>
      </w:pPr>
      <w:r w:rsidRPr="001A60AE">
        <w:rPr>
          <w:sz w:val="24"/>
          <w:szCs w:val="24"/>
        </w:rPr>
        <w:t xml:space="preserve">Regarding the indirect tensile strength, </w:t>
      </w:r>
      <w:r w:rsidR="003C4D55" w:rsidRPr="006F2D6A">
        <w:rPr>
          <w:sz w:val="24"/>
          <w:szCs w:val="24"/>
        </w:rPr>
        <w:t>mixture (1) and (2)</w:t>
      </w:r>
      <w:r w:rsidRPr="001A60AE">
        <w:rPr>
          <w:sz w:val="24"/>
          <w:szCs w:val="24"/>
        </w:rPr>
        <w:t xml:space="preserve"> have a </w:t>
      </w:r>
      <w:r w:rsidR="003C4D55" w:rsidRPr="006F2D6A">
        <w:rPr>
          <w:sz w:val="24"/>
          <w:szCs w:val="24"/>
        </w:rPr>
        <w:t>similar result</w:t>
      </w:r>
      <w:r w:rsidRPr="001A60AE">
        <w:rPr>
          <w:sz w:val="24"/>
          <w:szCs w:val="24"/>
        </w:rPr>
        <w:t>, while</w:t>
      </w:r>
      <w:r w:rsidR="003C4D55" w:rsidRPr="006F2D6A">
        <w:rPr>
          <w:sz w:val="24"/>
          <w:szCs w:val="24"/>
        </w:rPr>
        <w:t xml:space="preserve"> mixture (3) </w:t>
      </w:r>
      <w:r w:rsidRPr="001A60AE">
        <w:rPr>
          <w:sz w:val="24"/>
          <w:szCs w:val="24"/>
        </w:rPr>
        <w:t>has a 25% higher (Rt) than the first</w:t>
      </w:r>
      <w:r w:rsidR="00793736" w:rsidRPr="006F2D6A">
        <w:rPr>
          <w:sz w:val="24"/>
          <w:szCs w:val="24"/>
        </w:rPr>
        <w:t>, and mixture (4) is non-classifiable.</w:t>
      </w:r>
    </w:p>
    <w:p w14:paraId="6854944F" w14:textId="33886EB5" w:rsidR="00793736" w:rsidRPr="006F2D6A" w:rsidRDefault="00793736" w:rsidP="006F2D6A">
      <w:pPr>
        <w:spacing w:line="276" w:lineRule="auto"/>
        <w:rPr>
          <w:sz w:val="24"/>
          <w:szCs w:val="24"/>
        </w:rPr>
      </w:pPr>
      <w:r w:rsidRPr="006F2D6A">
        <w:rPr>
          <w:sz w:val="24"/>
          <w:szCs w:val="24"/>
        </w:rPr>
        <w:t xml:space="preserve">The same trend is also </w:t>
      </w:r>
      <w:r w:rsidR="00C3578C">
        <w:rPr>
          <w:sz w:val="24"/>
          <w:szCs w:val="24"/>
        </w:rPr>
        <w:t xml:space="preserve">observed </w:t>
      </w:r>
      <w:r w:rsidRPr="006F2D6A">
        <w:rPr>
          <w:sz w:val="24"/>
          <w:szCs w:val="24"/>
        </w:rPr>
        <w:t>for the CTI in which mixture (2) shows a slight improvement in stiffness and ductility, mixture (3) shows a significant improvement of 50%, and the mixture (4) worsens the characteristics originating in the</w:t>
      </w:r>
      <w:r w:rsidR="00C3578C">
        <w:rPr>
          <w:sz w:val="24"/>
          <w:szCs w:val="24"/>
        </w:rPr>
        <w:t xml:space="preserve"> standard</w:t>
      </w:r>
      <w:r w:rsidRPr="006F2D6A">
        <w:rPr>
          <w:sz w:val="24"/>
          <w:szCs w:val="24"/>
        </w:rPr>
        <w:t xml:space="preserve"> HMA. Greater stiffness in certain soil conditions</w:t>
      </w:r>
      <w:r w:rsidR="00C3578C">
        <w:rPr>
          <w:sz w:val="24"/>
          <w:szCs w:val="24"/>
        </w:rPr>
        <w:t xml:space="preserve"> (i.e., stable grounds)</w:t>
      </w:r>
      <w:r w:rsidRPr="006F2D6A">
        <w:rPr>
          <w:sz w:val="24"/>
          <w:szCs w:val="24"/>
        </w:rPr>
        <w:t xml:space="preserve"> allows asphalt to last longer.</w:t>
      </w:r>
    </w:p>
    <w:p w14:paraId="37BDA6F3" w14:textId="6C186D58" w:rsidR="00F6438D" w:rsidRPr="006F2D6A" w:rsidRDefault="00793736" w:rsidP="001A60AE">
      <w:pPr>
        <w:spacing w:line="276" w:lineRule="auto"/>
        <w:rPr>
          <w:sz w:val="24"/>
          <w:szCs w:val="24"/>
        </w:rPr>
      </w:pPr>
      <w:r w:rsidRPr="006F2D6A">
        <w:rPr>
          <w:sz w:val="24"/>
          <w:szCs w:val="24"/>
        </w:rPr>
        <w:t xml:space="preserve">On the contrary, as regards crack resistance, mixture (4) </w:t>
      </w:r>
      <w:r w:rsidR="00C3578C">
        <w:rPr>
          <w:sz w:val="24"/>
          <w:szCs w:val="24"/>
        </w:rPr>
        <w:t>leads to the best</w:t>
      </w:r>
      <w:r w:rsidRPr="006F2D6A">
        <w:rPr>
          <w:sz w:val="24"/>
          <w:szCs w:val="24"/>
        </w:rPr>
        <w:t xml:space="preserve"> results, while mixture (3) has the worst crack resistance.</w:t>
      </w:r>
    </w:p>
    <w:p w14:paraId="2794326A" w14:textId="3834121B" w:rsidR="00571F25" w:rsidRDefault="00571F25" w:rsidP="00060FAC">
      <w:pPr>
        <w:rPr>
          <w:sz w:val="24"/>
          <w:szCs w:val="24"/>
        </w:rPr>
      </w:pPr>
    </w:p>
    <w:p w14:paraId="18611E1C" w14:textId="55C08192" w:rsidR="00571F25" w:rsidRDefault="00571F25" w:rsidP="00571F25">
      <w:pPr>
        <w:pStyle w:val="TableCaption"/>
        <w:spacing w:after="120" w:line="276" w:lineRule="auto"/>
        <w:ind w:left="1915" w:right="1800"/>
      </w:pPr>
      <w:r>
        <w:lastRenderedPageBreak/>
        <w:t>Figure</w:t>
      </w:r>
      <w:r w:rsidRPr="00581B30">
        <w:t xml:space="preserve"> </w:t>
      </w:r>
      <w:r>
        <w:t>1</w:t>
      </w:r>
      <w:r w:rsidRPr="00581B30">
        <w:t xml:space="preserve">. </w:t>
      </w:r>
      <w:r>
        <w:t xml:space="preserve">Void, Rt, CTI and </w:t>
      </w:r>
      <w:r w:rsidRPr="00571F25">
        <w:t>CT-Index</w:t>
      </w:r>
      <w:r>
        <w:t xml:space="preserve"> tests</w:t>
      </w:r>
      <w:r w:rsidR="00C3578C">
        <w:t xml:space="preserve"> results</w:t>
      </w:r>
    </w:p>
    <w:p w14:paraId="025E9A04" w14:textId="65BC8673" w:rsidR="00571F25" w:rsidRDefault="00571F25" w:rsidP="001A60AE">
      <w:pPr>
        <w:pStyle w:val="Figure"/>
      </w:pPr>
      <w:r>
        <w:rPr>
          <w:noProof/>
        </w:rPr>
        <w:drawing>
          <wp:inline distT="0" distB="0" distL="0" distR="0" wp14:anchorId="55345191" wp14:editId="1D71F797">
            <wp:extent cx="4536000" cy="2093280"/>
            <wp:effectExtent l="0" t="0" r="0" b="254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2093280"/>
                    </a:xfrm>
                    <a:prstGeom prst="rect">
                      <a:avLst/>
                    </a:prstGeom>
                  </pic:spPr>
                </pic:pic>
              </a:graphicData>
            </a:graphic>
          </wp:inline>
        </w:drawing>
      </w:r>
    </w:p>
    <w:p w14:paraId="2E3056CE" w14:textId="2260678F" w:rsidR="00083F30" w:rsidRDefault="00C85B3F" w:rsidP="001A60AE">
      <w:pPr>
        <w:spacing w:line="276" w:lineRule="auto"/>
        <w:rPr>
          <w:sz w:val="24"/>
          <w:szCs w:val="24"/>
        </w:rPr>
      </w:pPr>
      <w:r w:rsidRPr="006F2D6A">
        <w:rPr>
          <w:sz w:val="24"/>
          <w:szCs w:val="24"/>
        </w:rPr>
        <w:t xml:space="preserve">By </w:t>
      </w:r>
      <w:r w:rsidR="00F6438D" w:rsidRPr="006F2D6A">
        <w:rPr>
          <w:sz w:val="24"/>
          <w:szCs w:val="24"/>
        </w:rPr>
        <w:t>deriving data from the abovementioned</w:t>
      </w:r>
      <w:r w:rsidRPr="006F2D6A">
        <w:rPr>
          <w:sz w:val="24"/>
          <w:szCs w:val="24"/>
        </w:rPr>
        <w:t xml:space="preserve"> LCA studies, it </w:t>
      </w:r>
      <w:r w:rsidR="00C3578C">
        <w:rPr>
          <w:sz w:val="24"/>
          <w:szCs w:val="24"/>
        </w:rPr>
        <w:t>was</w:t>
      </w:r>
      <w:r w:rsidRPr="006F2D6A">
        <w:rPr>
          <w:sz w:val="24"/>
          <w:szCs w:val="24"/>
        </w:rPr>
        <w:t xml:space="preserve"> possible to </w:t>
      </w:r>
      <w:r w:rsidR="00C3578C">
        <w:rPr>
          <w:sz w:val="24"/>
          <w:szCs w:val="24"/>
        </w:rPr>
        <w:t>carry out</w:t>
      </w:r>
      <w:r w:rsidRPr="006F2D6A">
        <w:rPr>
          <w:sz w:val="24"/>
          <w:szCs w:val="24"/>
        </w:rPr>
        <w:t xml:space="preserve"> a </w:t>
      </w:r>
      <w:r w:rsidR="00F6438D" w:rsidRPr="006F2D6A">
        <w:rPr>
          <w:sz w:val="24"/>
          <w:szCs w:val="24"/>
        </w:rPr>
        <w:t xml:space="preserve">preliminary environmental assessment </w:t>
      </w:r>
      <w:r w:rsidRPr="006F2D6A">
        <w:rPr>
          <w:sz w:val="24"/>
          <w:szCs w:val="24"/>
        </w:rPr>
        <w:t>considering the materials used to produce</w:t>
      </w:r>
      <w:r w:rsidR="00B73E6B">
        <w:rPr>
          <w:sz w:val="24"/>
          <w:szCs w:val="24"/>
        </w:rPr>
        <w:t xml:space="preserve"> and ma</w:t>
      </w:r>
      <w:r w:rsidR="005D2578">
        <w:rPr>
          <w:sz w:val="24"/>
          <w:szCs w:val="24"/>
        </w:rPr>
        <w:t>i</w:t>
      </w:r>
      <w:r w:rsidR="00B73E6B">
        <w:rPr>
          <w:sz w:val="24"/>
          <w:szCs w:val="24"/>
        </w:rPr>
        <w:t>ntain</w:t>
      </w:r>
      <w:r w:rsidRPr="006F2D6A">
        <w:rPr>
          <w:sz w:val="24"/>
          <w:szCs w:val="24"/>
        </w:rPr>
        <w:t xml:space="preserve"> 1</w:t>
      </w:r>
      <w:r w:rsidR="00390AD3" w:rsidRPr="006F2D6A">
        <w:rPr>
          <w:sz w:val="24"/>
          <w:szCs w:val="24"/>
        </w:rPr>
        <w:t xml:space="preserve"> </w:t>
      </w:r>
      <w:r w:rsidRPr="006F2D6A">
        <w:rPr>
          <w:sz w:val="24"/>
          <w:szCs w:val="24"/>
        </w:rPr>
        <w:t>m</w:t>
      </w:r>
      <w:r w:rsidRPr="006F2D6A">
        <w:rPr>
          <w:sz w:val="24"/>
          <w:szCs w:val="24"/>
          <w:vertAlign w:val="superscript"/>
        </w:rPr>
        <w:t>2</w:t>
      </w:r>
      <w:r w:rsidRPr="006F2D6A">
        <w:rPr>
          <w:sz w:val="24"/>
          <w:szCs w:val="24"/>
        </w:rPr>
        <w:t xml:space="preserve"> of asphalt </w:t>
      </w:r>
      <w:r w:rsidR="00B73E6B">
        <w:rPr>
          <w:sz w:val="24"/>
          <w:szCs w:val="24"/>
        </w:rPr>
        <w:t xml:space="preserve">in </w:t>
      </w:r>
      <w:r w:rsidRPr="006F2D6A">
        <w:rPr>
          <w:sz w:val="24"/>
          <w:szCs w:val="24"/>
        </w:rPr>
        <w:t xml:space="preserve">a time horizon of 30 years. </w:t>
      </w:r>
      <w:r w:rsidR="00F6438D" w:rsidRPr="006F2D6A">
        <w:rPr>
          <w:sz w:val="24"/>
          <w:szCs w:val="24"/>
        </w:rPr>
        <w:t xml:space="preserve">On the basis of a previous LCA on </w:t>
      </w:r>
      <w:r w:rsidR="00B73E6B">
        <w:rPr>
          <w:sz w:val="24"/>
          <w:szCs w:val="24"/>
        </w:rPr>
        <w:t xml:space="preserve">reinforced </w:t>
      </w:r>
      <w:proofErr w:type="spellStart"/>
      <w:r w:rsidR="00F6438D" w:rsidRPr="006F2D6A">
        <w:rPr>
          <w:sz w:val="24"/>
          <w:szCs w:val="24"/>
        </w:rPr>
        <w:t>bitominous</w:t>
      </w:r>
      <w:proofErr w:type="spellEnd"/>
      <w:r w:rsidR="00F6438D" w:rsidRPr="006F2D6A">
        <w:rPr>
          <w:sz w:val="24"/>
          <w:szCs w:val="24"/>
        </w:rPr>
        <w:t xml:space="preserve"> conglomerates </w:t>
      </w:r>
      <w:r w:rsidR="00942552" w:rsidRPr="006F2D6A">
        <w:rPr>
          <w:sz w:val="24"/>
          <w:szCs w:val="24"/>
        </w:rPr>
        <w:fldChar w:fldCharType="begin" w:fldLock="1"/>
      </w:r>
      <w:r w:rsidR="00E56E1B">
        <w:rPr>
          <w:sz w:val="24"/>
          <w:szCs w:val="24"/>
        </w:rPr>
        <w:instrText>ADDIN CSL_CITATION {"citationItems":[{"id":"ITEM-1","itemData":{"author":[{"dropping-particle":"","family":"Landi","given":"Daniele","non-dropping-particle":"","parse-names":false,"suffix":""},{"dropping-particle":"","family":"Marconi","given":"Marco","non-dropping-particle":"","parse-names":false,"suffix":""},{"dropping-particle":"","family":"Bocci","given":"Edoardo","non-dropping-particle":"","parse-names":false,"suffix":""},{"dropping-particle":"","family":"Michele","given":"Germani","non-dropping-particle":"","parse-names":false,"suffix":""}],"container-title":"Journal of Cleaner Production 248","id":"ITEM-1","issued":{"date-parts":[["2020"]]},"title":"Comparative life cycle assessment of standard, cellulose-reinforced and end of life tires fiber-reinforced hot mix asphalt mixtures","type":"article-journal"},"uris":["http://www.mendeley.com/documents/?uuid=bde59492-5770-44a0-a5c4-52e9163b5647"]}],"mendeley":{"formattedCitation":"(Landi et al., 2020)","plainTextFormattedCitation":"(Landi et al., 2020)","previouslyFormattedCitation":"(Landi et al., 2020)"},"properties":{"noteIndex":0},"schema":"https://github.com/citation-style-language/schema/raw/master/csl-citation.json"}</w:instrText>
      </w:r>
      <w:r w:rsidR="00942552" w:rsidRPr="006F2D6A">
        <w:rPr>
          <w:sz w:val="24"/>
          <w:szCs w:val="24"/>
        </w:rPr>
        <w:fldChar w:fldCharType="separate"/>
      </w:r>
      <w:r w:rsidR="00942552" w:rsidRPr="006F2D6A">
        <w:rPr>
          <w:noProof/>
          <w:sz w:val="24"/>
          <w:szCs w:val="24"/>
        </w:rPr>
        <w:t>(Landi et al., 2020)</w:t>
      </w:r>
      <w:r w:rsidR="00942552" w:rsidRPr="006F2D6A">
        <w:rPr>
          <w:sz w:val="24"/>
          <w:szCs w:val="24"/>
        </w:rPr>
        <w:fldChar w:fldCharType="end"/>
      </w:r>
      <w:r w:rsidR="00942552" w:rsidRPr="006F2D6A">
        <w:rPr>
          <w:sz w:val="24"/>
          <w:szCs w:val="24"/>
        </w:rPr>
        <w:t xml:space="preserve">, </w:t>
      </w:r>
      <w:r w:rsidR="00B73E6B">
        <w:rPr>
          <w:sz w:val="24"/>
          <w:szCs w:val="24"/>
        </w:rPr>
        <w:t xml:space="preserve">and of the present tests, </w:t>
      </w:r>
      <w:r w:rsidR="00942552" w:rsidRPr="006F2D6A">
        <w:rPr>
          <w:sz w:val="24"/>
          <w:szCs w:val="24"/>
        </w:rPr>
        <w:t xml:space="preserve">it </w:t>
      </w:r>
      <w:r w:rsidR="005D2578">
        <w:rPr>
          <w:sz w:val="24"/>
          <w:szCs w:val="24"/>
        </w:rPr>
        <w:t>was</w:t>
      </w:r>
      <w:r w:rsidRPr="006F2D6A">
        <w:rPr>
          <w:sz w:val="24"/>
          <w:szCs w:val="24"/>
        </w:rPr>
        <w:t xml:space="preserve"> possible to deduce that a </w:t>
      </w:r>
      <w:r w:rsidR="00F6438D" w:rsidRPr="006F2D6A">
        <w:rPr>
          <w:sz w:val="24"/>
          <w:szCs w:val="24"/>
        </w:rPr>
        <w:t xml:space="preserve">road pavement </w:t>
      </w:r>
      <w:r w:rsidRPr="006F2D6A">
        <w:rPr>
          <w:sz w:val="24"/>
          <w:szCs w:val="24"/>
        </w:rPr>
        <w:t xml:space="preserve">made with </w:t>
      </w:r>
      <w:r w:rsidR="001A60AE">
        <w:rPr>
          <w:sz w:val="24"/>
          <w:szCs w:val="24"/>
        </w:rPr>
        <w:t>mixture (3)</w:t>
      </w:r>
      <w:r w:rsidRPr="006F2D6A">
        <w:rPr>
          <w:sz w:val="24"/>
          <w:szCs w:val="24"/>
        </w:rPr>
        <w:t xml:space="preserve"> </w:t>
      </w:r>
      <w:r w:rsidR="005D2578">
        <w:rPr>
          <w:sz w:val="24"/>
          <w:szCs w:val="24"/>
        </w:rPr>
        <w:t xml:space="preserve">(i.e. the most promising) </w:t>
      </w:r>
      <w:r w:rsidRPr="006F2D6A">
        <w:rPr>
          <w:sz w:val="24"/>
          <w:szCs w:val="24"/>
        </w:rPr>
        <w:t xml:space="preserve">has a life span higher than the standard HMA mixture </w:t>
      </w:r>
      <w:r w:rsidR="005D2578">
        <w:rPr>
          <w:sz w:val="24"/>
          <w:szCs w:val="24"/>
        </w:rPr>
        <w:t xml:space="preserve">with an increase </w:t>
      </w:r>
      <w:r w:rsidR="004951C6">
        <w:rPr>
          <w:sz w:val="24"/>
          <w:szCs w:val="24"/>
        </w:rPr>
        <w:t>of</w:t>
      </w:r>
      <w:r w:rsidRPr="006F2D6A">
        <w:rPr>
          <w:sz w:val="24"/>
          <w:szCs w:val="24"/>
        </w:rPr>
        <w:t xml:space="preserve"> 17% </w:t>
      </w:r>
      <w:r w:rsidR="004951C6">
        <w:rPr>
          <w:sz w:val="24"/>
          <w:szCs w:val="24"/>
        </w:rPr>
        <w:t xml:space="preserve">for </w:t>
      </w:r>
      <w:r w:rsidRPr="006F2D6A">
        <w:rPr>
          <w:sz w:val="24"/>
          <w:szCs w:val="24"/>
        </w:rPr>
        <w:t>base</w:t>
      </w:r>
      <w:r w:rsidR="004951C6">
        <w:rPr>
          <w:sz w:val="24"/>
          <w:szCs w:val="24"/>
        </w:rPr>
        <w:t>, 10</w:t>
      </w:r>
      <w:r w:rsidR="00FE2C0F">
        <w:rPr>
          <w:sz w:val="24"/>
          <w:szCs w:val="24"/>
        </w:rPr>
        <w:t>,</w:t>
      </w:r>
      <w:r w:rsidR="004951C6">
        <w:rPr>
          <w:sz w:val="24"/>
          <w:szCs w:val="24"/>
        </w:rPr>
        <w:t>7% for binder, and 12</w:t>
      </w:r>
      <w:r w:rsidR="00FE2C0F">
        <w:rPr>
          <w:sz w:val="24"/>
          <w:szCs w:val="24"/>
        </w:rPr>
        <w:t>,</w:t>
      </w:r>
      <w:r w:rsidR="004951C6">
        <w:rPr>
          <w:sz w:val="24"/>
          <w:szCs w:val="24"/>
        </w:rPr>
        <w:t>5% for wearing course layers</w:t>
      </w:r>
      <w:r w:rsidRPr="006F2D6A">
        <w:rPr>
          <w:sz w:val="24"/>
          <w:szCs w:val="24"/>
        </w:rPr>
        <w:t>.</w:t>
      </w:r>
      <w:r w:rsidR="00DE2B75" w:rsidRPr="006F2D6A">
        <w:rPr>
          <w:sz w:val="24"/>
          <w:szCs w:val="24"/>
        </w:rPr>
        <w:t xml:space="preserve"> </w:t>
      </w:r>
      <w:r w:rsidRPr="006F2D6A">
        <w:rPr>
          <w:sz w:val="24"/>
          <w:szCs w:val="24"/>
        </w:rPr>
        <w:t xml:space="preserve">Table 3 </w:t>
      </w:r>
      <w:r w:rsidR="004951C6">
        <w:rPr>
          <w:sz w:val="24"/>
          <w:szCs w:val="24"/>
        </w:rPr>
        <w:t>reports</w:t>
      </w:r>
      <w:r w:rsidRPr="006F2D6A">
        <w:rPr>
          <w:sz w:val="24"/>
          <w:szCs w:val="24"/>
        </w:rPr>
        <w:t xml:space="preserve"> the materials used to produce 1</w:t>
      </w:r>
      <w:r w:rsidR="00390AD3" w:rsidRPr="006F2D6A">
        <w:rPr>
          <w:sz w:val="24"/>
          <w:szCs w:val="24"/>
        </w:rPr>
        <w:t xml:space="preserve"> </w:t>
      </w:r>
      <w:r w:rsidRPr="006F2D6A">
        <w:rPr>
          <w:sz w:val="24"/>
          <w:szCs w:val="24"/>
        </w:rPr>
        <w:t>m</w:t>
      </w:r>
      <w:r w:rsidRPr="006F2D6A">
        <w:rPr>
          <w:sz w:val="24"/>
          <w:szCs w:val="24"/>
          <w:vertAlign w:val="superscript"/>
        </w:rPr>
        <w:t>2</w:t>
      </w:r>
      <w:r w:rsidRPr="006F2D6A">
        <w:rPr>
          <w:sz w:val="24"/>
          <w:szCs w:val="24"/>
        </w:rPr>
        <w:t xml:space="preserve"> of asphalt using the </w:t>
      </w:r>
      <w:proofErr w:type="spellStart"/>
      <w:r w:rsidRPr="006F2D6A">
        <w:rPr>
          <w:sz w:val="24"/>
          <w:szCs w:val="24"/>
        </w:rPr>
        <w:t>HMA</w:t>
      </w:r>
      <w:r w:rsidR="006E18E4" w:rsidRPr="006F2D6A">
        <w:rPr>
          <w:sz w:val="24"/>
          <w:szCs w:val="24"/>
        </w:rPr>
        <w:t>+</w:t>
      </w:r>
      <w:r w:rsidRPr="006F2D6A">
        <w:rPr>
          <w:sz w:val="24"/>
          <w:szCs w:val="24"/>
        </w:rPr>
        <w:t>Mask</w:t>
      </w:r>
      <w:proofErr w:type="spellEnd"/>
      <w:r w:rsidR="006E18E4" w:rsidRPr="006F2D6A">
        <w:rPr>
          <w:sz w:val="24"/>
          <w:szCs w:val="24"/>
        </w:rPr>
        <w:t>/G</w:t>
      </w:r>
      <w:r w:rsidRPr="006F2D6A">
        <w:rPr>
          <w:sz w:val="24"/>
          <w:szCs w:val="24"/>
        </w:rPr>
        <w:t>loves.</w:t>
      </w:r>
    </w:p>
    <w:p w14:paraId="3A042DC1" w14:textId="77777777" w:rsidR="001A60AE" w:rsidRPr="006F2D6A" w:rsidRDefault="001A60AE" w:rsidP="001A60AE">
      <w:pPr>
        <w:spacing w:line="276" w:lineRule="auto"/>
        <w:rPr>
          <w:sz w:val="24"/>
          <w:szCs w:val="24"/>
        </w:rPr>
      </w:pPr>
    </w:p>
    <w:p w14:paraId="57EAA2AE" w14:textId="5F6FDE0D" w:rsidR="00C85B3F" w:rsidRDefault="00C85B3F" w:rsidP="00C85B3F">
      <w:pPr>
        <w:rPr>
          <w:sz w:val="24"/>
          <w:szCs w:val="24"/>
        </w:rPr>
      </w:pPr>
    </w:p>
    <w:p w14:paraId="2F1B77EF" w14:textId="0676F98B" w:rsidR="00C85B3F" w:rsidRDefault="00C85B3F" w:rsidP="00C85B3F">
      <w:pPr>
        <w:pStyle w:val="TableCaption"/>
        <w:spacing w:after="120" w:line="276" w:lineRule="auto"/>
        <w:ind w:left="1915" w:right="1800"/>
      </w:pPr>
      <w:r>
        <w:rPr>
          <w:noProof/>
        </w:rPr>
        <w:t>Table</w:t>
      </w:r>
      <w:r w:rsidRPr="00581B30">
        <w:t xml:space="preserve"> </w:t>
      </w:r>
      <w:r>
        <w:t>3</w:t>
      </w:r>
      <w:r w:rsidRPr="00581B30">
        <w:t xml:space="preserve">. </w:t>
      </w:r>
      <w:r w:rsidRPr="00C85B3F">
        <w:t xml:space="preserve">Inventory of materials </w:t>
      </w:r>
      <w:r w:rsidR="006E18E4" w:rsidRPr="00C85B3F">
        <w:t>to produce</w:t>
      </w:r>
      <w:r w:rsidR="00DE2B75">
        <w:t xml:space="preserve"> and maintain</w:t>
      </w:r>
      <w:r w:rsidRPr="00C85B3F">
        <w:t xml:space="preserve"> 1</w:t>
      </w:r>
      <w:r w:rsidR="00390AD3">
        <w:t xml:space="preserve"> </w:t>
      </w:r>
      <w:r w:rsidRPr="00C85B3F">
        <w:t>m</w:t>
      </w:r>
      <w:r w:rsidRPr="00C85B3F">
        <w:rPr>
          <w:vertAlign w:val="superscript"/>
        </w:rPr>
        <w:t>2</w:t>
      </w:r>
      <w:r w:rsidRPr="00C85B3F">
        <w:t xml:space="preserve"> of asphalt</w:t>
      </w:r>
      <w:r w:rsidR="00DE2B75">
        <w:t xml:space="preserve"> for 30 years</w:t>
      </w:r>
    </w:p>
    <w:tbl>
      <w:tblPr>
        <w:tblW w:w="7512" w:type="dxa"/>
        <w:jc w:val="center"/>
        <w:tblLayout w:type="fixed"/>
        <w:tblLook w:val="0000" w:firstRow="0" w:lastRow="0" w:firstColumn="0" w:lastColumn="0" w:noHBand="0" w:noVBand="0"/>
      </w:tblPr>
      <w:tblGrid>
        <w:gridCol w:w="1417"/>
        <w:gridCol w:w="851"/>
        <w:gridCol w:w="850"/>
        <w:gridCol w:w="992"/>
        <w:gridCol w:w="1134"/>
        <w:gridCol w:w="993"/>
        <w:gridCol w:w="1275"/>
      </w:tblGrid>
      <w:tr w:rsidR="00C85B3F" w:rsidRPr="00D01D4B" w14:paraId="1E3F0946" w14:textId="77777777" w:rsidTr="00C85B3F">
        <w:trPr>
          <w:trHeight w:val="200"/>
          <w:jc w:val="center"/>
        </w:trPr>
        <w:tc>
          <w:tcPr>
            <w:tcW w:w="1417" w:type="dxa"/>
            <w:tcBorders>
              <w:top w:val="single" w:sz="4" w:space="0" w:color="auto"/>
              <w:bottom w:val="single" w:sz="4" w:space="0" w:color="auto"/>
            </w:tcBorders>
          </w:tcPr>
          <w:p w14:paraId="263ABBAA" w14:textId="77777777" w:rsidR="00C85B3F" w:rsidRPr="00C85B3F" w:rsidRDefault="00C85B3F" w:rsidP="008465C9">
            <w:pPr>
              <w:pStyle w:val="Table"/>
              <w:spacing w:line="276" w:lineRule="auto"/>
              <w:jc w:val="center"/>
              <w:rPr>
                <w:snapToGrid w:val="0"/>
              </w:rPr>
            </w:pPr>
          </w:p>
        </w:tc>
        <w:tc>
          <w:tcPr>
            <w:tcW w:w="3827" w:type="dxa"/>
            <w:gridSpan w:val="4"/>
            <w:tcBorders>
              <w:top w:val="single" w:sz="4" w:space="0" w:color="auto"/>
              <w:bottom w:val="single" w:sz="4" w:space="0" w:color="auto"/>
            </w:tcBorders>
            <w:vAlign w:val="bottom"/>
          </w:tcPr>
          <w:p w14:paraId="363E39FB" w14:textId="77777777" w:rsidR="00C85B3F" w:rsidRPr="004951C6" w:rsidRDefault="00C85B3F" w:rsidP="008465C9">
            <w:pPr>
              <w:pStyle w:val="Table"/>
              <w:spacing w:line="276" w:lineRule="auto"/>
              <w:jc w:val="center"/>
              <w:rPr>
                <w:b/>
                <w:bCs/>
                <w:snapToGrid w:val="0"/>
              </w:rPr>
            </w:pPr>
            <w:proofErr w:type="spellStart"/>
            <w:r w:rsidRPr="004951C6">
              <w:rPr>
                <w:b/>
                <w:bCs/>
                <w:snapToGrid w:val="0"/>
              </w:rPr>
              <w:t>HMA+Mask</w:t>
            </w:r>
            <w:proofErr w:type="spellEnd"/>
            <w:r w:rsidRPr="004951C6">
              <w:rPr>
                <w:b/>
                <w:bCs/>
                <w:snapToGrid w:val="0"/>
              </w:rPr>
              <w:t>/Gloves mixture</w:t>
            </w:r>
          </w:p>
        </w:tc>
        <w:tc>
          <w:tcPr>
            <w:tcW w:w="993" w:type="dxa"/>
            <w:tcBorders>
              <w:top w:val="single" w:sz="4" w:space="0" w:color="auto"/>
              <w:bottom w:val="single" w:sz="4" w:space="0" w:color="auto"/>
            </w:tcBorders>
          </w:tcPr>
          <w:p w14:paraId="0C432821" w14:textId="77777777" w:rsidR="00C85B3F" w:rsidRPr="004951C6" w:rsidRDefault="00C85B3F" w:rsidP="008465C9">
            <w:pPr>
              <w:pStyle w:val="Table"/>
              <w:spacing w:line="276" w:lineRule="auto"/>
              <w:jc w:val="center"/>
              <w:rPr>
                <w:b/>
                <w:bCs/>
                <w:snapToGrid w:val="0"/>
              </w:rPr>
            </w:pPr>
          </w:p>
        </w:tc>
        <w:tc>
          <w:tcPr>
            <w:tcW w:w="1275" w:type="dxa"/>
            <w:tcBorders>
              <w:top w:val="single" w:sz="4" w:space="0" w:color="auto"/>
              <w:bottom w:val="single" w:sz="4" w:space="0" w:color="auto"/>
            </w:tcBorders>
          </w:tcPr>
          <w:p w14:paraId="07673A95" w14:textId="77777777" w:rsidR="00C85B3F" w:rsidRPr="004951C6" w:rsidRDefault="00C85B3F" w:rsidP="008465C9">
            <w:pPr>
              <w:pStyle w:val="Table"/>
              <w:spacing w:line="276" w:lineRule="auto"/>
              <w:jc w:val="center"/>
              <w:rPr>
                <w:b/>
                <w:bCs/>
                <w:snapToGrid w:val="0"/>
              </w:rPr>
            </w:pPr>
          </w:p>
        </w:tc>
      </w:tr>
      <w:tr w:rsidR="00C85B3F" w:rsidRPr="00D01D4B" w14:paraId="668239E2" w14:textId="77777777" w:rsidTr="00C85B3F">
        <w:trPr>
          <w:trHeight w:val="200"/>
          <w:jc w:val="center"/>
        </w:trPr>
        <w:tc>
          <w:tcPr>
            <w:tcW w:w="1417" w:type="dxa"/>
            <w:tcBorders>
              <w:top w:val="single" w:sz="4" w:space="0" w:color="auto"/>
              <w:bottom w:val="single" w:sz="4" w:space="0" w:color="auto"/>
            </w:tcBorders>
            <w:vAlign w:val="bottom"/>
          </w:tcPr>
          <w:p w14:paraId="73537D2C" w14:textId="77777777" w:rsidR="00C85B3F" w:rsidRPr="004951C6" w:rsidRDefault="00C85B3F" w:rsidP="008465C9">
            <w:pPr>
              <w:pStyle w:val="Table"/>
              <w:spacing w:line="276" w:lineRule="auto"/>
              <w:rPr>
                <w:b/>
                <w:bCs/>
                <w:snapToGrid w:val="0"/>
              </w:rPr>
            </w:pPr>
            <w:r w:rsidRPr="004951C6">
              <w:rPr>
                <w:b/>
                <w:bCs/>
                <w:snapToGrid w:val="0"/>
              </w:rPr>
              <w:t>Materials</w:t>
            </w:r>
          </w:p>
        </w:tc>
        <w:tc>
          <w:tcPr>
            <w:tcW w:w="851" w:type="dxa"/>
            <w:tcBorders>
              <w:top w:val="single" w:sz="4" w:space="0" w:color="auto"/>
              <w:bottom w:val="single" w:sz="4" w:space="0" w:color="auto"/>
            </w:tcBorders>
          </w:tcPr>
          <w:p w14:paraId="64F5EA68" w14:textId="77777777" w:rsidR="00C85B3F" w:rsidRPr="004951C6" w:rsidRDefault="00C85B3F" w:rsidP="008465C9">
            <w:pPr>
              <w:pStyle w:val="Table"/>
              <w:spacing w:line="276" w:lineRule="auto"/>
              <w:rPr>
                <w:b/>
                <w:bCs/>
                <w:snapToGrid w:val="0"/>
              </w:rPr>
            </w:pPr>
            <w:r w:rsidRPr="004951C6">
              <w:rPr>
                <w:b/>
                <w:bCs/>
                <w:snapToGrid w:val="0"/>
              </w:rPr>
              <w:t>Base %</w:t>
            </w:r>
          </w:p>
        </w:tc>
        <w:tc>
          <w:tcPr>
            <w:tcW w:w="850" w:type="dxa"/>
            <w:tcBorders>
              <w:top w:val="single" w:sz="4" w:space="0" w:color="auto"/>
              <w:bottom w:val="single" w:sz="4" w:space="0" w:color="auto"/>
            </w:tcBorders>
            <w:vAlign w:val="bottom"/>
          </w:tcPr>
          <w:p w14:paraId="492E8780" w14:textId="77777777" w:rsidR="00C85B3F" w:rsidRPr="004951C6" w:rsidRDefault="00C85B3F" w:rsidP="008465C9">
            <w:pPr>
              <w:pStyle w:val="Table"/>
              <w:spacing w:line="276" w:lineRule="auto"/>
              <w:rPr>
                <w:b/>
                <w:bCs/>
                <w:snapToGrid w:val="0"/>
              </w:rPr>
            </w:pPr>
            <w:r w:rsidRPr="004951C6">
              <w:rPr>
                <w:b/>
                <w:bCs/>
                <w:snapToGrid w:val="0"/>
              </w:rPr>
              <w:t>Binder %</w:t>
            </w:r>
          </w:p>
        </w:tc>
        <w:tc>
          <w:tcPr>
            <w:tcW w:w="992" w:type="dxa"/>
            <w:tcBorders>
              <w:top w:val="single" w:sz="4" w:space="0" w:color="auto"/>
              <w:bottom w:val="single" w:sz="4" w:space="0" w:color="auto"/>
            </w:tcBorders>
            <w:vAlign w:val="bottom"/>
          </w:tcPr>
          <w:p w14:paraId="19110CAC" w14:textId="77777777" w:rsidR="00C85B3F" w:rsidRPr="004951C6" w:rsidRDefault="00C85B3F" w:rsidP="008465C9">
            <w:pPr>
              <w:pStyle w:val="Table"/>
              <w:spacing w:line="276" w:lineRule="auto"/>
              <w:rPr>
                <w:b/>
                <w:bCs/>
                <w:snapToGrid w:val="0"/>
              </w:rPr>
            </w:pPr>
            <w:r w:rsidRPr="004951C6">
              <w:rPr>
                <w:b/>
                <w:bCs/>
                <w:snapToGrid w:val="0"/>
              </w:rPr>
              <w:t>Wearing %</w:t>
            </w:r>
          </w:p>
        </w:tc>
        <w:tc>
          <w:tcPr>
            <w:tcW w:w="1134" w:type="dxa"/>
            <w:tcBorders>
              <w:top w:val="single" w:sz="4" w:space="0" w:color="auto"/>
              <w:bottom w:val="single" w:sz="4" w:space="0" w:color="auto"/>
            </w:tcBorders>
            <w:vAlign w:val="bottom"/>
          </w:tcPr>
          <w:p w14:paraId="3E1FEDCA" w14:textId="77777777" w:rsidR="00C85B3F" w:rsidRPr="004951C6" w:rsidRDefault="00C85B3F" w:rsidP="008465C9">
            <w:pPr>
              <w:pStyle w:val="Table"/>
              <w:spacing w:line="276" w:lineRule="auto"/>
              <w:rPr>
                <w:b/>
                <w:bCs/>
                <w:snapToGrid w:val="0"/>
              </w:rPr>
            </w:pPr>
            <w:r w:rsidRPr="004951C6">
              <w:rPr>
                <w:b/>
                <w:bCs/>
                <w:snapToGrid w:val="0"/>
              </w:rPr>
              <w:t>Tot mass (kg)</w:t>
            </w:r>
          </w:p>
        </w:tc>
        <w:tc>
          <w:tcPr>
            <w:tcW w:w="993" w:type="dxa"/>
            <w:tcBorders>
              <w:top w:val="single" w:sz="4" w:space="0" w:color="auto"/>
              <w:bottom w:val="single" w:sz="4" w:space="0" w:color="auto"/>
            </w:tcBorders>
          </w:tcPr>
          <w:p w14:paraId="69F226E9" w14:textId="77777777" w:rsidR="00C85B3F" w:rsidRPr="004951C6" w:rsidRDefault="00C85B3F" w:rsidP="008465C9">
            <w:pPr>
              <w:pStyle w:val="Table"/>
              <w:spacing w:line="276" w:lineRule="auto"/>
              <w:rPr>
                <w:b/>
                <w:bCs/>
                <w:snapToGrid w:val="0"/>
              </w:rPr>
            </w:pPr>
            <w:r w:rsidRPr="004951C6">
              <w:rPr>
                <w:b/>
                <w:bCs/>
                <w:snapToGrid w:val="0"/>
              </w:rPr>
              <w:t>Tot mass %</w:t>
            </w:r>
          </w:p>
        </w:tc>
        <w:tc>
          <w:tcPr>
            <w:tcW w:w="1275" w:type="dxa"/>
            <w:tcBorders>
              <w:top w:val="single" w:sz="4" w:space="0" w:color="auto"/>
              <w:bottom w:val="single" w:sz="4" w:space="0" w:color="auto"/>
            </w:tcBorders>
          </w:tcPr>
          <w:p w14:paraId="09CBB242" w14:textId="77777777" w:rsidR="00C85B3F" w:rsidRPr="004951C6" w:rsidRDefault="00C85B3F" w:rsidP="008465C9">
            <w:pPr>
              <w:pStyle w:val="Table"/>
              <w:spacing w:line="276" w:lineRule="auto"/>
              <w:rPr>
                <w:b/>
                <w:bCs/>
                <w:snapToGrid w:val="0"/>
              </w:rPr>
            </w:pPr>
            <w:r w:rsidRPr="004951C6">
              <w:rPr>
                <w:b/>
                <w:bCs/>
                <w:snapToGrid w:val="0"/>
              </w:rPr>
              <w:t xml:space="preserve">GWP kgCO2eq </w:t>
            </w:r>
          </w:p>
        </w:tc>
      </w:tr>
      <w:tr w:rsidR="00C85B3F" w:rsidRPr="00D01D4B" w14:paraId="7DDD24CB" w14:textId="77777777" w:rsidTr="00C85B3F">
        <w:trPr>
          <w:trHeight w:val="200"/>
          <w:jc w:val="center"/>
        </w:trPr>
        <w:tc>
          <w:tcPr>
            <w:tcW w:w="1417" w:type="dxa"/>
            <w:vAlign w:val="bottom"/>
          </w:tcPr>
          <w:p w14:paraId="2CF37DE0" w14:textId="77777777" w:rsidR="00C85B3F" w:rsidRPr="00D01D4B" w:rsidRDefault="00C85B3F" w:rsidP="008465C9">
            <w:pPr>
              <w:pStyle w:val="Table"/>
              <w:spacing w:line="276" w:lineRule="auto"/>
              <w:rPr>
                <w:snapToGrid w:val="0"/>
              </w:rPr>
            </w:pPr>
            <w:r w:rsidRPr="008B1BF0">
              <w:rPr>
                <w:snapToGrid w:val="0"/>
              </w:rPr>
              <w:t>Limestone12/20</w:t>
            </w:r>
          </w:p>
        </w:tc>
        <w:tc>
          <w:tcPr>
            <w:tcW w:w="851" w:type="dxa"/>
          </w:tcPr>
          <w:p w14:paraId="1430CDFF" w14:textId="77777777" w:rsidR="00C85B3F" w:rsidRPr="00D01D4B" w:rsidRDefault="00C85B3F" w:rsidP="008465C9">
            <w:pPr>
              <w:pStyle w:val="Table"/>
              <w:spacing w:line="276" w:lineRule="auto"/>
              <w:rPr>
                <w:snapToGrid w:val="0"/>
              </w:rPr>
            </w:pPr>
            <w:r>
              <w:rPr>
                <w:snapToGrid w:val="0"/>
              </w:rPr>
              <w:t>16</w:t>
            </w:r>
          </w:p>
        </w:tc>
        <w:tc>
          <w:tcPr>
            <w:tcW w:w="850" w:type="dxa"/>
            <w:vAlign w:val="bottom"/>
          </w:tcPr>
          <w:p w14:paraId="2F5B7E63" w14:textId="77777777" w:rsidR="00C85B3F" w:rsidRPr="00D01D4B" w:rsidRDefault="00C85B3F" w:rsidP="008465C9">
            <w:pPr>
              <w:pStyle w:val="Table"/>
              <w:spacing w:line="276" w:lineRule="auto"/>
              <w:rPr>
                <w:snapToGrid w:val="0"/>
              </w:rPr>
            </w:pPr>
            <w:r>
              <w:rPr>
                <w:snapToGrid w:val="0"/>
              </w:rPr>
              <w:t>16</w:t>
            </w:r>
          </w:p>
        </w:tc>
        <w:tc>
          <w:tcPr>
            <w:tcW w:w="992" w:type="dxa"/>
            <w:vAlign w:val="bottom"/>
          </w:tcPr>
          <w:p w14:paraId="640C7221" w14:textId="77777777" w:rsidR="00C85B3F" w:rsidRPr="00D01D4B" w:rsidRDefault="00C85B3F" w:rsidP="008465C9">
            <w:pPr>
              <w:pStyle w:val="Table"/>
              <w:spacing w:line="276" w:lineRule="auto"/>
              <w:rPr>
                <w:snapToGrid w:val="0"/>
              </w:rPr>
            </w:pPr>
            <w:r>
              <w:rPr>
                <w:snapToGrid w:val="0"/>
              </w:rPr>
              <w:t>32,3</w:t>
            </w:r>
          </w:p>
        </w:tc>
        <w:tc>
          <w:tcPr>
            <w:tcW w:w="1134" w:type="dxa"/>
            <w:vAlign w:val="bottom"/>
          </w:tcPr>
          <w:p w14:paraId="4C8357D8" w14:textId="77777777" w:rsidR="00C85B3F" w:rsidRPr="00D01D4B" w:rsidRDefault="00C85B3F" w:rsidP="008465C9">
            <w:pPr>
              <w:pStyle w:val="Table"/>
              <w:spacing w:line="276" w:lineRule="auto"/>
              <w:rPr>
                <w:snapToGrid w:val="0"/>
              </w:rPr>
            </w:pPr>
            <w:r>
              <w:rPr>
                <w:snapToGrid w:val="0"/>
              </w:rPr>
              <w:t>199,6</w:t>
            </w:r>
          </w:p>
        </w:tc>
        <w:tc>
          <w:tcPr>
            <w:tcW w:w="993" w:type="dxa"/>
          </w:tcPr>
          <w:p w14:paraId="65CDDCF9" w14:textId="77777777" w:rsidR="00C85B3F" w:rsidRDefault="00C85B3F" w:rsidP="008465C9">
            <w:pPr>
              <w:pStyle w:val="Table"/>
              <w:spacing w:line="276" w:lineRule="auto"/>
              <w:rPr>
                <w:snapToGrid w:val="0"/>
              </w:rPr>
            </w:pPr>
            <w:r>
              <w:rPr>
                <w:snapToGrid w:val="0"/>
              </w:rPr>
              <w:t>20,2</w:t>
            </w:r>
          </w:p>
        </w:tc>
        <w:tc>
          <w:tcPr>
            <w:tcW w:w="1275" w:type="dxa"/>
          </w:tcPr>
          <w:p w14:paraId="25A31EB1" w14:textId="77777777" w:rsidR="00C85B3F" w:rsidRDefault="00C85B3F" w:rsidP="008465C9">
            <w:pPr>
              <w:pStyle w:val="Table"/>
              <w:spacing w:line="276" w:lineRule="auto"/>
              <w:rPr>
                <w:snapToGrid w:val="0"/>
              </w:rPr>
            </w:pPr>
            <w:r>
              <w:rPr>
                <w:snapToGrid w:val="0"/>
              </w:rPr>
              <w:t>0,5424</w:t>
            </w:r>
          </w:p>
        </w:tc>
      </w:tr>
      <w:tr w:rsidR="00C85B3F" w:rsidRPr="00D01D4B" w14:paraId="2CCBDD77" w14:textId="77777777" w:rsidTr="00C85B3F">
        <w:trPr>
          <w:trHeight w:val="200"/>
          <w:jc w:val="center"/>
        </w:trPr>
        <w:tc>
          <w:tcPr>
            <w:tcW w:w="1417" w:type="dxa"/>
            <w:vAlign w:val="bottom"/>
          </w:tcPr>
          <w:p w14:paraId="27D97E4D" w14:textId="77777777" w:rsidR="00C85B3F" w:rsidRPr="00D01D4B" w:rsidRDefault="00C85B3F" w:rsidP="008465C9">
            <w:pPr>
              <w:pStyle w:val="Table"/>
              <w:spacing w:line="276" w:lineRule="auto"/>
              <w:rPr>
                <w:snapToGrid w:val="0"/>
              </w:rPr>
            </w:pPr>
            <w:r w:rsidRPr="008B1BF0">
              <w:rPr>
                <w:snapToGrid w:val="0"/>
              </w:rPr>
              <w:t>Limestone 8/16</w:t>
            </w:r>
          </w:p>
        </w:tc>
        <w:tc>
          <w:tcPr>
            <w:tcW w:w="851" w:type="dxa"/>
          </w:tcPr>
          <w:p w14:paraId="5DCF21DE" w14:textId="77777777" w:rsidR="00C85B3F" w:rsidRPr="00D01D4B" w:rsidRDefault="00C85B3F" w:rsidP="008465C9">
            <w:pPr>
              <w:pStyle w:val="Table"/>
              <w:spacing w:line="276" w:lineRule="auto"/>
              <w:rPr>
                <w:snapToGrid w:val="0"/>
              </w:rPr>
            </w:pPr>
            <w:r>
              <w:rPr>
                <w:snapToGrid w:val="0"/>
              </w:rPr>
              <w:t>30</w:t>
            </w:r>
          </w:p>
        </w:tc>
        <w:tc>
          <w:tcPr>
            <w:tcW w:w="850" w:type="dxa"/>
            <w:vAlign w:val="bottom"/>
          </w:tcPr>
          <w:p w14:paraId="6E532FF1" w14:textId="77777777" w:rsidR="00C85B3F" w:rsidRPr="00D01D4B" w:rsidRDefault="00C85B3F" w:rsidP="008465C9">
            <w:pPr>
              <w:pStyle w:val="Table"/>
              <w:spacing w:line="276" w:lineRule="auto"/>
              <w:rPr>
                <w:snapToGrid w:val="0"/>
              </w:rPr>
            </w:pPr>
            <w:r>
              <w:rPr>
                <w:snapToGrid w:val="0"/>
              </w:rPr>
              <w:t>30</w:t>
            </w:r>
          </w:p>
        </w:tc>
        <w:tc>
          <w:tcPr>
            <w:tcW w:w="992" w:type="dxa"/>
            <w:vAlign w:val="bottom"/>
          </w:tcPr>
          <w:p w14:paraId="086318C8" w14:textId="77777777" w:rsidR="00C85B3F" w:rsidRPr="00D01D4B" w:rsidRDefault="00C85B3F" w:rsidP="008465C9">
            <w:pPr>
              <w:pStyle w:val="Table"/>
              <w:spacing w:line="276" w:lineRule="auto"/>
              <w:rPr>
                <w:snapToGrid w:val="0"/>
              </w:rPr>
            </w:pPr>
            <w:r>
              <w:rPr>
                <w:snapToGrid w:val="0"/>
              </w:rPr>
              <w:t>32,3</w:t>
            </w:r>
          </w:p>
        </w:tc>
        <w:tc>
          <w:tcPr>
            <w:tcW w:w="1134" w:type="dxa"/>
            <w:vAlign w:val="bottom"/>
          </w:tcPr>
          <w:p w14:paraId="5CBA573E" w14:textId="77777777" w:rsidR="00C85B3F" w:rsidRPr="00D01D4B" w:rsidRDefault="00C85B3F" w:rsidP="008465C9">
            <w:pPr>
              <w:pStyle w:val="Table"/>
              <w:spacing w:line="276" w:lineRule="auto"/>
              <w:rPr>
                <w:snapToGrid w:val="0"/>
              </w:rPr>
            </w:pPr>
            <w:r>
              <w:rPr>
                <w:snapToGrid w:val="0"/>
              </w:rPr>
              <w:t>366,7</w:t>
            </w:r>
          </w:p>
        </w:tc>
        <w:tc>
          <w:tcPr>
            <w:tcW w:w="993" w:type="dxa"/>
          </w:tcPr>
          <w:p w14:paraId="73B1D444" w14:textId="77777777" w:rsidR="00C85B3F" w:rsidRDefault="00C85B3F" w:rsidP="008465C9">
            <w:pPr>
              <w:pStyle w:val="Table"/>
              <w:spacing w:line="276" w:lineRule="auto"/>
              <w:rPr>
                <w:snapToGrid w:val="0"/>
              </w:rPr>
            </w:pPr>
            <w:r>
              <w:rPr>
                <w:snapToGrid w:val="0"/>
              </w:rPr>
              <w:t>37,1</w:t>
            </w:r>
          </w:p>
        </w:tc>
        <w:tc>
          <w:tcPr>
            <w:tcW w:w="1275" w:type="dxa"/>
          </w:tcPr>
          <w:p w14:paraId="08292061" w14:textId="77777777" w:rsidR="00C85B3F" w:rsidRDefault="00C85B3F" w:rsidP="008465C9">
            <w:pPr>
              <w:pStyle w:val="Table"/>
              <w:spacing w:line="276" w:lineRule="auto"/>
              <w:rPr>
                <w:snapToGrid w:val="0"/>
              </w:rPr>
            </w:pPr>
            <w:r>
              <w:rPr>
                <w:snapToGrid w:val="0"/>
              </w:rPr>
              <w:t>4,2792</w:t>
            </w:r>
          </w:p>
        </w:tc>
      </w:tr>
      <w:tr w:rsidR="00C85B3F" w:rsidRPr="00D01D4B" w14:paraId="74BAF5A4" w14:textId="77777777" w:rsidTr="00C85B3F">
        <w:trPr>
          <w:trHeight w:val="200"/>
          <w:jc w:val="center"/>
        </w:trPr>
        <w:tc>
          <w:tcPr>
            <w:tcW w:w="1417" w:type="dxa"/>
            <w:vAlign w:val="bottom"/>
          </w:tcPr>
          <w:p w14:paraId="23FBE8DC" w14:textId="77777777" w:rsidR="00C85B3F" w:rsidRPr="008B1BF0" w:rsidRDefault="00C85B3F" w:rsidP="008465C9">
            <w:pPr>
              <w:pStyle w:val="Table"/>
              <w:spacing w:line="276" w:lineRule="auto"/>
              <w:rPr>
                <w:snapToGrid w:val="0"/>
              </w:rPr>
            </w:pPr>
            <w:r>
              <w:rPr>
                <w:snapToGrid w:val="0"/>
              </w:rPr>
              <w:t>RAP</w:t>
            </w:r>
          </w:p>
        </w:tc>
        <w:tc>
          <w:tcPr>
            <w:tcW w:w="851" w:type="dxa"/>
          </w:tcPr>
          <w:p w14:paraId="12211678" w14:textId="77777777" w:rsidR="00C85B3F" w:rsidRDefault="00C85B3F" w:rsidP="008465C9">
            <w:pPr>
              <w:pStyle w:val="Table"/>
              <w:spacing w:line="276" w:lineRule="auto"/>
              <w:rPr>
                <w:snapToGrid w:val="0"/>
              </w:rPr>
            </w:pPr>
            <w:r>
              <w:rPr>
                <w:snapToGrid w:val="0"/>
              </w:rPr>
              <w:t>17,9</w:t>
            </w:r>
          </w:p>
        </w:tc>
        <w:tc>
          <w:tcPr>
            <w:tcW w:w="850" w:type="dxa"/>
            <w:vAlign w:val="bottom"/>
          </w:tcPr>
          <w:p w14:paraId="1A67A534" w14:textId="77777777" w:rsidR="00C85B3F" w:rsidRDefault="00C85B3F" w:rsidP="008465C9">
            <w:pPr>
              <w:pStyle w:val="Table"/>
              <w:spacing w:line="276" w:lineRule="auto"/>
              <w:rPr>
                <w:snapToGrid w:val="0"/>
              </w:rPr>
            </w:pPr>
            <w:r>
              <w:rPr>
                <w:snapToGrid w:val="0"/>
              </w:rPr>
              <w:t>15</w:t>
            </w:r>
          </w:p>
        </w:tc>
        <w:tc>
          <w:tcPr>
            <w:tcW w:w="992" w:type="dxa"/>
            <w:vAlign w:val="bottom"/>
          </w:tcPr>
          <w:p w14:paraId="15398ACB" w14:textId="77777777" w:rsidR="00C85B3F" w:rsidRDefault="00C85B3F" w:rsidP="008465C9">
            <w:pPr>
              <w:pStyle w:val="Table"/>
              <w:spacing w:line="276" w:lineRule="auto"/>
              <w:rPr>
                <w:snapToGrid w:val="0"/>
              </w:rPr>
            </w:pPr>
            <w:r>
              <w:rPr>
                <w:snapToGrid w:val="0"/>
              </w:rPr>
              <w:t>0</w:t>
            </w:r>
          </w:p>
        </w:tc>
        <w:tc>
          <w:tcPr>
            <w:tcW w:w="1134" w:type="dxa"/>
            <w:vAlign w:val="bottom"/>
          </w:tcPr>
          <w:p w14:paraId="5B8E4B7C" w14:textId="77777777" w:rsidR="00C85B3F" w:rsidRDefault="00C85B3F" w:rsidP="008465C9">
            <w:pPr>
              <w:pStyle w:val="Table"/>
              <w:spacing w:line="276" w:lineRule="auto"/>
              <w:rPr>
                <w:snapToGrid w:val="0"/>
              </w:rPr>
            </w:pPr>
            <w:r>
              <w:rPr>
                <w:snapToGrid w:val="0"/>
              </w:rPr>
              <w:t>121,6</w:t>
            </w:r>
          </w:p>
        </w:tc>
        <w:tc>
          <w:tcPr>
            <w:tcW w:w="993" w:type="dxa"/>
          </w:tcPr>
          <w:p w14:paraId="7CF2C7A8" w14:textId="77777777" w:rsidR="00C85B3F" w:rsidRDefault="00C85B3F" w:rsidP="008465C9">
            <w:pPr>
              <w:pStyle w:val="Table"/>
              <w:spacing w:line="276" w:lineRule="auto"/>
              <w:rPr>
                <w:snapToGrid w:val="0"/>
              </w:rPr>
            </w:pPr>
            <w:r>
              <w:rPr>
                <w:snapToGrid w:val="0"/>
              </w:rPr>
              <w:t>12,3</w:t>
            </w:r>
          </w:p>
        </w:tc>
        <w:tc>
          <w:tcPr>
            <w:tcW w:w="1275" w:type="dxa"/>
          </w:tcPr>
          <w:p w14:paraId="08E282A7" w14:textId="77777777" w:rsidR="00C85B3F" w:rsidRDefault="00C85B3F" w:rsidP="008465C9">
            <w:pPr>
              <w:pStyle w:val="Table"/>
              <w:spacing w:line="276" w:lineRule="auto"/>
              <w:rPr>
                <w:snapToGrid w:val="0"/>
              </w:rPr>
            </w:pPr>
            <w:r>
              <w:rPr>
                <w:snapToGrid w:val="0"/>
              </w:rPr>
              <w:t>0</w:t>
            </w:r>
          </w:p>
        </w:tc>
      </w:tr>
      <w:tr w:rsidR="00C85B3F" w:rsidRPr="00D01D4B" w14:paraId="4781EB0F" w14:textId="77777777" w:rsidTr="00C85B3F">
        <w:trPr>
          <w:trHeight w:val="200"/>
          <w:jc w:val="center"/>
        </w:trPr>
        <w:tc>
          <w:tcPr>
            <w:tcW w:w="1417" w:type="dxa"/>
            <w:vAlign w:val="bottom"/>
          </w:tcPr>
          <w:p w14:paraId="436E7E87" w14:textId="77777777" w:rsidR="00C85B3F" w:rsidRPr="008B1BF0" w:rsidRDefault="00C85B3F" w:rsidP="008465C9">
            <w:pPr>
              <w:pStyle w:val="Table"/>
              <w:spacing w:line="276" w:lineRule="auto"/>
              <w:rPr>
                <w:snapToGrid w:val="0"/>
              </w:rPr>
            </w:pPr>
            <w:r>
              <w:rPr>
                <w:snapToGrid w:val="0"/>
              </w:rPr>
              <w:t>Sand 0/4</w:t>
            </w:r>
          </w:p>
        </w:tc>
        <w:tc>
          <w:tcPr>
            <w:tcW w:w="851" w:type="dxa"/>
          </w:tcPr>
          <w:p w14:paraId="00F8D4E4" w14:textId="77777777" w:rsidR="00C85B3F" w:rsidRDefault="00C85B3F" w:rsidP="008465C9">
            <w:pPr>
              <w:pStyle w:val="Table"/>
              <w:spacing w:line="276" w:lineRule="auto"/>
              <w:rPr>
                <w:snapToGrid w:val="0"/>
              </w:rPr>
            </w:pPr>
            <w:r>
              <w:rPr>
                <w:snapToGrid w:val="0"/>
              </w:rPr>
              <w:t>30</w:t>
            </w:r>
          </w:p>
        </w:tc>
        <w:tc>
          <w:tcPr>
            <w:tcW w:w="850" w:type="dxa"/>
            <w:vAlign w:val="bottom"/>
          </w:tcPr>
          <w:p w14:paraId="650BEC1E" w14:textId="77777777" w:rsidR="00C85B3F" w:rsidRDefault="00C85B3F" w:rsidP="008465C9">
            <w:pPr>
              <w:pStyle w:val="Table"/>
              <w:spacing w:line="276" w:lineRule="auto"/>
              <w:rPr>
                <w:snapToGrid w:val="0"/>
              </w:rPr>
            </w:pPr>
            <w:r>
              <w:rPr>
                <w:snapToGrid w:val="0"/>
              </w:rPr>
              <w:t>31,7</w:t>
            </w:r>
          </w:p>
        </w:tc>
        <w:tc>
          <w:tcPr>
            <w:tcW w:w="992" w:type="dxa"/>
            <w:vAlign w:val="bottom"/>
          </w:tcPr>
          <w:p w14:paraId="156E2B12" w14:textId="77777777" w:rsidR="00C85B3F" w:rsidRDefault="00C85B3F" w:rsidP="008465C9">
            <w:pPr>
              <w:pStyle w:val="Table"/>
              <w:spacing w:line="276" w:lineRule="auto"/>
              <w:rPr>
                <w:snapToGrid w:val="0"/>
              </w:rPr>
            </w:pPr>
            <w:r>
              <w:rPr>
                <w:snapToGrid w:val="0"/>
              </w:rPr>
              <w:t>23</w:t>
            </w:r>
          </w:p>
        </w:tc>
        <w:tc>
          <w:tcPr>
            <w:tcW w:w="1134" w:type="dxa"/>
            <w:vAlign w:val="bottom"/>
          </w:tcPr>
          <w:p w14:paraId="3E770D42" w14:textId="77777777" w:rsidR="00C85B3F" w:rsidRDefault="00C85B3F" w:rsidP="008465C9">
            <w:pPr>
              <w:pStyle w:val="Table"/>
              <w:spacing w:line="276" w:lineRule="auto"/>
              <w:rPr>
                <w:snapToGrid w:val="0"/>
              </w:rPr>
            </w:pPr>
            <w:r>
              <w:rPr>
                <w:snapToGrid w:val="0"/>
              </w:rPr>
              <w:t>229,3</w:t>
            </w:r>
          </w:p>
        </w:tc>
        <w:tc>
          <w:tcPr>
            <w:tcW w:w="993" w:type="dxa"/>
          </w:tcPr>
          <w:p w14:paraId="78446DE5" w14:textId="77777777" w:rsidR="00C85B3F" w:rsidRDefault="00C85B3F" w:rsidP="008465C9">
            <w:pPr>
              <w:pStyle w:val="Table"/>
              <w:spacing w:line="276" w:lineRule="auto"/>
              <w:rPr>
                <w:snapToGrid w:val="0"/>
              </w:rPr>
            </w:pPr>
            <w:r>
              <w:rPr>
                <w:snapToGrid w:val="0"/>
              </w:rPr>
              <w:t>23,2</w:t>
            </w:r>
          </w:p>
        </w:tc>
        <w:tc>
          <w:tcPr>
            <w:tcW w:w="1275" w:type="dxa"/>
          </w:tcPr>
          <w:p w14:paraId="7438F0FC" w14:textId="77777777" w:rsidR="00C85B3F" w:rsidRDefault="00C85B3F" w:rsidP="008465C9">
            <w:pPr>
              <w:pStyle w:val="Table"/>
              <w:spacing w:line="276" w:lineRule="auto"/>
              <w:rPr>
                <w:snapToGrid w:val="0"/>
              </w:rPr>
            </w:pPr>
            <w:r>
              <w:rPr>
                <w:snapToGrid w:val="0"/>
              </w:rPr>
              <w:t>6,5844</w:t>
            </w:r>
          </w:p>
        </w:tc>
      </w:tr>
      <w:tr w:rsidR="00C85B3F" w:rsidRPr="00D01D4B" w14:paraId="4B269C8D" w14:textId="77777777" w:rsidTr="00C85B3F">
        <w:trPr>
          <w:trHeight w:val="200"/>
          <w:jc w:val="center"/>
        </w:trPr>
        <w:tc>
          <w:tcPr>
            <w:tcW w:w="1417" w:type="dxa"/>
            <w:vAlign w:val="bottom"/>
          </w:tcPr>
          <w:p w14:paraId="5E236D7F" w14:textId="77777777" w:rsidR="00C85B3F" w:rsidRPr="00D01D4B" w:rsidRDefault="00C85B3F" w:rsidP="008465C9">
            <w:pPr>
              <w:pStyle w:val="Table"/>
              <w:spacing w:line="276" w:lineRule="auto"/>
              <w:rPr>
                <w:snapToGrid w:val="0"/>
              </w:rPr>
            </w:pPr>
            <w:r>
              <w:rPr>
                <w:snapToGrid w:val="0"/>
              </w:rPr>
              <w:t>Filler</w:t>
            </w:r>
          </w:p>
        </w:tc>
        <w:tc>
          <w:tcPr>
            <w:tcW w:w="851" w:type="dxa"/>
          </w:tcPr>
          <w:p w14:paraId="102C932E" w14:textId="77777777" w:rsidR="00C85B3F" w:rsidRPr="00D01D4B" w:rsidRDefault="00C85B3F" w:rsidP="008465C9">
            <w:pPr>
              <w:pStyle w:val="Table"/>
              <w:spacing w:line="276" w:lineRule="auto"/>
              <w:rPr>
                <w:snapToGrid w:val="0"/>
              </w:rPr>
            </w:pPr>
            <w:r>
              <w:rPr>
                <w:snapToGrid w:val="0"/>
              </w:rPr>
              <w:t>1,8</w:t>
            </w:r>
          </w:p>
        </w:tc>
        <w:tc>
          <w:tcPr>
            <w:tcW w:w="850" w:type="dxa"/>
            <w:vAlign w:val="bottom"/>
          </w:tcPr>
          <w:p w14:paraId="191710B9" w14:textId="77777777" w:rsidR="00C85B3F" w:rsidRPr="00D01D4B" w:rsidRDefault="00C85B3F" w:rsidP="008465C9">
            <w:pPr>
              <w:pStyle w:val="Table"/>
              <w:spacing w:line="276" w:lineRule="auto"/>
              <w:rPr>
                <w:snapToGrid w:val="0"/>
              </w:rPr>
            </w:pPr>
            <w:r>
              <w:rPr>
                <w:snapToGrid w:val="0"/>
              </w:rPr>
              <w:t>2</w:t>
            </w:r>
          </w:p>
        </w:tc>
        <w:tc>
          <w:tcPr>
            <w:tcW w:w="992" w:type="dxa"/>
            <w:vAlign w:val="bottom"/>
          </w:tcPr>
          <w:p w14:paraId="24E947D9" w14:textId="77777777" w:rsidR="00C85B3F" w:rsidRPr="00D01D4B" w:rsidRDefault="00C85B3F" w:rsidP="008465C9">
            <w:pPr>
              <w:pStyle w:val="Table"/>
              <w:spacing w:line="276" w:lineRule="auto"/>
              <w:rPr>
                <w:snapToGrid w:val="0"/>
              </w:rPr>
            </w:pPr>
            <w:r>
              <w:rPr>
                <w:snapToGrid w:val="0"/>
              </w:rPr>
              <w:t>6,1</w:t>
            </w:r>
          </w:p>
        </w:tc>
        <w:tc>
          <w:tcPr>
            <w:tcW w:w="1134" w:type="dxa"/>
            <w:vAlign w:val="bottom"/>
          </w:tcPr>
          <w:p w14:paraId="247623FA" w14:textId="77777777" w:rsidR="00C85B3F" w:rsidRPr="00D01D4B" w:rsidRDefault="00C85B3F" w:rsidP="008465C9">
            <w:pPr>
              <w:pStyle w:val="Table"/>
              <w:spacing w:line="276" w:lineRule="auto"/>
              <w:rPr>
                <w:snapToGrid w:val="0"/>
              </w:rPr>
            </w:pPr>
            <w:r>
              <w:rPr>
                <w:snapToGrid w:val="0"/>
              </w:rPr>
              <w:t>42,5</w:t>
            </w:r>
          </w:p>
        </w:tc>
        <w:tc>
          <w:tcPr>
            <w:tcW w:w="993" w:type="dxa"/>
          </w:tcPr>
          <w:p w14:paraId="634F06FC" w14:textId="77777777" w:rsidR="00C85B3F" w:rsidRDefault="00C85B3F" w:rsidP="008465C9">
            <w:pPr>
              <w:pStyle w:val="Table"/>
              <w:spacing w:line="276" w:lineRule="auto"/>
              <w:rPr>
                <w:snapToGrid w:val="0"/>
              </w:rPr>
            </w:pPr>
            <w:r>
              <w:rPr>
                <w:snapToGrid w:val="0"/>
              </w:rPr>
              <w:t>4,3</w:t>
            </w:r>
          </w:p>
        </w:tc>
        <w:tc>
          <w:tcPr>
            <w:tcW w:w="1275" w:type="dxa"/>
          </w:tcPr>
          <w:p w14:paraId="69CBD13A" w14:textId="77777777" w:rsidR="00C85B3F" w:rsidRDefault="00C85B3F" w:rsidP="008465C9">
            <w:pPr>
              <w:pStyle w:val="Table"/>
              <w:spacing w:line="276" w:lineRule="auto"/>
              <w:rPr>
                <w:snapToGrid w:val="0"/>
              </w:rPr>
            </w:pPr>
            <w:r>
              <w:rPr>
                <w:snapToGrid w:val="0"/>
              </w:rPr>
              <w:t>13,0944</w:t>
            </w:r>
          </w:p>
        </w:tc>
      </w:tr>
      <w:tr w:rsidR="00C85B3F" w:rsidRPr="00D01D4B" w14:paraId="16DCB91A" w14:textId="77777777" w:rsidTr="00C85B3F">
        <w:trPr>
          <w:trHeight w:val="200"/>
          <w:jc w:val="center"/>
        </w:trPr>
        <w:tc>
          <w:tcPr>
            <w:tcW w:w="1417" w:type="dxa"/>
            <w:vAlign w:val="bottom"/>
          </w:tcPr>
          <w:p w14:paraId="23509814" w14:textId="77777777" w:rsidR="00C85B3F" w:rsidRPr="00D01D4B" w:rsidRDefault="00C85B3F" w:rsidP="008465C9">
            <w:pPr>
              <w:pStyle w:val="Table"/>
              <w:spacing w:line="276" w:lineRule="auto"/>
              <w:rPr>
                <w:snapToGrid w:val="0"/>
              </w:rPr>
            </w:pPr>
            <w:r>
              <w:rPr>
                <w:snapToGrid w:val="0"/>
              </w:rPr>
              <w:t>Bitumen</w:t>
            </w:r>
          </w:p>
        </w:tc>
        <w:tc>
          <w:tcPr>
            <w:tcW w:w="851" w:type="dxa"/>
          </w:tcPr>
          <w:p w14:paraId="65E6FC59" w14:textId="77777777" w:rsidR="00C85B3F" w:rsidRPr="00D01D4B" w:rsidRDefault="00C85B3F" w:rsidP="008465C9">
            <w:pPr>
              <w:pStyle w:val="Table"/>
              <w:spacing w:line="276" w:lineRule="auto"/>
              <w:rPr>
                <w:snapToGrid w:val="0"/>
              </w:rPr>
            </w:pPr>
            <w:r>
              <w:rPr>
                <w:snapToGrid w:val="0"/>
              </w:rPr>
              <w:t>4</w:t>
            </w:r>
          </w:p>
        </w:tc>
        <w:tc>
          <w:tcPr>
            <w:tcW w:w="850" w:type="dxa"/>
            <w:vAlign w:val="bottom"/>
          </w:tcPr>
          <w:p w14:paraId="696BCE4D" w14:textId="77777777" w:rsidR="00C85B3F" w:rsidRPr="00D01D4B" w:rsidRDefault="00C85B3F" w:rsidP="008465C9">
            <w:pPr>
              <w:pStyle w:val="Table"/>
              <w:spacing w:line="276" w:lineRule="auto"/>
              <w:rPr>
                <w:snapToGrid w:val="0"/>
              </w:rPr>
            </w:pPr>
            <w:r>
              <w:rPr>
                <w:snapToGrid w:val="0"/>
              </w:rPr>
              <w:t>5</w:t>
            </w:r>
          </w:p>
        </w:tc>
        <w:tc>
          <w:tcPr>
            <w:tcW w:w="992" w:type="dxa"/>
            <w:vAlign w:val="bottom"/>
          </w:tcPr>
          <w:p w14:paraId="67D6565B" w14:textId="77777777" w:rsidR="00C85B3F" w:rsidRPr="00D01D4B" w:rsidRDefault="00C85B3F" w:rsidP="008465C9">
            <w:pPr>
              <w:pStyle w:val="Table"/>
              <w:spacing w:line="276" w:lineRule="auto"/>
              <w:rPr>
                <w:snapToGrid w:val="0"/>
              </w:rPr>
            </w:pPr>
            <w:r>
              <w:rPr>
                <w:snapToGrid w:val="0"/>
              </w:rPr>
              <w:t>6</w:t>
            </w:r>
          </w:p>
        </w:tc>
        <w:tc>
          <w:tcPr>
            <w:tcW w:w="1134" w:type="dxa"/>
            <w:vAlign w:val="bottom"/>
          </w:tcPr>
          <w:p w14:paraId="24BBE0F7" w14:textId="77777777" w:rsidR="00C85B3F" w:rsidRPr="00D01D4B" w:rsidRDefault="00C85B3F" w:rsidP="008465C9">
            <w:pPr>
              <w:pStyle w:val="Table"/>
              <w:spacing w:line="276" w:lineRule="auto"/>
              <w:rPr>
                <w:snapToGrid w:val="0"/>
              </w:rPr>
            </w:pPr>
            <w:r>
              <w:rPr>
                <w:snapToGrid w:val="0"/>
              </w:rPr>
              <w:t>23,7</w:t>
            </w:r>
          </w:p>
        </w:tc>
        <w:tc>
          <w:tcPr>
            <w:tcW w:w="993" w:type="dxa"/>
          </w:tcPr>
          <w:p w14:paraId="56B21987" w14:textId="77777777" w:rsidR="00C85B3F" w:rsidRDefault="00C85B3F" w:rsidP="008465C9">
            <w:pPr>
              <w:pStyle w:val="Table"/>
              <w:spacing w:line="276" w:lineRule="auto"/>
              <w:rPr>
                <w:snapToGrid w:val="0"/>
              </w:rPr>
            </w:pPr>
            <w:r>
              <w:rPr>
                <w:snapToGrid w:val="0"/>
              </w:rPr>
              <w:t>2,4</w:t>
            </w:r>
          </w:p>
        </w:tc>
        <w:tc>
          <w:tcPr>
            <w:tcW w:w="1275" w:type="dxa"/>
          </w:tcPr>
          <w:p w14:paraId="098A39EC" w14:textId="77777777" w:rsidR="00C85B3F" w:rsidRDefault="00C85B3F" w:rsidP="008465C9">
            <w:pPr>
              <w:pStyle w:val="Table"/>
              <w:spacing w:line="276" w:lineRule="auto"/>
              <w:rPr>
                <w:snapToGrid w:val="0"/>
              </w:rPr>
            </w:pPr>
            <w:r>
              <w:rPr>
                <w:snapToGrid w:val="0"/>
              </w:rPr>
              <w:t>8,1048</w:t>
            </w:r>
          </w:p>
        </w:tc>
      </w:tr>
      <w:tr w:rsidR="00C85B3F" w:rsidRPr="00D01D4B" w14:paraId="6165E5C3" w14:textId="77777777" w:rsidTr="00C85B3F">
        <w:trPr>
          <w:trHeight w:val="200"/>
          <w:jc w:val="center"/>
        </w:trPr>
        <w:tc>
          <w:tcPr>
            <w:tcW w:w="1417" w:type="dxa"/>
            <w:tcBorders>
              <w:bottom w:val="single" w:sz="4" w:space="0" w:color="auto"/>
            </w:tcBorders>
            <w:vAlign w:val="bottom"/>
          </w:tcPr>
          <w:p w14:paraId="2CB5CDEC" w14:textId="77777777" w:rsidR="00C85B3F" w:rsidRDefault="00C85B3F" w:rsidP="008465C9">
            <w:pPr>
              <w:pStyle w:val="Table"/>
              <w:spacing w:line="276" w:lineRule="auto"/>
              <w:rPr>
                <w:snapToGrid w:val="0"/>
              </w:rPr>
            </w:pPr>
            <w:r>
              <w:rPr>
                <w:snapToGrid w:val="0"/>
              </w:rPr>
              <w:t>Mask/Gloves</w:t>
            </w:r>
          </w:p>
        </w:tc>
        <w:tc>
          <w:tcPr>
            <w:tcW w:w="851" w:type="dxa"/>
            <w:tcBorders>
              <w:bottom w:val="single" w:sz="4" w:space="0" w:color="auto"/>
            </w:tcBorders>
          </w:tcPr>
          <w:p w14:paraId="55A9A868" w14:textId="77777777" w:rsidR="00C85B3F" w:rsidRDefault="00C85B3F" w:rsidP="008465C9">
            <w:pPr>
              <w:pStyle w:val="Table"/>
              <w:spacing w:line="276" w:lineRule="auto"/>
              <w:rPr>
                <w:snapToGrid w:val="0"/>
              </w:rPr>
            </w:pPr>
            <w:r>
              <w:rPr>
                <w:snapToGrid w:val="0"/>
              </w:rPr>
              <w:t>0,5</w:t>
            </w:r>
          </w:p>
        </w:tc>
        <w:tc>
          <w:tcPr>
            <w:tcW w:w="850" w:type="dxa"/>
            <w:tcBorders>
              <w:bottom w:val="single" w:sz="4" w:space="0" w:color="auto"/>
            </w:tcBorders>
            <w:vAlign w:val="bottom"/>
          </w:tcPr>
          <w:p w14:paraId="68AE772B" w14:textId="77777777" w:rsidR="00C85B3F" w:rsidRDefault="00C85B3F" w:rsidP="008465C9">
            <w:pPr>
              <w:pStyle w:val="Table"/>
              <w:spacing w:line="276" w:lineRule="auto"/>
              <w:rPr>
                <w:snapToGrid w:val="0"/>
              </w:rPr>
            </w:pPr>
            <w:r>
              <w:rPr>
                <w:snapToGrid w:val="0"/>
              </w:rPr>
              <w:t>0,5</w:t>
            </w:r>
          </w:p>
        </w:tc>
        <w:tc>
          <w:tcPr>
            <w:tcW w:w="992" w:type="dxa"/>
            <w:tcBorders>
              <w:bottom w:val="single" w:sz="4" w:space="0" w:color="auto"/>
            </w:tcBorders>
            <w:vAlign w:val="bottom"/>
          </w:tcPr>
          <w:p w14:paraId="081EA137" w14:textId="77777777" w:rsidR="00C85B3F" w:rsidRDefault="00C85B3F" w:rsidP="008465C9">
            <w:pPr>
              <w:pStyle w:val="Table"/>
              <w:spacing w:line="276" w:lineRule="auto"/>
              <w:rPr>
                <w:snapToGrid w:val="0"/>
              </w:rPr>
            </w:pPr>
            <w:r>
              <w:rPr>
                <w:snapToGrid w:val="0"/>
              </w:rPr>
              <w:t>0,5</w:t>
            </w:r>
          </w:p>
        </w:tc>
        <w:tc>
          <w:tcPr>
            <w:tcW w:w="1134" w:type="dxa"/>
            <w:tcBorders>
              <w:bottom w:val="single" w:sz="4" w:space="0" w:color="auto"/>
            </w:tcBorders>
            <w:vAlign w:val="bottom"/>
          </w:tcPr>
          <w:p w14:paraId="1A1B605F" w14:textId="77777777" w:rsidR="00C85B3F" w:rsidRDefault="00C85B3F" w:rsidP="008465C9">
            <w:pPr>
              <w:pStyle w:val="Table"/>
              <w:spacing w:line="276" w:lineRule="auto"/>
              <w:rPr>
                <w:snapToGrid w:val="0"/>
              </w:rPr>
            </w:pPr>
            <w:r>
              <w:rPr>
                <w:snapToGrid w:val="0"/>
              </w:rPr>
              <w:t>4,9</w:t>
            </w:r>
          </w:p>
        </w:tc>
        <w:tc>
          <w:tcPr>
            <w:tcW w:w="993" w:type="dxa"/>
            <w:tcBorders>
              <w:bottom w:val="single" w:sz="4" w:space="0" w:color="auto"/>
            </w:tcBorders>
          </w:tcPr>
          <w:p w14:paraId="274CE87E" w14:textId="77777777" w:rsidR="00C85B3F" w:rsidRDefault="00C85B3F" w:rsidP="008465C9">
            <w:pPr>
              <w:pStyle w:val="Table"/>
              <w:spacing w:line="276" w:lineRule="auto"/>
              <w:rPr>
                <w:snapToGrid w:val="0"/>
              </w:rPr>
            </w:pPr>
            <w:r>
              <w:rPr>
                <w:snapToGrid w:val="0"/>
              </w:rPr>
              <w:t>0,5</w:t>
            </w:r>
          </w:p>
        </w:tc>
        <w:tc>
          <w:tcPr>
            <w:tcW w:w="1275" w:type="dxa"/>
            <w:tcBorders>
              <w:bottom w:val="single" w:sz="4" w:space="0" w:color="auto"/>
            </w:tcBorders>
          </w:tcPr>
          <w:p w14:paraId="4C7FE44B" w14:textId="77777777" w:rsidR="00C85B3F" w:rsidRDefault="00C85B3F" w:rsidP="008465C9">
            <w:pPr>
              <w:pStyle w:val="Table"/>
              <w:spacing w:line="276" w:lineRule="auto"/>
              <w:rPr>
                <w:snapToGrid w:val="0"/>
              </w:rPr>
            </w:pPr>
            <w:r>
              <w:rPr>
                <w:snapToGrid w:val="0"/>
              </w:rPr>
              <w:t>-15,6147</w:t>
            </w:r>
          </w:p>
        </w:tc>
      </w:tr>
      <w:tr w:rsidR="00C85B3F" w:rsidRPr="00D01D4B" w14:paraId="5060719D" w14:textId="77777777" w:rsidTr="00C85B3F">
        <w:trPr>
          <w:trHeight w:val="200"/>
          <w:jc w:val="center"/>
        </w:trPr>
        <w:tc>
          <w:tcPr>
            <w:tcW w:w="1417" w:type="dxa"/>
            <w:tcBorders>
              <w:bottom w:val="single" w:sz="4" w:space="0" w:color="auto"/>
            </w:tcBorders>
            <w:vAlign w:val="bottom"/>
          </w:tcPr>
          <w:p w14:paraId="1D2C65D9" w14:textId="77777777" w:rsidR="00C85B3F" w:rsidRDefault="00C85B3F" w:rsidP="008465C9">
            <w:pPr>
              <w:pStyle w:val="Table"/>
              <w:spacing w:line="276" w:lineRule="auto"/>
              <w:rPr>
                <w:snapToGrid w:val="0"/>
              </w:rPr>
            </w:pPr>
          </w:p>
        </w:tc>
        <w:tc>
          <w:tcPr>
            <w:tcW w:w="851" w:type="dxa"/>
            <w:tcBorders>
              <w:bottom w:val="single" w:sz="4" w:space="0" w:color="auto"/>
            </w:tcBorders>
          </w:tcPr>
          <w:p w14:paraId="4B4C00E9" w14:textId="77777777" w:rsidR="00C85B3F" w:rsidRDefault="00C85B3F" w:rsidP="008465C9">
            <w:pPr>
              <w:pStyle w:val="Table"/>
              <w:spacing w:line="276" w:lineRule="auto"/>
              <w:rPr>
                <w:snapToGrid w:val="0"/>
              </w:rPr>
            </w:pPr>
          </w:p>
        </w:tc>
        <w:tc>
          <w:tcPr>
            <w:tcW w:w="850" w:type="dxa"/>
            <w:tcBorders>
              <w:bottom w:val="single" w:sz="4" w:space="0" w:color="auto"/>
            </w:tcBorders>
            <w:vAlign w:val="bottom"/>
          </w:tcPr>
          <w:p w14:paraId="3DCBC4A2" w14:textId="77777777" w:rsidR="00C85B3F" w:rsidRDefault="00C85B3F" w:rsidP="008465C9">
            <w:pPr>
              <w:pStyle w:val="Table"/>
              <w:spacing w:line="276" w:lineRule="auto"/>
              <w:rPr>
                <w:snapToGrid w:val="0"/>
              </w:rPr>
            </w:pPr>
          </w:p>
        </w:tc>
        <w:tc>
          <w:tcPr>
            <w:tcW w:w="992" w:type="dxa"/>
            <w:tcBorders>
              <w:bottom w:val="single" w:sz="4" w:space="0" w:color="auto"/>
            </w:tcBorders>
            <w:vAlign w:val="bottom"/>
          </w:tcPr>
          <w:p w14:paraId="4D435A76" w14:textId="77777777" w:rsidR="00C85B3F" w:rsidRDefault="00C85B3F" w:rsidP="008465C9">
            <w:pPr>
              <w:pStyle w:val="Table"/>
              <w:spacing w:line="276" w:lineRule="auto"/>
              <w:rPr>
                <w:snapToGrid w:val="0"/>
              </w:rPr>
            </w:pPr>
          </w:p>
        </w:tc>
        <w:tc>
          <w:tcPr>
            <w:tcW w:w="1134" w:type="dxa"/>
            <w:tcBorders>
              <w:bottom w:val="single" w:sz="4" w:space="0" w:color="auto"/>
            </w:tcBorders>
            <w:vAlign w:val="bottom"/>
          </w:tcPr>
          <w:p w14:paraId="2BF23204" w14:textId="77777777" w:rsidR="00C85B3F" w:rsidRDefault="00C85B3F" w:rsidP="008465C9">
            <w:pPr>
              <w:pStyle w:val="Table"/>
              <w:spacing w:line="276" w:lineRule="auto"/>
              <w:rPr>
                <w:snapToGrid w:val="0"/>
              </w:rPr>
            </w:pPr>
            <w:r>
              <w:rPr>
                <w:snapToGrid w:val="0"/>
              </w:rPr>
              <w:t>988,3</w:t>
            </w:r>
          </w:p>
        </w:tc>
        <w:tc>
          <w:tcPr>
            <w:tcW w:w="993" w:type="dxa"/>
            <w:tcBorders>
              <w:bottom w:val="single" w:sz="4" w:space="0" w:color="auto"/>
            </w:tcBorders>
          </w:tcPr>
          <w:p w14:paraId="0575926E" w14:textId="77777777" w:rsidR="00C85B3F" w:rsidRDefault="00C85B3F" w:rsidP="008465C9">
            <w:pPr>
              <w:pStyle w:val="Table"/>
              <w:spacing w:line="276" w:lineRule="auto"/>
              <w:rPr>
                <w:snapToGrid w:val="0"/>
              </w:rPr>
            </w:pPr>
            <w:r>
              <w:rPr>
                <w:snapToGrid w:val="0"/>
              </w:rPr>
              <w:t>100</w:t>
            </w:r>
          </w:p>
        </w:tc>
        <w:tc>
          <w:tcPr>
            <w:tcW w:w="1275" w:type="dxa"/>
            <w:tcBorders>
              <w:bottom w:val="single" w:sz="4" w:space="0" w:color="auto"/>
            </w:tcBorders>
          </w:tcPr>
          <w:p w14:paraId="0A7F4AAC" w14:textId="77777777" w:rsidR="00C85B3F" w:rsidRDefault="00C85B3F" w:rsidP="008465C9">
            <w:pPr>
              <w:pStyle w:val="Table"/>
              <w:spacing w:line="276" w:lineRule="auto"/>
              <w:rPr>
                <w:snapToGrid w:val="0"/>
              </w:rPr>
            </w:pPr>
            <w:r>
              <w:rPr>
                <w:snapToGrid w:val="0"/>
              </w:rPr>
              <w:t>16,9910</w:t>
            </w:r>
          </w:p>
        </w:tc>
      </w:tr>
    </w:tbl>
    <w:p w14:paraId="61A687B1" w14:textId="77777777" w:rsidR="00C85B3F" w:rsidRPr="00C85B3F" w:rsidRDefault="00C85B3F" w:rsidP="00C85B3F">
      <w:pPr>
        <w:rPr>
          <w:sz w:val="24"/>
          <w:szCs w:val="24"/>
        </w:rPr>
      </w:pPr>
    </w:p>
    <w:p w14:paraId="3CC090A4" w14:textId="0D30003A" w:rsidR="00083F30" w:rsidRDefault="001A60AE" w:rsidP="001A60AE">
      <w:pPr>
        <w:spacing w:line="276" w:lineRule="auto"/>
        <w:rPr>
          <w:sz w:val="24"/>
          <w:szCs w:val="24"/>
        </w:rPr>
      </w:pPr>
      <w:r w:rsidRPr="001A60AE">
        <w:rPr>
          <w:sz w:val="24"/>
          <w:szCs w:val="24"/>
        </w:rPr>
        <w:t xml:space="preserve">Figure </w:t>
      </w:r>
      <w:r>
        <w:rPr>
          <w:sz w:val="24"/>
          <w:szCs w:val="24"/>
        </w:rPr>
        <w:t>2</w:t>
      </w:r>
      <w:r w:rsidRPr="001A60AE">
        <w:rPr>
          <w:sz w:val="24"/>
          <w:szCs w:val="24"/>
        </w:rPr>
        <w:t xml:space="preserve"> shows the results of the simplified environmental assessment </w:t>
      </w:r>
      <w:r w:rsidR="00FE2C0F">
        <w:rPr>
          <w:sz w:val="24"/>
          <w:szCs w:val="24"/>
        </w:rPr>
        <w:t xml:space="preserve">in terms of Global Warming Potential (GWP) midpoint indicator, obtained </w:t>
      </w:r>
      <w:r w:rsidRPr="001A60AE">
        <w:rPr>
          <w:sz w:val="24"/>
          <w:szCs w:val="24"/>
        </w:rPr>
        <w:t xml:space="preserve">by comparing the mixture (1) and the mixture (3) </w:t>
      </w:r>
      <w:r w:rsidR="00FE2C0F">
        <w:rPr>
          <w:sz w:val="24"/>
          <w:szCs w:val="24"/>
        </w:rPr>
        <w:t>with the split of</w:t>
      </w:r>
      <w:r w:rsidRPr="001A60AE">
        <w:rPr>
          <w:sz w:val="24"/>
          <w:szCs w:val="24"/>
        </w:rPr>
        <w:t xml:space="preserve"> contributions </w:t>
      </w:r>
      <w:r w:rsidR="00FE2C0F">
        <w:rPr>
          <w:sz w:val="24"/>
          <w:szCs w:val="24"/>
        </w:rPr>
        <w:t>for</w:t>
      </w:r>
      <w:r w:rsidRPr="001A60AE">
        <w:rPr>
          <w:sz w:val="24"/>
          <w:szCs w:val="24"/>
        </w:rPr>
        <w:t xml:space="preserve"> each material. As regards the amount of Mask/Gloves, by analogy to the study</w:t>
      </w:r>
      <w:r w:rsidR="00C85B3F" w:rsidRPr="00C85B3F">
        <w:rPr>
          <w:sz w:val="24"/>
          <w:szCs w:val="24"/>
        </w:rPr>
        <w:t xml:space="preserve"> </w:t>
      </w:r>
      <w:r w:rsidR="00390AD3">
        <w:rPr>
          <w:sz w:val="24"/>
          <w:szCs w:val="24"/>
        </w:rPr>
        <w:fldChar w:fldCharType="begin" w:fldLock="1"/>
      </w:r>
      <w:r w:rsidR="00390AD3">
        <w:rPr>
          <w:sz w:val="24"/>
          <w:szCs w:val="24"/>
        </w:rPr>
        <w:instrText>ADDIN CSL_CITATION {"citationItems":[{"id":"ITEM-1","itemData":{"DOI":"10.1016/j.procir.2022.02.011","ISBN":"3907613570","ISSN":"22128271","abstract":"After more than one year form the first cases of Sars-Cov-2 infection, it is now clear that the most effective mean to prevent the diffusion of the pandemic is the use of face masks, that however are based on fossil materials and could potentially generate an environmental problem. This study wants to quantitatively investigate the environmental impacts related to the life cycle of a single use surgical mask through the use of the Life Cycle Assessment methodology. Results highlight significant impacts due to the material supply and transport, as well as product packaging and distribution. The study outcomes can be also useful to set potential eco-design strategies for the product environmental improvement.","author":[{"dropping-particle":"","family":"Barbanera","given":"Marco","non-dropping-particle":"","parse-names":false,"suffix":""},{"dropping-particle":"","family":"Marconi","given":"Marco","non-dropping-particle":"","parse-names":false,"suffix":""},{"dropping-particle":"","family":"Peruzzi","given":"Alessandro","non-dropping-particle":"","parse-names":false,"suffix":""},{"dropping-particle":"","family":"Dinarelli","given":"Serena","non-dropping-particle":"","parse-names":false,"suffix":""}],"container-title":"Procedia CIRP","id":"ITEM-1","issued":{"date-parts":[["2022"]]},"page":"61-66","publisher":"Elsevier B.V.","title":"Environmental assessment and eco-design of a surgical face mask","type":"article-journal","volume":"105"},"uris":["http://www.mendeley.com/documents/?uuid=a5ae0773-9c9d-482d-8ec0-f4528d01b281"]}],"mendeley":{"formattedCitation":"(Barbanera et al., 2022)","plainTextFormattedCitation":"(Barbanera et al., 2022)","previouslyFormattedCitation":"(Barbanera et al., 2022)"},"properties":{"noteIndex":0},"schema":"https://github.com/citation-style-language/schema/raw/master/csl-citation.json"}</w:instrText>
      </w:r>
      <w:r w:rsidR="00390AD3">
        <w:rPr>
          <w:sz w:val="24"/>
          <w:szCs w:val="24"/>
        </w:rPr>
        <w:fldChar w:fldCharType="separate"/>
      </w:r>
      <w:r w:rsidR="00390AD3" w:rsidRPr="00390AD3">
        <w:rPr>
          <w:noProof/>
          <w:sz w:val="24"/>
          <w:szCs w:val="24"/>
        </w:rPr>
        <w:t>(Barbanera et al., 2022)</w:t>
      </w:r>
      <w:r w:rsidR="00390AD3">
        <w:rPr>
          <w:sz w:val="24"/>
          <w:szCs w:val="24"/>
        </w:rPr>
        <w:fldChar w:fldCharType="end"/>
      </w:r>
      <w:r w:rsidR="00C85B3F" w:rsidRPr="00C85B3F">
        <w:rPr>
          <w:sz w:val="24"/>
          <w:szCs w:val="24"/>
        </w:rPr>
        <w:t xml:space="preserve">, </w:t>
      </w:r>
      <w:r w:rsidRPr="001A60AE">
        <w:rPr>
          <w:sz w:val="24"/>
          <w:szCs w:val="24"/>
        </w:rPr>
        <w:t>approximately 1.680 of PPE between masks and gloves were used in  1 m2 of asphalt for a duration of 30 years. These PPEs are recycled instead of disposed of in incinerators or landfills, avoiding polluting the environment.</w:t>
      </w:r>
    </w:p>
    <w:p w14:paraId="287809E9" w14:textId="7D8FA9AA" w:rsidR="00C85B3F" w:rsidRDefault="00C85B3F" w:rsidP="00060FAC">
      <w:pPr>
        <w:rPr>
          <w:sz w:val="24"/>
          <w:szCs w:val="24"/>
        </w:rPr>
      </w:pPr>
    </w:p>
    <w:p w14:paraId="5981E489" w14:textId="013E5062" w:rsidR="00C85B3F" w:rsidRDefault="00C85B3F" w:rsidP="00C85B3F">
      <w:pPr>
        <w:pStyle w:val="TableCaption"/>
        <w:spacing w:after="120" w:line="276" w:lineRule="auto"/>
        <w:ind w:left="1915" w:right="1800"/>
      </w:pPr>
      <w:r>
        <w:t>Figure</w:t>
      </w:r>
      <w:r w:rsidRPr="00581B30">
        <w:t xml:space="preserve"> </w:t>
      </w:r>
      <w:r w:rsidR="00FE2C0F">
        <w:t>2</w:t>
      </w:r>
      <w:r w:rsidRPr="00581B30">
        <w:t xml:space="preserve">. </w:t>
      </w:r>
      <w:r w:rsidR="00A52A0D" w:rsidRPr="00A52A0D">
        <w:t xml:space="preserve">GWP </w:t>
      </w:r>
      <w:r w:rsidR="00FE2C0F">
        <w:t>of standard and reinforced HMA</w:t>
      </w:r>
    </w:p>
    <w:p w14:paraId="28FBA8A7" w14:textId="2BB9D96B" w:rsidR="00C85B3F" w:rsidRDefault="00B1005F" w:rsidP="001A60AE">
      <w:pPr>
        <w:pStyle w:val="Figure"/>
      </w:pPr>
      <w:r>
        <w:rPr>
          <w:noProof/>
        </w:rPr>
        <w:drawing>
          <wp:inline distT="0" distB="0" distL="0" distR="0" wp14:anchorId="7B1ED5C4" wp14:editId="0F6A194F">
            <wp:extent cx="4536000" cy="1992024"/>
            <wp:effectExtent l="0" t="0" r="0" b="825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6000" cy="1992024"/>
                    </a:xfrm>
                    <a:prstGeom prst="rect">
                      <a:avLst/>
                    </a:prstGeom>
                  </pic:spPr>
                </pic:pic>
              </a:graphicData>
            </a:graphic>
          </wp:inline>
        </w:drawing>
      </w:r>
    </w:p>
    <w:p w14:paraId="1D3EC1D9" w14:textId="3B5E4C2D" w:rsidR="006E18E4" w:rsidRPr="006F2D6A" w:rsidRDefault="001A60AE" w:rsidP="001A60AE">
      <w:pPr>
        <w:spacing w:line="276" w:lineRule="auto"/>
        <w:rPr>
          <w:sz w:val="24"/>
          <w:szCs w:val="24"/>
        </w:rPr>
      </w:pPr>
      <w:r w:rsidRPr="001A60AE">
        <w:rPr>
          <w:sz w:val="24"/>
          <w:szCs w:val="24"/>
        </w:rPr>
        <w:t xml:space="preserve">According to Figure 2, the </w:t>
      </w:r>
      <w:r w:rsidR="00E21F35">
        <w:rPr>
          <w:sz w:val="24"/>
          <w:szCs w:val="24"/>
        </w:rPr>
        <w:t>reuse</w:t>
      </w:r>
      <w:r w:rsidRPr="001A60AE">
        <w:rPr>
          <w:sz w:val="24"/>
          <w:szCs w:val="24"/>
        </w:rPr>
        <w:t xml:space="preserve"> of masks and gloves significantly impacts the result, which indicates how the mixture (3) scenario impacts the environment with a GWP index of less than 56,79% compared to the standard HMA. In addition to this item, the lower impacts of the other materials must be considered, as described above, the life cycle of the reinforced asphalt is greater, therefore it results in fewer pavement remakes over the time horizon considered.</w:t>
      </w:r>
    </w:p>
    <w:p w14:paraId="5483F69C" w14:textId="77908770" w:rsidR="00083F30" w:rsidRPr="00A23B4B" w:rsidRDefault="00083F30" w:rsidP="00060FAC"/>
    <w:p w14:paraId="36073EF3" w14:textId="7BF8EAB9" w:rsidR="00781FA9" w:rsidRDefault="00B613F7" w:rsidP="00F552C6">
      <w:pPr>
        <w:pStyle w:val="Titolo1"/>
        <w:numPr>
          <w:ilvl w:val="1"/>
          <w:numId w:val="13"/>
        </w:numPr>
        <w:spacing w:before="0" w:after="0" w:line="276" w:lineRule="auto"/>
        <w:rPr>
          <w:snapToGrid w:val="0"/>
        </w:rPr>
      </w:pPr>
      <w:r>
        <w:rPr>
          <w:snapToGrid w:val="0"/>
        </w:rPr>
        <w:t>Conclusions</w:t>
      </w:r>
    </w:p>
    <w:p w14:paraId="10A9E980" w14:textId="77777777" w:rsidR="00F552C6" w:rsidRDefault="00F552C6" w:rsidP="00F552C6">
      <w:r>
        <w:t xml:space="preserve">As a first conclusion, it is possible to confirm the technical feasibility of the proposed scenario since the reuse of PPE waste as asphalt reinforcements does not lead to a worsening of the performance of the original asphalt. Secondly, the use of gloves together with masks, recommended due to the presented forecasts for 2025, has given promising results as nitrile and PP significantly improve tensile </w:t>
      </w:r>
      <w:r>
        <w:lastRenderedPageBreak/>
        <w:t>strength, stiffness and ductility compared to other blends. Thirdly, the use of masks and gloves seems to significantly reduce the GWP related to road pavement construction and maintenance.</w:t>
      </w:r>
    </w:p>
    <w:p w14:paraId="1751BE09" w14:textId="616F7EBB" w:rsidR="00F552C6" w:rsidRPr="00F552C6" w:rsidRDefault="00F552C6" w:rsidP="00F552C6">
      <w:r>
        <w:t>Further studies could focus on the experimentation of additional mixtures by increasing the dosage of masks/gloves. Indirect tensile stiffness modulus and fatigue resistance laboratory tests are required to better estimate the potential useful life of the PPE-reinforced asphalt, as well as testing of mixtures in operating environments. Finally, full LCA, cost, and social LCA studies are needed to establish the sustainability benefits.</w:t>
      </w:r>
    </w:p>
    <w:p w14:paraId="18C8ED3A" w14:textId="77777777" w:rsidR="006E18E4" w:rsidRDefault="006E18E4" w:rsidP="00982D0A">
      <w:pPr>
        <w:pStyle w:val="Titolo1"/>
        <w:numPr>
          <w:ilvl w:val="0"/>
          <w:numId w:val="0"/>
        </w:numPr>
        <w:spacing w:before="0" w:after="0" w:line="276" w:lineRule="auto"/>
        <w:ind w:left="360"/>
        <w:rPr>
          <w:snapToGrid w:val="0"/>
        </w:rPr>
      </w:pPr>
    </w:p>
    <w:p w14:paraId="35103695" w14:textId="0D3DD960" w:rsidR="00982D0A" w:rsidRDefault="00982D0A" w:rsidP="00982D0A">
      <w:pPr>
        <w:pStyle w:val="Titolo1"/>
        <w:numPr>
          <w:ilvl w:val="0"/>
          <w:numId w:val="0"/>
        </w:numPr>
        <w:spacing w:before="0" w:after="0" w:line="276" w:lineRule="auto"/>
        <w:ind w:left="360"/>
        <w:rPr>
          <w:snapToGrid w:val="0"/>
        </w:rPr>
      </w:pPr>
      <w:r>
        <w:rPr>
          <w:snapToGrid w:val="0"/>
        </w:rPr>
        <w:t>Bibliography</w:t>
      </w:r>
    </w:p>
    <w:p w14:paraId="03BC2F79" w14:textId="6575EFD9" w:rsidR="00982D0A" w:rsidRDefault="00982D0A" w:rsidP="00982D0A"/>
    <w:p w14:paraId="6C2A1467" w14:textId="62199341" w:rsidR="00F552C6" w:rsidRPr="00F552C6" w:rsidRDefault="00982D0A" w:rsidP="00F552C6">
      <w:pPr>
        <w:widowControl w:val="0"/>
        <w:autoSpaceDE w:val="0"/>
        <w:autoSpaceDN w:val="0"/>
        <w:adjustRightInd w:val="0"/>
        <w:spacing w:line="240" w:lineRule="exact"/>
        <w:ind w:left="480" w:hanging="480"/>
        <w:rPr>
          <w:noProof/>
        </w:rPr>
      </w:pPr>
      <w:r>
        <w:fldChar w:fldCharType="begin" w:fldLock="1"/>
      </w:r>
      <w:r>
        <w:instrText xml:space="preserve">ADDIN Mendeley Bibliography CSL_BIBLIOGRAPHY </w:instrText>
      </w:r>
      <w:r>
        <w:fldChar w:fldCharType="separate"/>
      </w:r>
      <w:r w:rsidR="00F552C6" w:rsidRPr="00F552C6">
        <w:rPr>
          <w:noProof/>
        </w:rPr>
        <w:t xml:space="preserve">Appiah, J. K., Berko-Boateng, V. N., &amp; Tagbor, T. A. (2017). Use of waste plastic materials for road construction in Ghana. </w:t>
      </w:r>
      <w:r w:rsidR="00F552C6" w:rsidRPr="00F552C6">
        <w:rPr>
          <w:i/>
          <w:iCs/>
          <w:noProof/>
        </w:rPr>
        <w:t>Case Studies in Construction Materials</w:t>
      </w:r>
      <w:r w:rsidR="00F552C6" w:rsidRPr="00F552C6">
        <w:rPr>
          <w:noProof/>
        </w:rPr>
        <w:t xml:space="preserve">, </w:t>
      </w:r>
      <w:r w:rsidR="00F552C6" w:rsidRPr="00F552C6">
        <w:rPr>
          <w:i/>
          <w:iCs/>
          <w:noProof/>
        </w:rPr>
        <w:t>6</w:t>
      </w:r>
      <w:r w:rsidR="00F552C6" w:rsidRPr="00F552C6">
        <w:rPr>
          <w:noProof/>
        </w:rPr>
        <w:t>. https://doi.org/10.1016/j.cscm.2016.11.001</w:t>
      </w:r>
    </w:p>
    <w:p w14:paraId="255DAC21"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Barbanera, M., Marconi, M., Peruzzi, A., &amp; Dinarelli, S. (2022). Environmental assessment and eco-design of a surgical face mask. </w:t>
      </w:r>
      <w:r w:rsidRPr="00F552C6">
        <w:rPr>
          <w:i/>
          <w:iCs/>
          <w:noProof/>
        </w:rPr>
        <w:t>Procedia CIRP</w:t>
      </w:r>
      <w:r w:rsidRPr="00F552C6">
        <w:rPr>
          <w:noProof/>
        </w:rPr>
        <w:t xml:space="preserve">, </w:t>
      </w:r>
      <w:r w:rsidRPr="00F552C6">
        <w:rPr>
          <w:i/>
          <w:iCs/>
          <w:noProof/>
        </w:rPr>
        <w:t>105</w:t>
      </w:r>
      <w:r w:rsidRPr="00F552C6">
        <w:rPr>
          <w:noProof/>
        </w:rPr>
        <w:t>, 61–66. https://doi.org/10.1016/j.procir.2022.02.011</w:t>
      </w:r>
    </w:p>
    <w:p w14:paraId="15A13972"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Biswas, A., Goel, A., &amp; Potnis, S. (2020). Performance comparison of waste plastic modified versus conventional bituminous roads in Pune city: A case study. </w:t>
      </w:r>
      <w:r w:rsidRPr="00F552C6">
        <w:rPr>
          <w:i/>
          <w:iCs/>
          <w:noProof/>
        </w:rPr>
        <w:t>Case Studies in Construction Materials</w:t>
      </w:r>
      <w:r w:rsidRPr="00F552C6">
        <w:rPr>
          <w:noProof/>
        </w:rPr>
        <w:t xml:space="preserve">, </w:t>
      </w:r>
      <w:r w:rsidRPr="00F552C6">
        <w:rPr>
          <w:i/>
          <w:iCs/>
          <w:noProof/>
        </w:rPr>
        <w:t>13</w:t>
      </w:r>
      <w:r w:rsidRPr="00F552C6">
        <w:rPr>
          <w:noProof/>
        </w:rPr>
        <w:t>. https://doi.org/10.1016/j.cscm.2020.e00411</w:t>
      </w:r>
    </w:p>
    <w:p w14:paraId="65257A84"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del Rey Castillo, E., Almesfer, N., Saggi, O., &amp; Ingham, J. M. (2020). Light-weight concrete with artificial aggregate manufactured from plastic waste. </w:t>
      </w:r>
      <w:r w:rsidRPr="00F552C6">
        <w:rPr>
          <w:i/>
          <w:iCs/>
          <w:noProof/>
        </w:rPr>
        <w:t>Construction and Building Materials</w:t>
      </w:r>
      <w:r w:rsidRPr="00F552C6">
        <w:rPr>
          <w:noProof/>
        </w:rPr>
        <w:t xml:space="preserve">, </w:t>
      </w:r>
      <w:r w:rsidRPr="00F552C6">
        <w:rPr>
          <w:i/>
          <w:iCs/>
          <w:noProof/>
        </w:rPr>
        <w:t>265</w:t>
      </w:r>
      <w:r w:rsidRPr="00F552C6">
        <w:rPr>
          <w:noProof/>
        </w:rPr>
        <w:t>. https://doi.org/10.1016/j.conbuildmat.2020.120199</w:t>
      </w:r>
    </w:p>
    <w:p w14:paraId="69DA0B51"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FCDO. (2020). Covid-19 – PPE demand &amp; supply perspectives. </w:t>
      </w:r>
      <w:r w:rsidRPr="00F552C6">
        <w:rPr>
          <w:i/>
          <w:iCs/>
          <w:noProof/>
        </w:rPr>
        <w:t>Foreign, Commonwealth and Development Office</w:t>
      </w:r>
      <w:r w:rsidRPr="00F552C6">
        <w:rPr>
          <w:noProof/>
        </w:rPr>
        <w:t xml:space="preserve">, </w:t>
      </w:r>
      <w:r w:rsidRPr="00F552C6">
        <w:rPr>
          <w:i/>
          <w:iCs/>
          <w:noProof/>
        </w:rPr>
        <w:t>December</w:t>
      </w:r>
      <w:r w:rsidRPr="00F552C6">
        <w:rPr>
          <w:noProof/>
        </w:rPr>
        <w:t>.</w:t>
      </w:r>
    </w:p>
    <w:p w14:paraId="6CF11BCF"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Harussani, M. M., Sapuan, S. M., Rashid, U., Khalina, A., &amp; Ilyas, R. A. (2022). Pyrolysis of polypropylene plastic waste into carbonaceous char: Priority of plastic waste management amidst COVID-19 pandemic. </w:t>
      </w:r>
      <w:r w:rsidRPr="00F552C6">
        <w:rPr>
          <w:i/>
          <w:iCs/>
          <w:noProof/>
        </w:rPr>
        <w:t>Science of the Total Environment</w:t>
      </w:r>
      <w:r w:rsidRPr="00F552C6">
        <w:rPr>
          <w:noProof/>
        </w:rPr>
        <w:t xml:space="preserve">, </w:t>
      </w:r>
      <w:r w:rsidRPr="00F552C6">
        <w:rPr>
          <w:i/>
          <w:iCs/>
          <w:noProof/>
        </w:rPr>
        <w:t>803</w:t>
      </w:r>
      <w:r w:rsidRPr="00F552C6">
        <w:rPr>
          <w:noProof/>
        </w:rPr>
        <w:t>. https://doi.org/10.1016/j.scitotenv.2021.149911</w:t>
      </w:r>
    </w:p>
    <w:p w14:paraId="78C4B7ED"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ISPRA. (2021). </w:t>
      </w:r>
      <w:r w:rsidRPr="00F552C6">
        <w:rPr>
          <w:i/>
          <w:iCs/>
          <w:noProof/>
        </w:rPr>
        <w:t>I rifiuti costituiti da dpi usati</w:t>
      </w:r>
      <w:r w:rsidRPr="00F552C6">
        <w:rPr>
          <w:noProof/>
        </w:rPr>
        <w:t xml:space="preserve">. </w:t>
      </w:r>
      <w:r w:rsidRPr="00F552C6">
        <w:rPr>
          <w:i/>
          <w:iCs/>
          <w:noProof/>
        </w:rPr>
        <w:t>12</w:t>
      </w:r>
      <w:r w:rsidRPr="00F552C6">
        <w:rPr>
          <w:noProof/>
        </w:rPr>
        <w:t>.</w:t>
      </w:r>
    </w:p>
    <w:p w14:paraId="2DD0F64F"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Landi, D., Gigli, S., Germani, M., &amp; Marconi, M. (2018a). Investigating the feasibility of a reuse scenario for textile fibres recovered from end-of-life tyres. </w:t>
      </w:r>
      <w:r w:rsidRPr="00F552C6">
        <w:rPr>
          <w:i/>
          <w:iCs/>
          <w:noProof/>
        </w:rPr>
        <w:t>Waste Management</w:t>
      </w:r>
      <w:r w:rsidRPr="00F552C6">
        <w:rPr>
          <w:noProof/>
        </w:rPr>
        <w:t xml:space="preserve">, </w:t>
      </w:r>
      <w:r w:rsidRPr="00F552C6">
        <w:rPr>
          <w:i/>
          <w:iCs/>
          <w:noProof/>
        </w:rPr>
        <w:t>75</w:t>
      </w:r>
      <w:r w:rsidRPr="00F552C6">
        <w:rPr>
          <w:noProof/>
        </w:rPr>
        <w:t>. https://doi.org/10.1016/j.wasman.2018.02.018</w:t>
      </w:r>
    </w:p>
    <w:p w14:paraId="44860E3D"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Landi, D., Gigli, S., Germani, M., &amp; Marconi, M. (2018b). Investigating the feasibility of a reuse scenario for textile fibres recovered from end-of-life tyres. </w:t>
      </w:r>
      <w:r w:rsidRPr="00F552C6">
        <w:rPr>
          <w:i/>
          <w:iCs/>
          <w:noProof/>
        </w:rPr>
        <w:t>Waste Management</w:t>
      </w:r>
      <w:r w:rsidRPr="00F552C6">
        <w:rPr>
          <w:noProof/>
        </w:rPr>
        <w:t xml:space="preserve">, </w:t>
      </w:r>
      <w:r w:rsidRPr="00F552C6">
        <w:rPr>
          <w:i/>
          <w:iCs/>
          <w:noProof/>
        </w:rPr>
        <w:t>75</w:t>
      </w:r>
      <w:r w:rsidRPr="00F552C6">
        <w:rPr>
          <w:noProof/>
        </w:rPr>
        <w:t>, 187–204. https://doi.org/10.1016/j.wasman.2018.02.018</w:t>
      </w:r>
    </w:p>
    <w:p w14:paraId="65DD1652"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Landi, D., Marconi, M., Bocci, E., &amp; Michele, G. (2020). Comparative life cycle assessment of standard, cellulose-reinforced and end of life tires fiber-</w:t>
      </w:r>
      <w:r w:rsidRPr="00F552C6">
        <w:rPr>
          <w:noProof/>
        </w:rPr>
        <w:lastRenderedPageBreak/>
        <w:t xml:space="preserve">reinforced hot mix asphalt mixtures. </w:t>
      </w:r>
      <w:r w:rsidRPr="00F552C6">
        <w:rPr>
          <w:i/>
          <w:iCs/>
          <w:noProof/>
        </w:rPr>
        <w:t>Journal of Cleaner Production 248</w:t>
      </w:r>
      <w:r w:rsidRPr="00F552C6">
        <w:rPr>
          <w:noProof/>
        </w:rPr>
        <w:t>.</w:t>
      </w:r>
    </w:p>
    <w:p w14:paraId="6DAE31A9"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Saberian, M., Li, J., Kilmartin-Lynch, S., &amp; Boroujeni, M. (2021). Repurposing of COVID-19 single-use face masks for pavements base/subbase. </w:t>
      </w:r>
      <w:r w:rsidRPr="00F552C6">
        <w:rPr>
          <w:i/>
          <w:iCs/>
          <w:noProof/>
        </w:rPr>
        <w:t>Science of the Total Environment</w:t>
      </w:r>
      <w:r w:rsidRPr="00F552C6">
        <w:rPr>
          <w:noProof/>
        </w:rPr>
        <w:t xml:space="preserve">, </w:t>
      </w:r>
      <w:r w:rsidRPr="00F552C6">
        <w:rPr>
          <w:i/>
          <w:iCs/>
          <w:noProof/>
        </w:rPr>
        <w:t>769</w:t>
      </w:r>
      <w:r w:rsidRPr="00F552C6">
        <w:rPr>
          <w:noProof/>
        </w:rPr>
        <w:t>, 145527. https://doi.org/10.1016/j.scitotenv.2021.145527</w:t>
      </w:r>
    </w:p>
    <w:p w14:paraId="4EB4137C"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White, G., &amp; Reid, G. (2019). Recycled waste plastic modification of bituminous binder. </w:t>
      </w:r>
      <w:r w:rsidRPr="00F552C6">
        <w:rPr>
          <w:i/>
          <w:iCs/>
          <w:noProof/>
        </w:rPr>
        <w:t>Bituminous Mixtures and Pavements VII- Proceedings of the 7th International Conference on Bituminous Mixtures and Pavements, ICONFBMP 2019</w:t>
      </w:r>
      <w:r w:rsidRPr="00F552C6">
        <w:rPr>
          <w:noProof/>
        </w:rPr>
        <w:t xml:space="preserve">, </w:t>
      </w:r>
      <w:r w:rsidRPr="00F552C6">
        <w:rPr>
          <w:i/>
          <w:iCs/>
          <w:noProof/>
        </w:rPr>
        <w:t>April</w:t>
      </w:r>
      <w:r w:rsidRPr="00F552C6">
        <w:rPr>
          <w:noProof/>
        </w:rPr>
        <w:t>, 3–12. https://doi.org/10.1201/9781351063265-1</w:t>
      </w:r>
    </w:p>
    <w:p w14:paraId="6D5C55E2" w14:textId="77777777" w:rsidR="00F552C6" w:rsidRPr="00F552C6" w:rsidRDefault="00F552C6" w:rsidP="00F552C6">
      <w:pPr>
        <w:widowControl w:val="0"/>
        <w:autoSpaceDE w:val="0"/>
        <w:autoSpaceDN w:val="0"/>
        <w:adjustRightInd w:val="0"/>
        <w:spacing w:line="240" w:lineRule="exact"/>
        <w:ind w:left="480" w:hanging="480"/>
        <w:rPr>
          <w:noProof/>
        </w:rPr>
      </w:pPr>
      <w:r w:rsidRPr="00F552C6">
        <w:rPr>
          <w:noProof/>
        </w:rPr>
        <w:t xml:space="preserve">WHO. (2022). </w:t>
      </w:r>
      <w:r w:rsidRPr="00F552C6">
        <w:rPr>
          <w:i/>
          <w:iCs/>
          <w:noProof/>
        </w:rPr>
        <w:t>Available online: https://covid19.who.int/.</w:t>
      </w:r>
      <w:r w:rsidRPr="00F552C6">
        <w:rPr>
          <w:noProof/>
        </w:rPr>
        <w:t xml:space="preserve"> </w:t>
      </w:r>
      <w:r w:rsidRPr="00F552C6">
        <w:rPr>
          <w:i/>
          <w:iCs/>
          <w:noProof/>
        </w:rPr>
        <w:t>June</w:t>
      </w:r>
      <w:r w:rsidRPr="00F552C6">
        <w:rPr>
          <w:noProof/>
        </w:rPr>
        <w:t>, 2022.</w:t>
      </w:r>
    </w:p>
    <w:p w14:paraId="00BE3C66" w14:textId="0A57B724" w:rsidR="0045701D" w:rsidRPr="00A23B4B" w:rsidRDefault="00982D0A" w:rsidP="00F552C6">
      <w:pPr>
        <w:widowControl w:val="0"/>
        <w:autoSpaceDE w:val="0"/>
        <w:autoSpaceDN w:val="0"/>
        <w:adjustRightInd w:val="0"/>
        <w:spacing w:line="240" w:lineRule="exact"/>
        <w:ind w:left="480" w:hanging="480"/>
      </w:pPr>
      <w:r>
        <w:fldChar w:fldCharType="end"/>
      </w:r>
    </w:p>
    <w:sectPr w:rsidR="0045701D" w:rsidRPr="00A23B4B"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AFCA" w14:textId="77777777" w:rsidR="00860412" w:rsidRDefault="00860412">
      <w:pPr>
        <w:spacing w:line="240" w:lineRule="auto"/>
      </w:pPr>
      <w:r>
        <w:separator/>
      </w:r>
    </w:p>
  </w:endnote>
  <w:endnote w:type="continuationSeparator" w:id="0">
    <w:p w14:paraId="4ECB6189" w14:textId="77777777" w:rsidR="00860412" w:rsidRDefault="00860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32F0" w14:textId="77777777" w:rsidR="00860412" w:rsidRDefault="00860412">
      <w:pPr>
        <w:spacing w:line="240" w:lineRule="auto"/>
      </w:pPr>
      <w:r>
        <w:separator/>
      </w:r>
    </w:p>
  </w:footnote>
  <w:footnote w:type="continuationSeparator" w:id="0">
    <w:p w14:paraId="35ADD433" w14:textId="77777777" w:rsidR="00860412" w:rsidRDefault="00860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2E5A2D38"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800F75">
      <w:rPr>
        <w:i/>
        <w:sz w:val="18"/>
      </w:rPr>
      <w:t>M</w:t>
    </w:r>
    <w:r w:rsidR="00A138D7" w:rsidRPr="000E2F27">
      <w:rPr>
        <w:i/>
        <w:sz w:val="18"/>
      </w:rPr>
      <w:t xml:space="preserve">. </w:t>
    </w:r>
    <w:r w:rsidR="00800F75">
      <w:rPr>
        <w:i/>
        <w:sz w:val="18"/>
      </w:rPr>
      <w:t>Gianvincenzi</w:t>
    </w:r>
    <w:r w:rsidR="00A138D7" w:rsidRPr="000E2F27">
      <w:rPr>
        <w:i/>
        <w:sz w:val="18"/>
      </w:rPr>
      <w:t xml:space="preserve"> &amp; </w:t>
    </w:r>
    <w:r w:rsidR="00800F75">
      <w:rPr>
        <w:i/>
        <w:sz w:val="18"/>
      </w:rPr>
      <w:t>M</w:t>
    </w:r>
    <w:r w:rsidR="00A138D7" w:rsidRPr="000E2F27">
      <w:rPr>
        <w:i/>
        <w:sz w:val="18"/>
      </w:rPr>
      <w:t xml:space="preserve">. </w:t>
    </w:r>
    <w:r w:rsidR="00800F75">
      <w:rPr>
        <w:i/>
        <w:sz w:val="18"/>
      </w:rPr>
      <w:t>Marconi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506B13B3"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683A18" w:rsidRPr="00683A18">
      <w:rPr>
        <w:i/>
        <w:noProof/>
        <w:sz w:val="18"/>
        <w:lang w:val="en-SG" w:eastAsia="en-SG"/>
      </w:rPr>
      <w:t>PPE recycling scenarios for the production of reinforced bituminous conglomerates</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 name="Group 1"/>
                      <wpg:cNvGrpSpPr>
                        <a:grpSpLocks/>
                      </wpg:cNvGrpSpPr>
                      <wpg:grpSpPr bwMode="auto">
                        <a:xfrm>
                          <a:off x="0" y="0"/>
                          <a:ext cx="6929408" cy="415144"/>
                          <a:chOff x="496" y="843"/>
                          <a:chExt cx="10910" cy="654"/>
                        </a:xfrm>
                      </wpg:grpSpPr>
                      <wpg:grpSp>
                        <wpg:cNvPr id="4"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48C"/>
    <w:multiLevelType w:val="hybridMultilevel"/>
    <w:tmpl w:val="289068C2"/>
    <w:lvl w:ilvl="0" w:tplc="D754504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 w15:restartNumberingAfterBreak="0">
    <w:nsid w:val="0D6D37F5"/>
    <w:multiLevelType w:val="hybridMultilevel"/>
    <w:tmpl w:val="11926B12"/>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101E7E41"/>
    <w:multiLevelType w:val="hybridMultilevel"/>
    <w:tmpl w:val="BE74EFA8"/>
    <w:lvl w:ilvl="0" w:tplc="04100001">
      <w:start w:val="1"/>
      <w:numFmt w:val="bullet"/>
      <w:lvlText w:val=""/>
      <w:lvlJc w:val="left"/>
      <w:pPr>
        <w:ind w:left="360" w:hanging="360"/>
      </w:pPr>
      <w:rPr>
        <w:rFonts w:ascii="Symbol" w:hAnsi="Symbol" w:hint="default"/>
      </w:rPr>
    </w:lvl>
    <w:lvl w:ilvl="1" w:tplc="FFFFFFFF">
      <w:start w:val="1"/>
      <w:numFmt w:val="bullet"/>
      <w:lvlText w:val=""/>
      <w:lvlJc w:val="left"/>
      <w:pPr>
        <w:ind w:left="1454" w:hanging="360"/>
      </w:pPr>
      <w:rPr>
        <w:rFonts w:ascii="Symbol" w:hAnsi="Symbol"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A75165"/>
    <w:multiLevelType w:val="hybridMultilevel"/>
    <w:tmpl w:val="D4729A28"/>
    <w:lvl w:ilvl="0" w:tplc="630A0A0A">
      <w:start w:val="1"/>
      <w:numFmt w:val="bullet"/>
      <w:lvlText w:val=""/>
      <w:lvlJc w:val="left"/>
      <w:pPr>
        <w:ind w:left="640" w:hanging="360"/>
      </w:pPr>
      <w:rPr>
        <w:rFonts w:ascii="Symbol" w:hAnsi="Symbol" w:hint="default"/>
      </w:rPr>
    </w:lvl>
    <w:lvl w:ilvl="1" w:tplc="FFFFFFFF">
      <w:start w:val="1"/>
      <w:numFmt w:val="bullet"/>
      <w:lvlText w:val=""/>
      <w:lvlJc w:val="left"/>
      <w:pPr>
        <w:ind w:left="1734" w:hanging="360"/>
      </w:pPr>
      <w:rPr>
        <w:rFonts w:ascii="Symbol" w:hAnsi="Symbol"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6"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7"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0"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1"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2"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3"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4"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2092580231">
    <w:abstractNumId w:val="13"/>
  </w:num>
  <w:num w:numId="2" w16cid:durableId="679746934">
    <w:abstractNumId w:val="12"/>
  </w:num>
  <w:num w:numId="3" w16cid:durableId="1636762513">
    <w:abstractNumId w:val="6"/>
  </w:num>
  <w:num w:numId="4" w16cid:durableId="2074811412">
    <w:abstractNumId w:val="16"/>
  </w:num>
  <w:num w:numId="5" w16cid:durableId="1905023988">
    <w:abstractNumId w:val="7"/>
  </w:num>
  <w:num w:numId="6" w16cid:durableId="821311547">
    <w:abstractNumId w:val="2"/>
  </w:num>
  <w:num w:numId="7" w16cid:durableId="881360398">
    <w:abstractNumId w:val="8"/>
  </w:num>
  <w:num w:numId="8" w16cid:durableId="803734781">
    <w:abstractNumId w:val="9"/>
  </w:num>
  <w:num w:numId="9" w16cid:durableId="1153257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7615511">
    <w:abstractNumId w:val="1"/>
  </w:num>
  <w:num w:numId="11" w16cid:durableId="504250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7985826">
    <w:abstractNumId w:val="14"/>
  </w:num>
  <w:num w:numId="13" w16cid:durableId="1686832758">
    <w:abstractNumId w:val="4"/>
  </w:num>
  <w:num w:numId="14" w16cid:durableId="1612936973">
    <w:abstractNumId w:val="5"/>
  </w:num>
  <w:num w:numId="15" w16cid:durableId="1115640699">
    <w:abstractNumId w:val="3"/>
  </w:num>
  <w:num w:numId="16" w16cid:durableId="875890253">
    <w:abstractNumId w:val="2"/>
    <w:lvlOverride w:ilvl="0">
      <w:startOverride w:val="1"/>
    </w:lvlOverride>
  </w:num>
  <w:num w:numId="17" w16cid:durableId="113213083">
    <w:abstractNumId w:val="2"/>
    <w:lvlOverride w:ilvl="0">
      <w:startOverride w:val="1"/>
    </w:lvlOverride>
  </w:num>
  <w:num w:numId="18" w16cid:durableId="889927084">
    <w:abstractNumId w:val="2"/>
    <w:lvlOverride w:ilvl="0">
      <w:startOverride w:val="1"/>
    </w:lvlOverride>
  </w:num>
  <w:num w:numId="19" w16cid:durableId="1176462424">
    <w:abstractNumId w:val="0"/>
  </w:num>
  <w:num w:numId="20" w16cid:durableId="2047675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499773">
    <w:abstractNumId w:val="8"/>
  </w:num>
  <w:num w:numId="22" w16cid:durableId="14634200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27B5B"/>
    <w:rsid w:val="00030ADB"/>
    <w:rsid w:val="00034334"/>
    <w:rsid w:val="000343A6"/>
    <w:rsid w:val="000358C0"/>
    <w:rsid w:val="0004193E"/>
    <w:rsid w:val="00041C51"/>
    <w:rsid w:val="0004408C"/>
    <w:rsid w:val="00054B55"/>
    <w:rsid w:val="00055617"/>
    <w:rsid w:val="000562D4"/>
    <w:rsid w:val="00060FAC"/>
    <w:rsid w:val="00062998"/>
    <w:rsid w:val="00072051"/>
    <w:rsid w:val="0007387C"/>
    <w:rsid w:val="0007584D"/>
    <w:rsid w:val="000771BE"/>
    <w:rsid w:val="00083F30"/>
    <w:rsid w:val="000852E6"/>
    <w:rsid w:val="00096B47"/>
    <w:rsid w:val="000A0084"/>
    <w:rsid w:val="000A596C"/>
    <w:rsid w:val="000A74E1"/>
    <w:rsid w:val="000D1420"/>
    <w:rsid w:val="000D5C93"/>
    <w:rsid w:val="000E213B"/>
    <w:rsid w:val="000E2F27"/>
    <w:rsid w:val="000F254D"/>
    <w:rsid w:val="000F5341"/>
    <w:rsid w:val="001002D8"/>
    <w:rsid w:val="00107A8A"/>
    <w:rsid w:val="00107E9F"/>
    <w:rsid w:val="00115B90"/>
    <w:rsid w:val="00122983"/>
    <w:rsid w:val="00125DB4"/>
    <w:rsid w:val="00132754"/>
    <w:rsid w:val="001334DD"/>
    <w:rsid w:val="001429F4"/>
    <w:rsid w:val="00151DC5"/>
    <w:rsid w:val="001540CF"/>
    <w:rsid w:val="001613A5"/>
    <w:rsid w:val="001646F6"/>
    <w:rsid w:val="00180BB3"/>
    <w:rsid w:val="00194854"/>
    <w:rsid w:val="00197107"/>
    <w:rsid w:val="00197312"/>
    <w:rsid w:val="001A0D9E"/>
    <w:rsid w:val="001A52A5"/>
    <w:rsid w:val="001A5D8A"/>
    <w:rsid w:val="001A60AE"/>
    <w:rsid w:val="001B1B69"/>
    <w:rsid w:val="001B43AB"/>
    <w:rsid w:val="001C41D2"/>
    <w:rsid w:val="001D184B"/>
    <w:rsid w:val="001D480B"/>
    <w:rsid w:val="001E18FC"/>
    <w:rsid w:val="001E38A2"/>
    <w:rsid w:val="001E44C7"/>
    <w:rsid w:val="00200467"/>
    <w:rsid w:val="00201FCF"/>
    <w:rsid w:val="00205C1E"/>
    <w:rsid w:val="0020681C"/>
    <w:rsid w:val="00214440"/>
    <w:rsid w:val="00215D25"/>
    <w:rsid w:val="00231470"/>
    <w:rsid w:val="002346D2"/>
    <w:rsid w:val="002415C4"/>
    <w:rsid w:val="00247384"/>
    <w:rsid w:val="00250880"/>
    <w:rsid w:val="00251C05"/>
    <w:rsid w:val="00252212"/>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A764B"/>
    <w:rsid w:val="002C06E7"/>
    <w:rsid w:val="002C3CED"/>
    <w:rsid w:val="002C5CB4"/>
    <w:rsid w:val="002D0AC0"/>
    <w:rsid w:val="002D29FD"/>
    <w:rsid w:val="002D3231"/>
    <w:rsid w:val="002D414C"/>
    <w:rsid w:val="002E3AAB"/>
    <w:rsid w:val="002E4DAC"/>
    <w:rsid w:val="002E6684"/>
    <w:rsid w:val="002F01ED"/>
    <w:rsid w:val="002F6F56"/>
    <w:rsid w:val="002F7330"/>
    <w:rsid w:val="003069D3"/>
    <w:rsid w:val="003111B2"/>
    <w:rsid w:val="00314333"/>
    <w:rsid w:val="00323789"/>
    <w:rsid w:val="00324DA4"/>
    <w:rsid w:val="0033032F"/>
    <w:rsid w:val="00332921"/>
    <w:rsid w:val="00335F68"/>
    <w:rsid w:val="003360BF"/>
    <w:rsid w:val="0033631D"/>
    <w:rsid w:val="003409F9"/>
    <w:rsid w:val="00341D1E"/>
    <w:rsid w:val="003423F8"/>
    <w:rsid w:val="003436C5"/>
    <w:rsid w:val="00354949"/>
    <w:rsid w:val="0036098C"/>
    <w:rsid w:val="003609D7"/>
    <w:rsid w:val="00362D5B"/>
    <w:rsid w:val="00362DC1"/>
    <w:rsid w:val="00364272"/>
    <w:rsid w:val="003719E6"/>
    <w:rsid w:val="00372272"/>
    <w:rsid w:val="00373C13"/>
    <w:rsid w:val="003800E5"/>
    <w:rsid w:val="003812D5"/>
    <w:rsid w:val="0038280F"/>
    <w:rsid w:val="00383DAE"/>
    <w:rsid w:val="00390AD3"/>
    <w:rsid w:val="003955D8"/>
    <w:rsid w:val="003A4089"/>
    <w:rsid w:val="003B2BC3"/>
    <w:rsid w:val="003B392B"/>
    <w:rsid w:val="003C4D55"/>
    <w:rsid w:val="003D12C9"/>
    <w:rsid w:val="003D617D"/>
    <w:rsid w:val="003E156F"/>
    <w:rsid w:val="003F1B6D"/>
    <w:rsid w:val="003F21E5"/>
    <w:rsid w:val="003F6CCB"/>
    <w:rsid w:val="003F6E61"/>
    <w:rsid w:val="00400544"/>
    <w:rsid w:val="00402E4D"/>
    <w:rsid w:val="00406300"/>
    <w:rsid w:val="00412D22"/>
    <w:rsid w:val="004136C5"/>
    <w:rsid w:val="00416BA3"/>
    <w:rsid w:val="00417671"/>
    <w:rsid w:val="004178FA"/>
    <w:rsid w:val="00417DA2"/>
    <w:rsid w:val="004225DE"/>
    <w:rsid w:val="004226E9"/>
    <w:rsid w:val="00425A66"/>
    <w:rsid w:val="00430738"/>
    <w:rsid w:val="00436D1B"/>
    <w:rsid w:val="00437A6D"/>
    <w:rsid w:val="00443FAE"/>
    <w:rsid w:val="00445735"/>
    <w:rsid w:val="004479AA"/>
    <w:rsid w:val="00452DE7"/>
    <w:rsid w:val="00453F74"/>
    <w:rsid w:val="004554B8"/>
    <w:rsid w:val="0045701D"/>
    <w:rsid w:val="00462CBA"/>
    <w:rsid w:val="004631B8"/>
    <w:rsid w:val="00464BF3"/>
    <w:rsid w:val="00466742"/>
    <w:rsid w:val="004724BD"/>
    <w:rsid w:val="00474C6A"/>
    <w:rsid w:val="00475D9A"/>
    <w:rsid w:val="00476E8C"/>
    <w:rsid w:val="00483F91"/>
    <w:rsid w:val="00484DA9"/>
    <w:rsid w:val="0048706B"/>
    <w:rsid w:val="004951C6"/>
    <w:rsid w:val="004A6ABE"/>
    <w:rsid w:val="004C0B1B"/>
    <w:rsid w:val="004C1A40"/>
    <w:rsid w:val="004C2425"/>
    <w:rsid w:val="004C7AE9"/>
    <w:rsid w:val="004D03EE"/>
    <w:rsid w:val="004D6B4F"/>
    <w:rsid w:val="004D7CBE"/>
    <w:rsid w:val="004E54C3"/>
    <w:rsid w:val="004F3F3C"/>
    <w:rsid w:val="004F6371"/>
    <w:rsid w:val="005052EC"/>
    <w:rsid w:val="0050550F"/>
    <w:rsid w:val="00516571"/>
    <w:rsid w:val="00523272"/>
    <w:rsid w:val="005275B0"/>
    <w:rsid w:val="005308EB"/>
    <w:rsid w:val="005327E5"/>
    <w:rsid w:val="005501B1"/>
    <w:rsid w:val="00553BA1"/>
    <w:rsid w:val="005567E0"/>
    <w:rsid w:val="0056238C"/>
    <w:rsid w:val="00566851"/>
    <w:rsid w:val="00571F25"/>
    <w:rsid w:val="00577E65"/>
    <w:rsid w:val="00581B30"/>
    <w:rsid w:val="00586300"/>
    <w:rsid w:val="00594E12"/>
    <w:rsid w:val="00596504"/>
    <w:rsid w:val="005B22D7"/>
    <w:rsid w:val="005B238B"/>
    <w:rsid w:val="005B7822"/>
    <w:rsid w:val="005C0C8C"/>
    <w:rsid w:val="005C400D"/>
    <w:rsid w:val="005C4AA9"/>
    <w:rsid w:val="005C503A"/>
    <w:rsid w:val="005D2441"/>
    <w:rsid w:val="005D2578"/>
    <w:rsid w:val="005D2BB9"/>
    <w:rsid w:val="005E4032"/>
    <w:rsid w:val="005E53D5"/>
    <w:rsid w:val="005F12D1"/>
    <w:rsid w:val="005F7BA4"/>
    <w:rsid w:val="00607D09"/>
    <w:rsid w:val="00616655"/>
    <w:rsid w:val="00616FBE"/>
    <w:rsid w:val="00617AE9"/>
    <w:rsid w:val="00622050"/>
    <w:rsid w:val="006232D0"/>
    <w:rsid w:val="00626616"/>
    <w:rsid w:val="006334AA"/>
    <w:rsid w:val="00633639"/>
    <w:rsid w:val="00636691"/>
    <w:rsid w:val="0064475B"/>
    <w:rsid w:val="00647807"/>
    <w:rsid w:val="006663F7"/>
    <w:rsid w:val="00680158"/>
    <w:rsid w:val="00683A18"/>
    <w:rsid w:val="006879AA"/>
    <w:rsid w:val="006913D2"/>
    <w:rsid w:val="006957D8"/>
    <w:rsid w:val="006A5F51"/>
    <w:rsid w:val="006A7075"/>
    <w:rsid w:val="006B2F24"/>
    <w:rsid w:val="006C12C8"/>
    <w:rsid w:val="006C7CB5"/>
    <w:rsid w:val="006D54C0"/>
    <w:rsid w:val="006D5BDA"/>
    <w:rsid w:val="006D7E12"/>
    <w:rsid w:val="006E18E4"/>
    <w:rsid w:val="006F2D6A"/>
    <w:rsid w:val="006F55CA"/>
    <w:rsid w:val="006F6EC4"/>
    <w:rsid w:val="007005AE"/>
    <w:rsid w:val="00701A95"/>
    <w:rsid w:val="00706B35"/>
    <w:rsid w:val="00707D3A"/>
    <w:rsid w:val="00717EF2"/>
    <w:rsid w:val="00730D4E"/>
    <w:rsid w:val="00734E09"/>
    <w:rsid w:val="00740292"/>
    <w:rsid w:val="00740C3C"/>
    <w:rsid w:val="007410FD"/>
    <w:rsid w:val="0074317E"/>
    <w:rsid w:val="00745585"/>
    <w:rsid w:val="007456FD"/>
    <w:rsid w:val="00745D4D"/>
    <w:rsid w:val="00746831"/>
    <w:rsid w:val="00746EEB"/>
    <w:rsid w:val="007543F6"/>
    <w:rsid w:val="00757B23"/>
    <w:rsid w:val="007639DD"/>
    <w:rsid w:val="00770002"/>
    <w:rsid w:val="00773368"/>
    <w:rsid w:val="007733CE"/>
    <w:rsid w:val="007740B5"/>
    <w:rsid w:val="007743D3"/>
    <w:rsid w:val="007808F3"/>
    <w:rsid w:val="007810D8"/>
    <w:rsid w:val="00781FA9"/>
    <w:rsid w:val="00784F76"/>
    <w:rsid w:val="007854CD"/>
    <w:rsid w:val="00787225"/>
    <w:rsid w:val="00790E40"/>
    <w:rsid w:val="00791B0C"/>
    <w:rsid w:val="00793736"/>
    <w:rsid w:val="007960EE"/>
    <w:rsid w:val="007970F6"/>
    <w:rsid w:val="007A7E8D"/>
    <w:rsid w:val="007B0738"/>
    <w:rsid w:val="007B567F"/>
    <w:rsid w:val="007C6BDF"/>
    <w:rsid w:val="007D0E64"/>
    <w:rsid w:val="007D4C47"/>
    <w:rsid w:val="007E2A4C"/>
    <w:rsid w:val="007F2C96"/>
    <w:rsid w:val="007F33D4"/>
    <w:rsid w:val="007F7EDC"/>
    <w:rsid w:val="00800F75"/>
    <w:rsid w:val="00811C43"/>
    <w:rsid w:val="00813091"/>
    <w:rsid w:val="00813818"/>
    <w:rsid w:val="00813B3E"/>
    <w:rsid w:val="00820F66"/>
    <w:rsid w:val="008235E8"/>
    <w:rsid w:val="008349D8"/>
    <w:rsid w:val="00836890"/>
    <w:rsid w:val="00842480"/>
    <w:rsid w:val="00847248"/>
    <w:rsid w:val="00855A7B"/>
    <w:rsid w:val="00860412"/>
    <w:rsid w:val="0086279A"/>
    <w:rsid w:val="00864C5F"/>
    <w:rsid w:val="00867EB1"/>
    <w:rsid w:val="00870B2F"/>
    <w:rsid w:val="008743F1"/>
    <w:rsid w:val="00883ADA"/>
    <w:rsid w:val="008852C0"/>
    <w:rsid w:val="00885E21"/>
    <w:rsid w:val="00886930"/>
    <w:rsid w:val="00890039"/>
    <w:rsid w:val="008950D5"/>
    <w:rsid w:val="00897924"/>
    <w:rsid w:val="008A3CBB"/>
    <w:rsid w:val="008A6BEC"/>
    <w:rsid w:val="008B058F"/>
    <w:rsid w:val="008B0E64"/>
    <w:rsid w:val="008B1D06"/>
    <w:rsid w:val="008B4D69"/>
    <w:rsid w:val="008B5AAC"/>
    <w:rsid w:val="008C1A0D"/>
    <w:rsid w:val="008C4818"/>
    <w:rsid w:val="008C685C"/>
    <w:rsid w:val="008D59D4"/>
    <w:rsid w:val="008E1AB0"/>
    <w:rsid w:val="008F2AE1"/>
    <w:rsid w:val="008F43D1"/>
    <w:rsid w:val="008F6B46"/>
    <w:rsid w:val="009128B3"/>
    <w:rsid w:val="00913BEA"/>
    <w:rsid w:val="00916DFA"/>
    <w:rsid w:val="00922EDF"/>
    <w:rsid w:val="00925C93"/>
    <w:rsid w:val="00926432"/>
    <w:rsid w:val="0093138F"/>
    <w:rsid w:val="00932248"/>
    <w:rsid w:val="00932A8F"/>
    <w:rsid w:val="00933404"/>
    <w:rsid w:val="00942552"/>
    <w:rsid w:val="00942DDA"/>
    <w:rsid w:val="00943340"/>
    <w:rsid w:val="00943E41"/>
    <w:rsid w:val="00947FA5"/>
    <w:rsid w:val="0095003F"/>
    <w:rsid w:val="00951675"/>
    <w:rsid w:val="00962C5F"/>
    <w:rsid w:val="00962F68"/>
    <w:rsid w:val="00965BAE"/>
    <w:rsid w:val="0096745D"/>
    <w:rsid w:val="0097219A"/>
    <w:rsid w:val="00982020"/>
    <w:rsid w:val="00982D0A"/>
    <w:rsid w:val="009848F2"/>
    <w:rsid w:val="00991A33"/>
    <w:rsid w:val="00994A05"/>
    <w:rsid w:val="00994D6B"/>
    <w:rsid w:val="009A168C"/>
    <w:rsid w:val="009A4835"/>
    <w:rsid w:val="009B02A3"/>
    <w:rsid w:val="009B4275"/>
    <w:rsid w:val="009C4022"/>
    <w:rsid w:val="009C6B67"/>
    <w:rsid w:val="009D0521"/>
    <w:rsid w:val="009D0E30"/>
    <w:rsid w:val="009D3A6F"/>
    <w:rsid w:val="009D479A"/>
    <w:rsid w:val="009D4885"/>
    <w:rsid w:val="009D6661"/>
    <w:rsid w:val="009D7165"/>
    <w:rsid w:val="009E23F3"/>
    <w:rsid w:val="009E362E"/>
    <w:rsid w:val="009E690F"/>
    <w:rsid w:val="009F68F7"/>
    <w:rsid w:val="00A00E99"/>
    <w:rsid w:val="00A1065E"/>
    <w:rsid w:val="00A110F9"/>
    <w:rsid w:val="00A1240E"/>
    <w:rsid w:val="00A12967"/>
    <w:rsid w:val="00A138D7"/>
    <w:rsid w:val="00A168C4"/>
    <w:rsid w:val="00A17B32"/>
    <w:rsid w:val="00A23B4B"/>
    <w:rsid w:val="00A32313"/>
    <w:rsid w:val="00A36643"/>
    <w:rsid w:val="00A370E2"/>
    <w:rsid w:val="00A45249"/>
    <w:rsid w:val="00A45CB2"/>
    <w:rsid w:val="00A468DC"/>
    <w:rsid w:val="00A46AD3"/>
    <w:rsid w:val="00A46E86"/>
    <w:rsid w:val="00A52A0D"/>
    <w:rsid w:val="00A53732"/>
    <w:rsid w:val="00A552C4"/>
    <w:rsid w:val="00A56CDE"/>
    <w:rsid w:val="00A61854"/>
    <w:rsid w:val="00A667EE"/>
    <w:rsid w:val="00A77727"/>
    <w:rsid w:val="00A80BE1"/>
    <w:rsid w:val="00A80E4C"/>
    <w:rsid w:val="00A83416"/>
    <w:rsid w:val="00A90F4F"/>
    <w:rsid w:val="00A93C96"/>
    <w:rsid w:val="00A94009"/>
    <w:rsid w:val="00A97AFD"/>
    <w:rsid w:val="00AA44B5"/>
    <w:rsid w:val="00AB07FF"/>
    <w:rsid w:val="00AB17BE"/>
    <w:rsid w:val="00AB3AE7"/>
    <w:rsid w:val="00AD2AE9"/>
    <w:rsid w:val="00AE08D3"/>
    <w:rsid w:val="00AE1F85"/>
    <w:rsid w:val="00AE509D"/>
    <w:rsid w:val="00AF0B26"/>
    <w:rsid w:val="00AF1114"/>
    <w:rsid w:val="00AF3380"/>
    <w:rsid w:val="00AF3650"/>
    <w:rsid w:val="00AF7D8E"/>
    <w:rsid w:val="00B033BC"/>
    <w:rsid w:val="00B03768"/>
    <w:rsid w:val="00B0708D"/>
    <w:rsid w:val="00B07B9A"/>
    <w:rsid w:val="00B07E02"/>
    <w:rsid w:val="00B1005F"/>
    <w:rsid w:val="00B10CED"/>
    <w:rsid w:val="00B214D7"/>
    <w:rsid w:val="00B453CE"/>
    <w:rsid w:val="00B469F2"/>
    <w:rsid w:val="00B53A9E"/>
    <w:rsid w:val="00B613F7"/>
    <w:rsid w:val="00B6419A"/>
    <w:rsid w:val="00B67BD5"/>
    <w:rsid w:val="00B73E6B"/>
    <w:rsid w:val="00B80035"/>
    <w:rsid w:val="00B817CF"/>
    <w:rsid w:val="00BB0078"/>
    <w:rsid w:val="00BB5183"/>
    <w:rsid w:val="00BC3E12"/>
    <w:rsid w:val="00BD4DA7"/>
    <w:rsid w:val="00BD5DF7"/>
    <w:rsid w:val="00BD60B4"/>
    <w:rsid w:val="00BE247B"/>
    <w:rsid w:val="00BE731C"/>
    <w:rsid w:val="00BF1316"/>
    <w:rsid w:val="00C05871"/>
    <w:rsid w:val="00C073F1"/>
    <w:rsid w:val="00C1175F"/>
    <w:rsid w:val="00C14D9E"/>
    <w:rsid w:val="00C15C34"/>
    <w:rsid w:val="00C17A89"/>
    <w:rsid w:val="00C22525"/>
    <w:rsid w:val="00C25E10"/>
    <w:rsid w:val="00C32A69"/>
    <w:rsid w:val="00C3578C"/>
    <w:rsid w:val="00C43441"/>
    <w:rsid w:val="00C47221"/>
    <w:rsid w:val="00C56538"/>
    <w:rsid w:val="00C5684B"/>
    <w:rsid w:val="00C66EB4"/>
    <w:rsid w:val="00C72DFB"/>
    <w:rsid w:val="00C764D5"/>
    <w:rsid w:val="00C82890"/>
    <w:rsid w:val="00C84C2F"/>
    <w:rsid w:val="00C85B3F"/>
    <w:rsid w:val="00C87367"/>
    <w:rsid w:val="00C92AC6"/>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13EE"/>
    <w:rsid w:val="00CF74EC"/>
    <w:rsid w:val="00D01D4B"/>
    <w:rsid w:val="00D02EA3"/>
    <w:rsid w:val="00D07C01"/>
    <w:rsid w:val="00D13754"/>
    <w:rsid w:val="00D17AC9"/>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96F85"/>
    <w:rsid w:val="00DB4AE0"/>
    <w:rsid w:val="00DB7628"/>
    <w:rsid w:val="00DB7B7D"/>
    <w:rsid w:val="00DD3D5B"/>
    <w:rsid w:val="00DD400C"/>
    <w:rsid w:val="00DD4ED3"/>
    <w:rsid w:val="00DE293F"/>
    <w:rsid w:val="00DE2B75"/>
    <w:rsid w:val="00DE6CE1"/>
    <w:rsid w:val="00DF0510"/>
    <w:rsid w:val="00DF13A1"/>
    <w:rsid w:val="00DF1E35"/>
    <w:rsid w:val="00DF2FB4"/>
    <w:rsid w:val="00E02792"/>
    <w:rsid w:val="00E12E41"/>
    <w:rsid w:val="00E13E23"/>
    <w:rsid w:val="00E21F35"/>
    <w:rsid w:val="00E23375"/>
    <w:rsid w:val="00E35DAC"/>
    <w:rsid w:val="00E364ED"/>
    <w:rsid w:val="00E36C59"/>
    <w:rsid w:val="00E37ACD"/>
    <w:rsid w:val="00E43AB6"/>
    <w:rsid w:val="00E43F28"/>
    <w:rsid w:val="00E5025A"/>
    <w:rsid w:val="00E5642A"/>
    <w:rsid w:val="00E56E1B"/>
    <w:rsid w:val="00E66E69"/>
    <w:rsid w:val="00E73C1A"/>
    <w:rsid w:val="00E75785"/>
    <w:rsid w:val="00E8137F"/>
    <w:rsid w:val="00E91C09"/>
    <w:rsid w:val="00E92E1E"/>
    <w:rsid w:val="00E9559E"/>
    <w:rsid w:val="00EA0D16"/>
    <w:rsid w:val="00EA2362"/>
    <w:rsid w:val="00EA397E"/>
    <w:rsid w:val="00EA7DCC"/>
    <w:rsid w:val="00EB1A09"/>
    <w:rsid w:val="00EB2F74"/>
    <w:rsid w:val="00EB31D3"/>
    <w:rsid w:val="00EB6346"/>
    <w:rsid w:val="00EB6EB5"/>
    <w:rsid w:val="00EC0855"/>
    <w:rsid w:val="00EC4EA1"/>
    <w:rsid w:val="00ED08C5"/>
    <w:rsid w:val="00ED3556"/>
    <w:rsid w:val="00ED3BDA"/>
    <w:rsid w:val="00EE3B7E"/>
    <w:rsid w:val="00EE6A5A"/>
    <w:rsid w:val="00EF32B6"/>
    <w:rsid w:val="00F115BF"/>
    <w:rsid w:val="00F12BC6"/>
    <w:rsid w:val="00F216B4"/>
    <w:rsid w:val="00F244BF"/>
    <w:rsid w:val="00F26CCF"/>
    <w:rsid w:val="00F27400"/>
    <w:rsid w:val="00F32081"/>
    <w:rsid w:val="00F41212"/>
    <w:rsid w:val="00F43024"/>
    <w:rsid w:val="00F463C7"/>
    <w:rsid w:val="00F5081D"/>
    <w:rsid w:val="00F552C6"/>
    <w:rsid w:val="00F605AB"/>
    <w:rsid w:val="00F61060"/>
    <w:rsid w:val="00F6438D"/>
    <w:rsid w:val="00F645D6"/>
    <w:rsid w:val="00F70157"/>
    <w:rsid w:val="00F71803"/>
    <w:rsid w:val="00F7447D"/>
    <w:rsid w:val="00F77123"/>
    <w:rsid w:val="00F83A98"/>
    <w:rsid w:val="00F87A09"/>
    <w:rsid w:val="00FA03BC"/>
    <w:rsid w:val="00FA394E"/>
    <w:rsid w:val="00FA6A4A"/>
    <w:rsid w:val="00FB037F"/>
    <w:rsid w:val="00FB126F"/>
    <w:rsid w:val="00FB3213"/>
    <w:rsid w:val="00FB55C5"/>
    <w:rsid w:val="00FB6DC9"/>
    <w:rsid w:val="00FB7056"/>
    <w:rsid w:val="00FC3A4D"/>
    <w:rsid w:val="00FC614F"/>
    <w:rsid w:val="00FC753A"/>
    <w:rsid w:val="00FE1FE0"/>
    <w:rsid w:val="00FE2C0F"/>
    <w:rsid w:val="00FE4DF1"/>
    <w:rsid w:val="00FF37B9"/>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9"/>
      </w:numPr>
      <w:spacing w:before="120" w:after="120" w:line="280" w:lineRule="exact"/>
      <w:contextualSpacing/>
      <w:jc w:val="both"/>
    </w:pPr>
    <w:rPr>
      <w:sz w:val="22"/>
    </w:rPr>
  </w:style>
  <w:style w:type="paragraph" w:customStyle="1" w:styleId="Arabiclist">
    <w:name w:val="Arabic list"/>
    <w:basedOn w:val="Normale"/>
    <w:rsid w:val="002F7330"/>
    <w:pPr>
      <w:numPr>
        <w:numId w:val="10"/>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2"/>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1A0D9E"/>
    <w:pPr>
      <w:ind w:left="720"/>
      <w:contextualSpacing/>
    </w:pPr>
  </w:style>
  <w:style w:type="character" w:styleId="Rimandonotadichiusura">
    <w:name w:val="endnote reference"/>
    <w:basedOn w:val="Carpredefinitoparagrafo"/>
    <w:uiPriority w:val="99"/>
    <w:semiHidden/>
    <w:unhideWhenUsed/>
    <w:rsid w:val="00DB7628"/>
    <w:rPr>
      <w:vertAlign w:val="superscript"/>
    </w:rPr>
  </w:style>
  <w:style w:type="character" w:styleId="Rimandocommento">
    <w:name w:val="annotation reference"/>
    <w:basedOn w:val="Carpredefinitoparagrafo"/>
    <w:uiPriority w:val="99"/>
    <w:semiHidden/>
    <w:unhideWhenUsed/>
    <w:rsid w:val="003D617D"/>
    <w:rPr>
      <w:sz w:val="16"/>
      <w:szCs w:val="16"/>
    </w:rPr>
  </w:style>
  <w:style w:type="paragraph" w:styleId="Testocommento">
    <w:name w:val="annotation text"/>
    <w:basedOn w:val="Normale"/>
    <w:link w:val="TestocommentoCarattere"/>
    <w:uiPriority w:val="99"/>
    <w:semiHidden/>
    <w:unhideWhenUsed/>
    <w:rsid w:val="003D617D"/>
    <w:pPr>
      <w:spacing w:line="240" w:lineRule="auto"/>
    </w:pPr>
    <w:rPr>
      <w:sz w:val="20"/>
    </w:rPr>
  </w:style>
  <w:style w:type="character" w:customStyle="1" w:styleId="TestocommentoCarattere">
    <w:name w:val="Testo commento Carattere"/>
    <w:basedOn w:val="Carpredefinitoparagrafo"/>
    <w:link w:val="Testocommento"/>
    <w:uiPriority w:val="99"/>
    <w:semiHidden/>
    <w:rsid w:val="003D617D"/>
  </w:style>
  <w:style w:type="paragraph" w:styleId="Soggettocommento">
    <w:name w:val="annotation subject"/>
    <w:basedOn w:val="Testocommento"/>
    <w:next w:val="Testocommento"/>
    <w:link w:val="SoggettocommentoCarattere"/>
    <w:uiPriority w:val="99"/>
    <w:semiHidden/>
    <w:unhideWhenUsed/>
    <w:rsid w:val="003D617D"/>
    <w:rPr>
      <w:b/>
      <w:bCs/>
    </w:rPr>
  </w:style>
  <w:style w:type="character" w:customStyle="1" w:styleId="SoggettocommentoCarattere">
    <w:name w:val="Soggetto commento Carattere"/>
    <w:basedOn w:val="TestocommentoCarattere"/>
    <w:link w:val="Soggettocommento"/>
    <w:uiPriority w:val="99"/>
    <w:semiHidden/>
    <w:rsid w:val="003D617D"/>
    <w:rPr>
      <w:b/>
      <w:bCs/>
    </w:rPr>
  </w:style>
  <w:style w:type="paragraph" w:styleId="Revisione">
    <w:name w:val="Revision"/>
    <w:hidden/>
    <w:uiPriority w:val="99"/>
    <w:semiHidden/>
    <w:rsid w:val="003409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696">
      <w:bodyDiv w:val="1"/>
      <w:marLeft w:val="0"/>
      <w:marRight w:val="0"/>
      <w:marTop w:val="0"/>
      <w:marBottom w:val="0"/>
      <w:divBdr>
        <w:top w:val="none" w:sz="0" w:space="0" w:color="auto"/>
        <w:left w:val="none" w:sz="0" w:space="0" w:color="auto"/>
        <w:bottom w:val="none" w:sz="0" w:space="0" w:color="auto"/>
        <w:right w:val="none" w:sz="0" w:space="0" w:color="auto"/>
      </w:divBdr>
    </w:div>
    <w:div w:id="185487874">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583495455">
      <w:bodyDiv w:val="1"/>
      <w:marLeft w:val="0"/>
      <w:marRight w:val="0"/>
      <w:marTop w:val="0"/>
      <w:marBottom w:val="0"/>
      <w:divBdr>
        <w:top w:val="none" w:sz="0" w:space="0" w:color="auto"/>
        <w:left w:val="none" w:sz="0" w:space="0" w:color="auto"/>
        <w:bottom w:val="none" w:sz="0" w:space="0" w:color="auto"/>
        <w:right w:val="none" w:sz="0" w:space="0" w:color="auto"/>
      </w:divBdr>
      <w:divsChild>
        <w:div w:id="1805350888">
          <w:marLeft w:val="-108"/>
          <w:marRight w:val="0"/>
          <w:marTop w:val="0"/>
          <w:marBottom w:val="0"/>
          <w:divBdr>
            <w:top w:val="none" w:sz="0" w:space="0" w:color="auto"/>
            <w:left w:val="none" w:sz="0" w:space="0" w:color="auto"/>
            <w:bottom w:val="none" w:sz="0" w:space="0" w:color="auto"/>
            <w:right w:val="none" w:sz="0" w:space="0" w:color="auto"/>
          </w:divBdr>
        </w:div>
      </w:divsChild>
    </w:div>
    <w:div w:id="784160036">
      <w:bodyDiv w:val="1"/>
      <w:marLeft w:val="0"/>
      <w:marRight w:val="0"/>
      <w:marTop w:val="0"/>
      <w:marBottom w:val="0"/>
      <w:divBdr>
        <w:top w:val="none" w:sz="0" w:space="0" w:color="auto"/>
        <w:left w:val="none" w:sz="0" w:space="0" w:color="auto"/>
        <w:bottom w:val="none" w:sz="0" w:space="0" w:color="auto"/>
        <w:right w:val="none" w:sz="0" w:space="0" w:color="auto"/>
      </w:divBdr>
    </w:div>
    <w:div w:id="785465855">
      <w:bodyDiv w:val="1"/>
      <w:marLeft w:val="0"/>
      <w:marRight w:val="0"/>
      <w:marTop w:val="0"/>
      <w:marBottom w:val="0"/>
      <w:divBdr>
        <w:top w:val="none" w:sz="0" w:space="0" w:color="auto"/>
        <w:left w:val="none" w:sz="0" w:space="0" w:color="auto"/>
        <w:bottom w:val="none" w:sz="0" w:space="0" w:color="auto"/>
        <w:right w:val="none" w:sz="0" w:space="0" w:color="auto"/>
      </w:divBdr>
    </w:div>
    <w:div w:id="885525031">
      <w:bodyDiv w:val="1"/>
      <w:marLeft w:val="0"/>
      <w:marRight w:val="0"/>
      <w:marTop w:val="0"/>
      <w:marBottom w:val="0"/>
      <w:divBdr>
        <w:top w:val="none" w:sz="0" w:space="0" w:color="auto"/>
        <w:left w:val="none" w:sz="0" w:space="0" w:color="auto"/>
        <w:bottom w:val="none" w:sz="0" w:space="0" w:color="auto"/>
        <w:right w:val="none" w:sz="0" w:space="0" w:color="auto"/>
      </w:divBdr>
      <w:divsChild>
        <w:div w:id="919414321">
          <w:marLeft w:val="-108"/>
          <w:marRight w:val="0"/>
          <w:marTop w:val="0"/>
          <w:marBottom w:val="0"/>
          <w:divBdr>
            <w:top w:val="none" w:sz="0" w:space="0" w:color="auto"/>
            <w:left w:val="none" w:sz="0" w:space="0" w:color="auto"/>
            <w:bottom w:val="none" w:sz="0" w:space="0" w:color="auto"/>
            <w:right w:val="none" w:sz="0" w:space="0" w:color="auto"/>
          </w:divBdr>
        </w:div>
      </w:divsChild>
    </w:div>
    <w:div w:id="91320490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06480">
      <w:bodyDiv w:val="1"/>
      <w:marLeft w:val="0"/>
      <w:marRight w:val="0"/>
      <w:marTop w:val="0"/>
      <w:marBottom w:val="0"/>
      <w:divBdr>
        <w:top w:val="none" w:sz="0" w:space="0" w:color="auto"/>
        <w:left w:val="none" w:sz="0" w:space="0" w:color="auto"/>
        <w:bottom w:val="none" w:sz="0" w:space="0" w:color="auto"/>
        <w:right w:val="none" w:sz="0" w:space="0" w:color="auto"/>
      </w:divBdr>
    </w:div>
    <w:div w:id="1718509235">
      <w:bodyDiv w:val="1"/>
      <w:marLeft w:val="0"/>
      <w:marRight w:val="0"/>
      <w:marTop w:val="0"/>
      <w:marBottom w:val="0"/>
      <w:divBdr>
        <w:top w:val="none" w:sz="0" w:space="0" w:color="auto"/>
        <w:left w:val="none" w:sz="0" w:space="0" w:color="auto"/>
        <w:bottom w:val="none" w:sz="0" w:space="0" w:color="auto"/>
        <w:right w:val="none" w:sz="0" w:space="0" w:color="auto"/>
      </w:divBdr>
    </w:div>
    <w:div w:id="1995988846">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556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F601-151D-4A4C-849E-A096FE35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63</TotalTime>
  <Pages>9</Pages>
  <Words>7736</Words>
  <Characters>44097</Characters>
  <Application>Microsoft Office Word</Application>
  <DocSecurity>0</DocSecurity>
  <Lines>367</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51730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Gianvincenzi</dc:creator>
  <cp:keywords/>
  <dc:description/>
  <cp:lastModifiedBy>Mattia Gianvincenzi</cp:lastModifiedBy>
  <cp:revision>5</cp:revision>
  <cp:lastPrinted>2015-09-03T03:20:00Z</cp:lastPrinted>
  <dcterms:created xsi:type="dcterms:W3CDTF">2022-06-23T16:51:00Z</dcterms:created>
  <dcterms:modified xsi:type="dcterms:W3CDTF">2022-06-24T09:29:00Z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c695745a-f3c4-3e93-a587-a38d3633bb04</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11th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