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7118" w14:textId="5AEF0E7C" w:rsidR="009848F2" w:rsidRPr="00B45304" w:rsidRDefault="009848F2" w:rsidP="00B45304">
      <w:pPr>
        <w:pStyle w:val="ChapterTitle"/>
        <w:tabs>
          <w:tab w:val="left" w:pos="5812"/>
          <w:tab w:val="left" w:pos="5954"/>
          <w:tab w:val="left" w:pos="6096"/>
          <w:tab w:val="left" w:pos="6237"/>
        </w:tabs>
        <w:spacing w:after="0"/>
        <w:ind w:left="0" w:right="-28"/>
        <w:jc w:val="both"/>
        <w:rPr>
          <w:sz w:val="28"/>
          <w:lang w:val="en-GB"/>
        </w:rPr>
      </w:pPr>
      <w:r w:rsidRPr="00B45304">
        <w:rPr>
          <w:sz w:val="28"/>
          <w:lang w:val="en-GB"/>
        </w:rPr>
        <w:t>Chapter N</w:t>
      </w:r>
      <w:r w:rsidR="007808F3" w:rsidRPr="00B45304">
        <w:rPr>
          <w:sz w:val="28"/>
          <w:lang w:val="en-GB"/>
        </w:rPr>
        <w:t xml:space="preserve"> </w:t>
      </w:r>
      <w:r w:rsidR="007808F3" w:rsidRPr="00B45304">
        <w:rPr>
          <w:color w:val="FF0000"/>
          <w:sz w:val="28"/>
          <w:lang w:val="en-GB"/>
        </w:rPr>
        <w:t>(please do not write anything in this line</w:t>
      </w:r>
      <w:r w:rsidR="00425A66" w:rsidRPr="00B45304">
        <w:rPr>
          <w:color w:val="FF0000"/>
          <w:sz w:val="28"/>
          <w:lang w:val="en-GB"/>
        </w:rPr>
        <w:t>. Editors will annotate the chapter number</w:t>
      </w:r>
      <w:r w:rsidR="007808F3" w:rsidRPr="00B45304">
        <w:rPr>
          <w:color w:val="FF0000"/>
          <w:sz w:val="28"/>
          <w:lang w:val="en-GB"/>
        </w:rPr>
        <w:t>)</w:t>
      </w:r>
    </w:p>
    <w:p w14:paraId="5AD0784A" w14:textId="46E35F0A" w:rsidR="002F7330" w:rsidRPr="00B45304" w:rsidRDefault="009777FC" w:rsidP="00B45304">
      <w:pPr>
        <w:autoSpaceDE w:val="0"/>
        <w:autoSpaceDN w:val="0"/>
        <w:adjustRightInd w:val="0"/>
        <w:jc w:val="both"/>
        <w:rPr>
          <w:b/>
          <w:sz w:val="32"/>
          <w:szCs w:val="32"/>
          <w:lang w:val="en-GB"/>
        </w:rPr>
      </w:pPr>
      <w:r w:rsidRPr="00B45304">
        <w:rPr>
          <w:b/>
          <w:sz w:val="28"/>
          <w:szCs w:val="28"/>
          <w:lang w:val="en-GB"/>
        </w:rPr>
        <w:t>University students and mobility. A sustainability analysis</w:t>
      </w:r>
    </w:p>
    <w:p w14:paraId="0AA38F2B" w14:textId="77777777" w:rsidR="009848F2" w:rsidRPr="00B45304" w:rsidRDefault="009848F2" w:rsidP="00B45304">
      <w:pPr>
        <w:pStyle w:val="ChapterTitle"/>
        <w:tabs>
          <w:tab w:val="left" w:pos="5812"/>
          <w:tab w:val="left" w:pos="5954"/>
          <w:tab w:val="left" w:pos="6096"/>
          <w:tab w:val="left" w:pos="6237"/>
        </w:tabs>
        <w:spacing w:after="0"/>
        <w:ind w:left="0" w:right="-28"/>
        <w:jc w:val="both"/>
        <w:rPr>
          <w:sz w:val="28"/>
          <w:lang w:val="en-GB"/>
        </w:rPr>
      </w:pPr>
    </w:p>
    <w:p w14:paraId="3FB827C2" w14:textId="7BBECEAA" w:rsidR="002F7330" w:rsidRPr="007478FC" w:rsidRDefault="009777FC" w:rsidP="00B45304">
      <w:pPr>
        <w:pStyle w:val="Author"/>
        <w:spacing w:line="276" w:lineRule="auto"/>
        <w:jc w:val="both"/>
        <w:rPr>
          <w:sz w:val="24"/>
        </w:rPr>
      </w:pPr>
      <w:r w:rsidRPr="007478FC">
        <w:rPr>
          <w:sz w:val="24"/>
        </w:rPr>
        <w:t>Tiziana Crovella</w:t>
      </w:r>
      <w:r w:rsidRPr="007478FC">
        <w:rPr>
          <w:sz w:val="24"/>
          <w:vertAlign w:val="superscript"/>
        </w:rPr>
        <w:t>1</w:t>
      </w:r>
      <w:r w:rsidR="009F68F7" w:rsidRPr="007478FC">
        <w:rPr>
          <w:sz w:val="24"/>
        </w:rPr>
        <w:t xml:space="preserve">, </w:t>
      </w:r>
      <w:r w:rsidRPr="007478FC">
        <w:rPr>
          <w:sz w:val="24"/>
        </w:rPr>
        <w:t>Sara Burdi</w:t>
      </w:r>
      <w:r w:rsidRPr="007478FC">
        <w:rPr>
          <w:sz w:val="24"/>
          <w:vertAlign w:val="superscript"/>
        </w:rPr>
        <w:t>2</w:t>
      </w:r>
      <w:r w:rsidR="009F68F7" w:rsidRPr="007478FC">
        <w:rPr>
          <w:sz w:val="24"/>
        </w:rPr>
        <w:t>,</w:t>
      </w:r>
      <w:r w:rsidRPr="007478FC">
        <w:rPr>
          <w:sz w:val="24"/>
        </w:rPr>
        <w:t xml:space="preserve"> Andrea Pontrandolfo</w:t>
      </w:r>
      <w:r w:rsidRPr="007478FC">
        <w:rPr>
          <w:sz w:val="24"/>
          <w:vertAlign w:val="superscript"/>
        </w:rPr>
        <w:t>3</w:t>
      </w:r>
      <w:r w:rsidR="00D07C01" w:rsidRPr="007478FC">
        <w:rPr>
          <w:sz w:val="24"/>
        </w:rPr>
        <w:t xml:space="preserve">, </w:t>
      </w:r>
      <w:r w:rsidRPr="007478FC">
        <w:rPr>
          <w:sz w:val="24"/>
        </w:rPr>
        <w:t>Annarita Paiano</w:t>
      </w:r>
      <w:r w:rsidRPr="007478FC">
        <w:rPr>
          <w:sz w:val="24"/>
          <w:vertAlign w:val="superscript"/>
        </w:rPr>
        <w:t>4</w:t>
      </w:r>
    </w:p>
    <w:p w14:paraId="16DA0DBA" w14:textId="1144EF4F" w:rsidR="00D07C01" w:rsidRPr="00B45304" w:rsidRDefault="009777FC" w:rsidP="00B45304">
      <w:pPr>
        <w:pStyle w:val="Affiliation"/>
        <w:spacing w:line="276" w:lineRule="auto"/>
        <w:jc w:val="both"/>
        <w:rPr>
          <w:lang w:val="en-GB"/>
        </w:rPr>
      </w:pPr>
      <w:r w:rsidRPr="00B45304">
        <w:rPr>
          <w:sz w:val="24"/>
          <w:vertAlign w:val="superscript"/>
          <w:lang w:val="en-GB"/>
        </w:rPr>
        <w:t xml:space="preserve">1,2,3,4 </w:t>
      </w:r>
      <w:r w:rsidRPr="00B45304">
        <w:rPr>
          <w:lang w:val="en-GB"/>
        </w:rPr>
        <w:t xml:space="preserve">Department of Economics, Management and Business Law, University of Bari Aldo Moro, Largo </w:t>
      </w:r>
      <w:proofErr w:type="spellStart"/>
      <w:r w:rsidRPr="00B45304">
        <w:rPr>
          <w:lang w:val="en-GB"/>
        </w:rPr>
        <w:t>Abbazia</w:t>
      </w:r>
      <w:proofErr w:type="spellEnd"/>
      <w:r w:rsidRPr="00B45304">
        <w:rPr>
          <w:lang w:val="en-GB"/>
        </w:rPr>
        <w:t xml:space="preserve"> Santa </w:t>
      </w:r>
      <w:proofErr w:type="spellStart"/>
      <w:r w:rsidRPr="00B45304">
        <w:rPr>
          <w:lang w:val="en-GB"/>
        </w:rPr>
        <w:t>Scolastica</w:t>
      </w:r>
      <w:proofErr w:type="spellEnd"/>
      <w:r w:rsidRPr="00B45304">
        <w:rPr>
          <w:lang w:val="en-GB"/>
        </w:rPr>
        <w:t>, 53 – 70124 Bari, Italy</w:t>
      </w:r>
    </w:p>
    <w:p w14:paraId="2181B678" w14:textId="15244B62" w:rsidR="009848F2" w:rsidRPr="008F17BA" w:rsidRDefault="00892C3E" w:rsidP="008F17BA">
      <w:pPr>
        <w:pStyle w:val="Affiliation"/>
        <w:spacing w:line="276" w:lineRule="auto"/>
        <w:jc w:val="left"/>
        <w:rPr>
          <w:highlight w:val="yellow"/>
          <w:lang w:val="en-GB"/>
        </w:rPr>
      </w:pPr>
      <w:hyperlink r:id="rId7" w:history="1">
        <w:r w:rsidR="003843C7" w:rsidRPr="00133705">
          <w:rPr>
            <w:rStyle w:val="Collegamentoipertestuale"/>
            <w:sz w:val="24"/>
            <w:vertAlign w:val="superscript"/>
            <w:lang w:val="en-GB"/>
          </w:rPr>
          <w:t>1</w:t>
        </w:r>
        <w:r w:rsidR="003843C7" w:rsidRPr="00133705">
          <w:rPr>
            <w:rStyle w:val="Collegamentoipertestuale"/>
            <w:lang w:val="en-GB"/>
          </w:rPr>
          <w:t>tiziana.crovella@uniba.it</w:t>
        </w:r>
      </w:hyperlink>
      <w:r w:rsidR="008F17BA" w:rsidRPr="00133705">
        <w:rPr>
          <w:lang w:val="en-GB"/>
        </w:rPr>
        <w:t xml:space="preserve">, </w:t>
      </w:r>
      <w:r w:rsidR="009777FC" w:rsidRPr="00133705">
        <w:rPr>
          <w:lang w:val="en-GB"/>
        </w:rPr>
        <w:t>https://orcid.org/0000-0002-0451-5576</w:t>
      </w:r>
      <w:r w:rsidR="00A12967" w:rsidRPr="00133705">
        <w:rPr>
          <w:lang w:val="en-GB"/>
        </w:rPr>
        <w:t xml:space="preserve">; </w:t>
      </w:r>
      <w:hyperlink r:id="rId8" w:history="1">
        <w:r w:rsidR="003843C7" w:rsidRPr="00133705">
          <w:rPr>
            <w:rStyle w:val="Collegamentoipertestuale"/>
            <w:sz w:val="24"/>
            <w:vertAlign w:val="superscript"/>
            <w:lang w:val="en-GB"/>
          </w:rPr>
          <w:t>2</w:t>
        </w:r>
        <w:r w:rsidR="003843C7" w:rsidRPr="00133705">
          <w:rPr>
            <w:rStyle w:val="Collegamentoipertestuale"/>
            <w:lang w:val="en-GB"/>
          </w:rPr>
          <w:t>sara.burdi@uniba.it</w:t>
        </w:r>
      </w:hyperlink>
      <w:r w:rsidR="003843C7" w:rsidRPr="00133705">
        <w:rPr>
          <w:lang w:val="en-GB"/>
        </w:rPr>
        <w:t xml:space="preserve">; </w:t>
      </w:r>
      <w:r w:rsidR="003843C7" w:rsidRPr="00133705">
        <w:rPr>
          <w:sz w:val="24"/>
          <w:vertAlign w:val="superscript"/>
          <w:lang w:val="en-GB"/>
        </w:rPr>
        <w:t>3</w:t>
      </w:r>
      <w:hyperlink r:id="rId9" w:history="1">
        <w:r w:rsidR="003843C7" w:rsidRPr="00133705">
          <w:rPr>
            <w:rStyle w:val="Collegamentoipertestuale"/>
            <w:lang w:val="en-GB"/>
          </w:rPr>
          <w:t>a.pontraldolfo4@studenti.uniba.it</w:t>
        </w:r>
      </w:hyperlink>
      <w:r w:rsidR="008F17BA" w:rsidRPr="00133705">
        <w:rPr>
          <w:lang w:val="en-GB"/>
        </w:rPr>
        <w:t xml:space="preserve"> </w:t>
      </w:r>
      <w:r w:rsidR="00B36286" w:rsidRPr="00133705">
        <w:rPr>
          <w:lang w:val="en-GB"/>
        </w:rPr>
        <w:t>https://orcid.org/0000-0003-4807-508X</w:t>
      </w:r>
      <w:r w:rsidR="003843C7" w:rsidRPr="00133705">
        <w:rPr>
          <w:lang w:val="en-GB"/>
        </w:rPr>
        <w:t xml:space="preserve">; </w:t>
      </w:r>
      <w:r w:rsidR="003843C7" w:rsidRPr="00133705">
        <w:rPr>
          <w:sz w:val="24"/>
          <w:vertAlign w:val="superscript"/>
          <w:lang w:val="en-GB"/>
        </w:rPr>
        <w:t>4</w:t>
      </w:r>
      <w:r w:rsidR="003843C7" w:rsidRPr="00133705">
        <w:rPr>
          <w:lang w:val="en-GB"/>
        </w:rPr>
        <w:t>annarita.paiano</w:t>
      </w:r>
      <w:r w:rsidR="00A12967" w:rsidRPr="00133705">
        <w:rPr>
          <w:lang w:val="en-GB"/>
        </w:rPr>
        <w:t>@</w:t>
      </w:r>
      <w:r w:rsidR="003843C7" w:rsidRPr="00133705">
        <w:rPr>
          <w:lang w:val="en-GB"/>
        </w:rPr>
        <w:t>uniba.it</w:t>
      </w:r>
      <w:r w:rsidR="008F17BA" w:rsidRPr="008F17BA">
        <w:rPr>
          <w:lang w:val="en-GB"/>
        </w:rPr>
        <w:t xml:space="preserve"> https://orcid.org/0000-0001-7718-538X</w:t>
      </w:r>
    </w:p>
    <w:p w14:paraId="0841DE3B" w14:textId="19BAF6B2" w:rsidR="002F7330" w:rsidRPr="008F17BA" w:rsidRDefault="009848F2" w:rsidP="00B45304">
      <w:pPr>
        <w:pStyle w:val="Affiliation"/>
        <w:spacing w:line="276" w:lineRule="auto"/>
        <w:jc w:val="both"/>
      </w:pPr>
      <w:proofErr w:type="spellStart"/>
      <w:r w:rsidRPr="008F17BA">
        <w:t>Corresponding</w:t>
      </w:r>
      <w:proofErr w:type="spellEnd"/>
      <w:r w:rsidRPr="008F17BA">
        <w:t xml:space="preserve"> </w:t>
      </w:r>
      <w:proofErr w:type="spellStart"/>
      <w:r w:rsidRPr="008F17BA">
        <w:t>author</w:t>
      </w:r>
      <w:proofErr w:type="spellEnd"/>
      <w:r w:rsidRPr="008F17BA">
        <w:t xml:space="preserve">: </w:t>
      </w:r>
      <w:r w:rsidR="009777FC" w:rsidRPr="008F17BA">
        <w:t>Tiziana Crovella, tiziana.crovella@uniba.it</w:t>
      </w:r>
    </w:p>
    <w:p w14:paraId="61F73F98" w14:textId="77777777" w:rsidR="007B567F" w:rsidRPr="008F17BA" w:rsidRDefault="007B567F" w:rsidP="00B45304">
      <w:pPr>
        <w:pStyle w:val="Abstract"/>
        <w:tabs>
          <w:tab w:val="left" w:pos="6379"/>
        </w:tabs>
        <w:spacing w:line="276" w:lineRule="auto"/>
        <w:ind w:left="0" w:right="-30"/>
        <w:jc w:val="both"/>
        <w:rPr>
          <w:b/>
          <w:sz w:val="22"/>
        </w:rPr>
      </w:pPr>
      <w:r w:rsidRPr="00B45304">
        <w:rPr>
          <w:b/>
          <w:noProof/>
          <w:snapToGrid/>
          <w:sz w:val="22"/>
          <w:lang w:val="en-GB"/>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8C60B63" w14:textId="1ADFC3AE" w:rsidR="004225DE" w:rsidRPr="00D564B9" w:rsidRDefault="004225DE" w:rsidP="001C0901">
      <w:pPr>
        <w:pStyle w:val="Abstract"/>
        <w:tabs>
          <w:tab w:val="left" w:pos="6379"/>
        </w:tabs>
        <w:spacing w:line="276" w:lineRule="auto"/>
        <w:ind w:left="0" w:right="-30"/>
        <w:jc w:val="both"/>
        <w:rPr>
          <w:snapToGrid/>
          <w:sz w:val="22"/>
          <w:lang w:val="en-GB"/>
        </w:rPr>
      </w:pPr>
      <w:r w:rsidRPr="00B45304">
        <w:rPr>
          <w:b/>
          <w:sz w:val="22"/>
          <w:lang w:val="en-GB"/>
        </w:rPr>
        <w:t>Abstract.</w:t>
      </w:r>
      <w:r w:rsidR="00B942F1" w:rsidRPr="00B45304">
        <w:rPr>
          <w:sz w:val="22"/>
          <w:lang w:val="en-GB"/>
        </w:rPr>
        <w:t xml:space="preserve"> </w:t>
      </w:r>
      <w:r w:rsidR="00B942F1" w:rsidRPr="00B45304">
        <w:rPr>
          <w:snapToGrid/>
          <w:sz w:val="22"/>
          <w:lang w:val="en-GB"/>
        </w:rPr>
        <w:t>This paper outlines the urban mobility as one of the most current challenges towards sustainable metropolitan mobility. In the context, university students play a central role in the issue of mobility because as commuters reach their campus in order to attend the didactic-training activities. Therefore, constantly pressures are generated on the environment in terms of greenhouse gas emissions, particulate matter, consumption of natural resources and fossil fuels. The methodological path addresses t</w:t>
      </w:r>
      <w:r w:rsidR="00DE174D">
        <w:rPr>
          <w:snapToGrid/>
          <w:sz w:val="22"/>
          <w:lang w:val="en-GB"/>
        </w:rPr>
        <w:t>hree</w:t>
      </w:r>
      <w:r w:rsidR="00B942F1" w:rsidRPr="00B45304">
        <w:rPr>
          <w:snapToGrid/>
          <w:sz w:val="22"/>
          <w:lang w:val="en-GB"/>
        </w:rPr>
        <w:t xml:space="preserve"> objectives: firstly, to map the current university students’ mobility; secondly, to quantify the impacts associated with their mobility in terms of </w:t>
      </w:r>
      <w:r w:rsidR="008C6983" w:rsidRPr="00B45304">
        <w:rPr>
          <w:snapToGrid/>
          <w:sz w:val="22"/>
          <w:lang w:val="en-GB"/>
        </w:rPr>
        <w:t>greenhouse gases</w:t>
      </w:r>
      <w:r w:rsidR="002808D8" w:rsidRPr="00B45304">
        <w:rPr>
          <w:snapToGrid/>
          <w:sz w:val="22"/>
          <w:lang w:val="en-GB"/>
        </w:rPr>
        <w:t xml:space="preserve"> </w:t>
      </w:r>
      <w:r w:rsidR="00B942F1" w:rsidRPr="00B45304">
        <w:rPr>
          <w:snapToGrid/>
          <w:sz w:val="22"/>
          <w:lang w:val="en-GB"/>
        </w:rPr>
        <w:t>emissions</w:t>
      </w:r>
      <w:r w:rsidR="00DE174D">
        <w:rPr>
          <w:snapToGrid/>
          <w:sz w:val="22"/>
          <w:lang w:val="en-GB"/>
        </w:rPr>
        <w:t>;</w:t>
      </w:r>
      <w:r w:rsidR="00B942F1" w:rsidRPr="00B45304">
        <w:rPr>
          <w:snapToGrid/>
          <w:sz w:val="22"/>
          <w:lang w:val="en-GB"/>
        </w:rPr>
        <w:t xml:space="preserve"> thirdly, to provide more sustainable alternatives to be implemented </w:t>
      </w:r>
      <w:r w:rsidR="002808D8" w:rsidRPr="00B45304">
        <w:rPr>
          <w:snapToGrid/>
          <w:sz w:val="22"/>
          <w:lang w:val="en-GB"/>
        </w:rPr>
        <w:t>for</w:t>
      </w:r>
      <w:r w:rsidR="00B942F1" w:rsidRPr="00B45304">
        <w:rPr>
          <w:snapToGrid/>
          <w:sz w:val="22"/>
          <w:lang w:val="en-GB"/>
        </w:rPr>
        <w:t xml:space="preserve"> the student community</w:t>
      </w:r>
      <w:r w:rsidR="002808D8" w:rsidRPr="00B45304">
        <w:rPr>
          <w:snapToGrid/>
          <w:sz w:val="22"/>
          <w:lang w:val="en-GB"/>
        </w:rPr>
        <w:t xml:space="preserve"> by stakeholders</w:t>
      </w:r>
      <w:r w:rsidR="00B942F1" w:rsidRPr="00B45304">
        <w:rPr>
          <w:snapToGrid/>
          <w:sz w:val="22"/>
          <w:lang w:val="en-GB"/>
        </w:rPr>
        <w:t xml:space="preserve">. The administration of a questionnaire survey to a sample of students from the Campus of Economics in Bari and the elaboration of data through </w:t>
      </w:r>
      <w:r w:rsidR="002808D8" w:rsidRPr="00B45304">
        <w:rPr>
          <w:snapToGrid/>
          <w:sz w:val="22"/>
          <w:lang w:val="en-GB"/>
        </w:rPr>
        <w:t>statistical</w:t>
      </w:r>
      <w:r w:rsidR="00B942F1" w:rsidRPr="00B45304">
        <w:rPr>
          <w:snapToGrid/>
          <w:sz w:val="22"/>
          <w:lang w:val="en-GB"/>
        </w:rPr>
        <w:t xml:space="preserve"> tools allow</w:t>
      </w:r>
      <w:r w:rsidR="007365FE" w:rsidRPr="00B45304">
        <w:rPr>
          <w:snapToGrid/>
          <w:sz w:val="22"/>
          <w:lang w:val="en-GB"/>
        </w:rPr>
        <w:t>ed</w:t>
      </w:r>
      <w:r w:rsidR="00B942F1" w:rsidRPr="00B45304">
        <w:rPr>
          <w:snapToGrid/>
          <w:sz w:val="22"/>
          <w:lang w:val="en-GB"/>
        </w:rPr>
        <w:t xml:space="preserve"> the building of a database in order to address </w:t>
      </w:r>
      <w:r w:rsidR="00DE174D">
        <w:rPr>
          <w:snapToGrid/>
          <w:sz w:val="22"/>
          <w:lang w:val="en-GB"/>
        </w:rPr>
        <w:t>t</w:t>
      </w:r>
      <w:r w:rsidR="00B942F1" w:rsidRPr="00B45304">
        <w:rPr>
          <w:snapToGrid/>
          <w:sz w:val="22"/>
          <w:lang w:val="en-GB"/>
        </w:rPr>
        <w:t xml:space="preserve">he objectives </w:t>
      </w:r>
      <w:r w:rsidR="00DE174D">
        <w:rPr>
          <w:snapToGrid/>
          <w:sz w:val="22"/>
          <w:lang w:val="en-GB"/>
        </w:rPr>
        <w:t xml:space="preserve">of the paper </w:t>
      </w:r>
      <w:r w:rsidR="00B942F1" w:rsidRPr="00B45304">
        <w:rPr>
          <w:snapToGrid/>
          <w:sz w:val="22"/>
          <w:lang w:val="en-GB"/>
        </w:rPr>
        <w:t xml:space="preserve">and to build the basis of identification of some more sustainable alternatives for the students' mobility. </w:t>
      </w:r>
      <w:r w:rsidR="00B942F1" w:rsidRPr="00D564B9">
        <w:rPr>
          <w:snapToGrid/>
          <w:sz w:val="22"/>
          <w:lang w:val="en-GB"/>
        </w:rPr>
        <w:t xml:space="preserve">The outcomes of this analysis aim to </w:t>
      </w:r>
      <w:r w:rsidR="00D564B9" w:rsidRPr="00D564B9">
        <w:rPr>
          <w:snapToGrid/>
          <w:sz w:val="22"/>
          <w:lang w:val="en-GB"/>
        </w:rPr>
        <w:t>stimulate</w:t>
      </w:r>
      <w:r w:rsidR="00B942F1" w:rsidRPr="00D564B9">
        <w:rPr>
          <w:snapToGrid/>
          <w:sz w:val="22"/>
          <w:lang w:val="en-GB"/>
        </w:rPr>
        <w:t xml:space="preserve"> </w:t>
      </w:r>
      <w:r w:rsidR="00D564B9" w:rsidRPr="00D564B9">
        <w:rPr>
          <w:snapToGrid/>
          <w:sz w:val="22"/>
          <w:lang w:val="en-GB"/>
        </w:rPr>
        <w:t xml:space="preserve">efforts </w:t>
      </w:r>
      <w:r w:rsidR="00B942F1" w:rsidRPr="00D564B9">
        <w:rPr>
          <w:snapToGrid/>
          <w:sz w:val="22"/>
          <w:lang w:val="en-GB"/>
        </w:rPr>
        <w:t xml:space="preserve">towards priority areas of sustainable transformation and to </w:t>
      </w:r>
      <w:r w:rsidR="00D564B9" w:rsidRPr="00D564B9">
        <w:rPr>
          <w:snapToGrid/>
          <w:sz w:val="22"/>
          <w:lang w:val="en-GB"/>
        </w:rPr>
        <w:t>enlarge</w:t>
      </w:r>
      <w:r w:rsidR="00B942F1" w:rsidRPr="00D564B9">
        <w:rPr>
          <w:snapToGrid/>
          <w:sz w:val="22"/>
          <w:lang w:val="en-GB"/>
        </w:rPr>
        <w:t xml:space="preserve"> </w:t>
      </w:r>
      <w:r w:rsidR="00D564B9" w:rsidRPr="00D564B9">
        <w:rPr>
          <w:snapToGrid/>
          <w:sz w:val="22"/>
          <w:lang w:val="en-GB"/>
        </w:rPr>
        <w:t>the</w:t>
      </w:r>
      <w:r w:rsidR="00B942F1" w:rsidRPr="00D564B9">
        <w:rPr>
          <w:snapToGrid/>
          <w:sz w:val="22"/>
          <w:lang w:val="en-GB"/>
        </w:rPr>
        <w:t xml:space="preserve"> scientific literature.</w:t>
      </w:r>
    </w:p>
    <w:p w14:paraId="4F359C82" w14:textId="77777777" w:rsidR="00851D77" w:rsidRPr="00B45304" w:rsidRDefault="00851D77" w:rsidP="001C0901">
      <w:pPr>
        <w:pStyle w:val="Abstract"/>
        <w:tabs>
          <w:tab w:val="left" w:pos="6379"/>
        </w:tabs>
        <w:spacing w:line="276" w:lineRule="auto"/>
        <w:ind w:left="0" w:right="-30"/>
        <w:jc w:val="both"/>
        <w:rPr>
          <w:snapToGrid/>
          <w:sz w:val="22"/>
          <w:lang w:val="en-GB"/>
        </w:rPr>
      </w:pPr>
    </w:p>
    <w:p w14:paraId="64E3CF36" w14:textId="127804ED" w:rsidR="00B942F1" w:rsidRPr="00B45304" w:rsidRDefault="004225DE" w:rsidP="001C0901">
      <w:pPr>
        <w:pStyle w:val="Abstract"/>
        <w:tabs>
          <w:tab w:val="left" w:pos="6379"/>
        </w:tabs>
        <w:spacing w:line="276" w:lineRule="auto"/>
        <w:ind w:left="0" w:right="-30"/>
        <w:jc w:val="both"/>
        <w:rPr>
          <w:snapToGrid/>
          <w:sz w:val="22"/>
          <w:lang w:val="en-GB"/>
        </w:rPr>
      </w:pPr>
      <w:r w:rsidRPr="00B45304">
        <w:rPr>
          <w:b/>
          <w:snapToGrid/>
          <w:sz w:val="22"/>
          <w:lang w:val="en-GB"/>
        </w:rPr>
        <w:t>Keywords.</w:t>
      </w:r>
      <w:r w:rsidR="00513A36" w:rsidRPr="00B45304">
        <w:rPr>
          <w:snapToGrid/>
          <w:sz w:val="22"/>
          <w:lang w:val="en-GB"/>
        </w:rPr>
        <w:t xml:space="preserve"> </w:t>
      </w:r>
      <w:r w:rsidR="00BB7751" w:rsidRPr="00B45304">
        <w:rPr>
          <w:snapToGrid/>
          <w:sz w:val="22"/>
          <w:lang w:val="en-GB"/>
        </w:rPr>
        <w:t>U</w:t>
      </w:r>
      <w:r w:rsidR="00B942F1" w:rsidRPr="00B45304">
        <w:rPr>
          <w:snapToGrid/>
          <w:sz w:val="22"/>
          <w:lang w:val="en-GB"/>
        </w:rPr>
        <w:t>rban mobility, university students, emissions, transport, sustainable behaviors.</w:t>
      </w:r>
    </w:p>
    <w:p w14:paraId="68CF7C85" w14:textId="73FE3BD4" w:rsidR="00A370E2" w:rsidRPr="00B45304" w:rsidRDefault="007B567F" w:rsidP="00B45304">
      <w:pPr>
        <w:pStyle w:val="Abstract"/>
        <w:tabs>
          <w:tab w:val="left" w:pos="6379"/>
        </w:tabs>
        <w:spacing w:line="276" w:lineRule="auto"/>
        <w:ind w:left="0" w:right="-30"/>
        <w:jc w:val="both"/>
        <w:rPr>
          <w:snapToGrid/>
          <w:sz w:val="22"/>
          <w:lang w:val="en-GB"/>
        </w:rPr>
      </w:pPr>
      <w:r w:rsidRPr="00B45304">
        <w:rPr>
          <w:b/>
          <w:noProof/>
          <w:snapToGrid/>
          <w:sz w:val="22"/>
          <w:lang w:val="en-GB"/>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7AE8EF34" w14:textId="78826F13" w:rsidR="008C685C" w:rsidRPr="00B45304" w:rsidRDefault="008C685C" w:rsidP="00B45304">
      <w:pPr>
        <w:pStyle w:val="Titolo1"/>
        <w:numPr>
          <w:ilvl w:val="1"/>
          <w:numId w:val="39"/>
        </w:numPr>
        <w:spacing w:before="0" w:after="0" w:line="276" w:lineRule="auto"/>
        <w:jc w:val="both"/>
        <w:rPr>
          <w:snapToGrid w:val="0"/>
          <w:szCs w:val="24"/>
          <w:lang w:val="en-GB"/>
        </w:rPr>
      </w:pPr>
      <w:r w:rsidRPr="00B45304">
        <w:rPr>
          <w:snapToGrid w:val="0"/>
          <w:szCs w:val="24"/>
          <w:lang w:val="en-GB"/>
        </w:rPr>
        <w:lastRenderedPageBreak/>
        <w:t>Introduction</w:t>
      </w:r>
    </w:p>
    <w:p w14:paraId="5C0B2EC8" w14:textId="1095D1E9" w:rsidR="00A109BD" w:rsidRPr="00B45304" w:rsidRDefault="00513A36" w:rsidP="00B45304">
      <w:pPr>
        <w:spacing w:line="276" w:lineRule="auto"/>
        <w:jc w:val="both"/>
        <w:rPr>
          <w:lang w:val="en-GB"/>
        </w:rPr>
      </w:pPr>
      <w:r w:rsidRPr="00B45304">
        <w:rPr>
          <w:lang w:val="en-GB"/>
        </w:rPr>
        <w:t xml:space="preserve">The population growth </w:t>
      </w:r>
      <w:r w:rsidR="00B2569E" w:rsidRPr="00B45304">
        <w:rPr>
          <w:lang w:val="en-GB"/>
        </w:rPr>
        <w:t xml:space="preserve">in </w:t>
      </w:r>
      <w:r w:rsidRPr="00B45304">
        <w:rPr>
          <w:lang w:val="en-GB"/>
        </w:rPr>
        <w:t xml:space="preserve">metropolitan </w:t>
      </w:r>
      <w:r w:rsidR="00B2569E" w:rsidRPr="00B45304">
        <w:rPr>
          <w:lang w:val="en-GB"/>
        </w:rPr>
        <w:t xml:space="preserve">and urban </w:t>
      </w:r>
      <w:r w:rsidRPr="00B45304">
        <w:rPr>
          <w:lang w:val="en-GB"/>
        </w:rPr>
        <w:t xml:space="preserve">areas </w:t>
      </w:r>
      <w:r w:rsidR="005B3C00">
        <w:rPr>
          <w:lang w:val="en-GB"/>
        </w:rPr>
        <w:t>provoke</w:t>
      </w:r>
      <w:r w:rsidRPr="00B45304">
        <w:rPr>
          <w:lang w:val="en-GB"/>
        </w:rPr>
        <w:t xml:space="preserve">s </w:t>
      </w:r>
      <w:r w:rsidR="00EF5B47">
        <w:rPr>
          <w:lang w:val="en-GB"/>
        </w:rPr>
        <w:t>critical issues</w:t>
      </w:r>
      <w:r w:rsidRPr="00B45304">
        <w:rPr>
          <w:lang w:val="en-GB"/>
        </w:rPr>
        <w:t xml:space="preserve"> of congestion, environmental pollution and </w:t>
      </w:r>
      <w:r w:rsidR="004E69E3" w:rsidRPr="00B45304">
        <w:rPr>
          <w:lang w:val="en-GB"/>
        </w:rPr>
        <w:t>worsening</w:t>
      </w:r>
      <w:r w:rsidRPr="00B45304">
        <w:rPr>
          <w:lang w:val="en-GB"/>
        </w:rPr>
        <w:t xml:space="preserve"> of the quality of life. At the European level,</w:t>
      </w:r>
      <w:r w:rsidR="00A109BD" w:rsidRPr="00B45304">
        <w:rPr>
          <w:lang w:val="en-GB"/>
        </w:rPr>
        <w:t xml:space="preserve"> </w:t>
      </w:r>
      <w:r w:rsidRPr="00B45304">
        <w:rPr>
          <w:lang w:val="en-GB"/>
        </w:rPr>
        <w:t>the Commission has promoted the Sustainable Urban Mobility Plans</w:t>
      </w:r>
      <w:r w:rsidR="004E69E3" w:rsidRPr="00B45304">
        <w:rPr>
          <w:lang w:val="en-GB"/>
        </w:rPr>
        <w:t xml:space="preserve"> to address the unsustainable mobility</w:t>
      </w:r>
      <w:r w:rsidR="00A109BD" w:rsidRPr="00B45304">
        <w:rPr>
          <w:lang w:val="en-GB"/>
        </w:rPr>
        <w:t xml:space="preserve"> policies (</w:t>
      </w:r>
      <w:proofErr w:type="spellStart"/>
      <w:r w:rsidR="00A109BD" w:rsidRPr="00B45304">
        <w:rPr>
          <w:lang w:val="en-GB"/>
        </w:rPr>
        <w:t>Sgarra</w:t>
      </w:r>
      <w:proofErr w:type="spellEnd"/>
      <w:r w:rsidR="00A109BD" w:rsidRPr="00B45304">
        <w:rPr>
          <w:lang w:val="en-GB"/>
        </w:rPr>
        <w:t xml:space="preserve"> et al., 2022) and others Programmes which affect both national and local development</w:t>
      </w:r>
      <w:r w:rsidR="00B2569E" w:rsidRPr="00B45304">
        <w:rPr>
          <w:lang w:val="en-GB"/>
        </w:rPr>
        <w:t>.</w:t>
      </w:r>
      <w:r w:rsidRPr="00B45304">
        <w:rPr>
          <w:lang w:val="en-GB"/>
        </w:rPr>
        <w:t xml:space="preserve"> </w:t>
      </w:r>
      <w:r w:rsidR="003A42BC" w:rsidRPr="00B45304">
        <w:rPr>
          <w:lang w:val="en-GB"/>
        </w:rPr>
        <w:t>Some of these</w:t>
      </w:r>
      <w:r w:rsidRPr="00B45304">
        <w:rPr>
          <w:lang w:val="en-GB"/>
        </w:rPr>
        <w:t xml:space="preserve"> consist </w:t>
      </w:r>
      <w:r w:rsidR="00EA7464">
        <w:rPr>
          <w:lang w:val="en-GB"/>
        </w:rPr>
        <w:t>of</w:t>
      </w:r>
      <w:r w:rsidRPr="00B45304">
        <w:rPr>
          <w:lang w:val="en-GB"/>
        </w:rPr>
        <w:t xml:space="preserve"> an integrated planning approaches that </w:t>
      </w:r>
      <w:proofErr w:type="spellStart"/>
      <w:r w:rsidRPr="00B45304">
        <w:rPr>
          <w:lang w:val="en-GB"/>
        </w:rPr>
        <w:t>analyze</w:t>
      </w:r>
      <w:proofErr w:type="spellEnd"/>
      <w:r w:rsidRPr="00B45304">
        <w:rPr>
          <w:lang w:val="en-GB"/>
        </w:rPr>
        <w:t xml:space="preserve"> modes and forms of transport in the cities and metropolitan areas </w:t>
      </w:r>
      <w:r w:rsidR="00A109BD" w:rsidRPr="00B45304">
        <w:rPr>
          <w:lang w:val="en-GB"/>
        </w:rPr>
        <w:t>(</w:t>
      </w:r>
      <w:proofErr w:type="spellStart"/>
      <w:r w:rsidR="00A109BD" w:rsidRPr="00B45304">
        <w:rPr>
          <w:lang w:val="en-GB"/>
        </w:rPr>
        <w:t>Niglio</w:t>
      </w:r>
      <w:proofErr w:type="spellEnd"/>
      <w:r w:rsidR="00A109BD" w:rsidRPr="00B45304">
        <w:rPr>
          <w:lang w:val="en-GB"/>
        </w:rPr>
        <w:t xml:space="preserve"> </w:t>
      </w:r>
      <w:r w:rsidR="001C0901">
        <w:rPr>
          <w:lang w:val="en-GB"/>
        </w:rPr>
        <w:t>and</w:t>
      </w:r>
      <w:r w:rsidR="00A109BD" w:rsidRPr="00B45304">
        <w:rPr>
          <w:lang w:val="en-GB"/>
        </w:rPr>
        <w:t xml:space="preserve"> </w:t>
      </w:r>
      <w:proofErr w:type="spellStart"/>
      <w:r w:rsidR="00A109BD" w:rsidRPr="00B45304">
        <w:rPr>
          <w:lang w:val="en-GB"/>
        </w:rPr>
        <w:t>Comitale</w:t>
      </w:r>
      <w:proofErr w:type="spellEnd"/>
      <w:r w:rsidR="00A109BD" w:rsidRPr="00B45304">
        <w:rPr>
          <w:lang w:val="en-GB"/>
        </w:rPr>
        <w:t>, 2015).</w:t>
      </w:r>
      <w:r w:rsidR="004A1DCB" w:rsidRPr="00B45304">
        <w:rPr>
          <w:lang w:val="en-GB"/>
        </w:rPr>
        <w:t xml:space="preserve"> </w:t>
      </w:r>
      <w:r w:rsidR="0005513A">
        <w:rPr>
          <w:lang w:val="en-GB"/>
        </w:rPr>
        <w:t>A</w:t>
      </w:r>
      <w:r w:rsidR="00C515D6" w:rsidRPr="00B45304">
        <w:rPr>
          <w:lang w:val="en-GB"/>
        </w:rPr>
        <w:t xml:space="preserve">t national level, Italy </w:t>
      </w:r>
      <w:r w:rsidR="00136CEF">
        <w:rPr>
          <w:lang w:val="en-GB"/>
        </w:rPr>
        <w:t>has</w:t>
      </w:r>
      <w:r w:rsidR="00C515D6" w:rsidRPr="00B45304">
        <w:rPr>
          <w:lang w:val="en-GB"/>
        </w:rPr>
        <w:t xml:space="preserve"> a consolidated transport planning due to the excellent regulatory support and the availability of guidelines for stakeholders (</w:t>
      </w:r>
      <w:proofErr w:type="spellStart"/>
      <w:r w:rsidR="00C515D6" w:rsidRPr="00B45304">
        <w:rPr>
          <w:lang w:val="en-GB"/>
        </w:rPr>
        <w:t>Orchi</w:t>
      </w:r>
      <w:proofErr w:type="spellEnd"/>
      <w:r w:rsidR="001C0901">
        <w:rPr>
          <w:lang w:val="en-GB"/>
        </w:rPr>
        <w:t xml:space="preserve"> and </w:t>
      </w:r>
      <w:proofErr w:type="spellStart"/>
      <w:r w:rsidR="00C515D6" w:rsidRPr="00B45304">
        <w:rPr>
          <w:lang w:val="en-GB"/>
        </w:rPr>
        <w:t>Valentini</w:t>
      </w:r>
      <w:proofErr w:type="spellEnd"/>
      <w:r w:rsidR="00C515D6" w:rsidRPr="00B45304">
        <w:rPr>
          <w:lang w:val="en-GB"/>
        </w:rPr>
        <w:t xml:space="preserve"> 2014). Lastly,</w:t>
      </w:r>
      <w:r w:rsidR="00BD213B" w:rsidRPr="00B45304">
        <w:rPr>
          <w:lang w:val="en-GB"/>
        </w:rPr>
        <w:t xml:space="preserve"> at a local level, Bari, which is the second metropolitan city in Southern Italy after Naples, has adopted a wide range of urban transformation solutions to discourage the massive use of private cars and to increase the achievement of sustainability. </w:t>
      </w:r>
      <w:r w:rsidR="00136CEF">
        <w:rPr>
          <w:lang w:val="en-GB"/>
        </w:rPr>
        <w:t>It must to be underline</w:t>
      </w:r>
      <w:r w:rsidR="00EC75D1" w:rsidRPr="00B45304">
        <w:rPr>
          <w:lang w:val="en-GB"/>
        </w:rPr>
        <w:t xml:space="preserve"> that </w:t>
      </w:r>
      <w:r w:rsidR="00A109BD" w:rsidRPr="00B45304">
        <w:rPr>
          <w:lang w:val="en-GB"/>
        </w:rPr>
        <w:t>more than 70</w:t>
      </w:r>
      <w:r w:rsidR="00EC75D1" w:rsidRPr="00B45304">
        <w:rPr>
          <w:lang w:val="en-GB"/>
        </w:rPr>
        <w:t>% of inhabitants of Bari</w:t>
      </w:r>
      <w:r w:rsidR="00A109BD" w:rsidRPr="00B45304">
        <w:rPr>
          <w:lang w:val="en-GB"/>
        </w:rPr>
        <w:t xml:space="preserve"> </w:t>
      </w:r>
      <w:r w:rsidR="002B3DE6" w:rsidRPr="00B45304">
        <w:rPr>
          <w:lang w:val="en-GB"/>
        </w:rPr>
        <w:t xml:space="preserve">still </w:t>
      </w:r>
      <w:r w:rsidR="00A109BD" w:rsidRPr="00B45304">
        <w:rPr>
          <w:lang w:val="en-GB"/>
        </w:rPr>
        <w:t>use private car</w:t>
      </w:r>
      <w:r w:rsidR="00B54A9D">
        <w:rPr>
          <w:lang w:val="en-GB"/>
        </w:rPr>
        <w:t xml:space="preserve"> and only</w:t>
      </w:r>
      <w:r w:rsidR="002B3DE6" w:rsidRPr="00B45304">
        <w:rPr>
          <w:lang w:val="en-GB"/>
        </w:rPr>
        <w:t xml:space="preserve"> 30% use</w:t>
      </w:r>
      <w:r w:rsidR="00B54A9D">
        <w:rPr>
          <w:lang w:val="en-GB"/>
        </w:rPr>
        <w:t>s</w:t>
      </w:r>
      <w:r w:rsidR="00136CEF">
        <w:rPr>
          <w:lang w:val="en-GB"/>
        </w:rPr>
        <w:t xml:space="preserve"> </w:t>
      </w:r>
      <w:r w:rsidR="00A109BD" w:rsidRPr="00B45304">
        <w:rPr>
          <w:lang w:val="en-GB"/>
        </w:rPr>
        <w:t>public transport system</w:t>
      </w:r>
      <w:r w:rsidR="002B3DE6" w:rsidRPr="00B45304">
        <w:rPr>
          <w:lang w:val="en-GB"/>
        </w:rPr>
        <w:t xml:space="preserve"> </w:t>
      </w:r>
      <w:r w:rsidR="004A1DCB" w:rsidRPr="00B45304">
        <w:rPr>
          <w:lang w:val="en-GB"/>
        </w:rPr>
        <w:t>(</w:t>
      </w:r>
      <w:proofErr w:type="spellStart"/>
      <w:r w:rsidR="004A1DCB" w:rsidRPr="00B45304">
        <w:rPr>
          <w:lang w:val="en-GB"/>
        </w:rPr>
        <w:t>Niglio</w:t>
      </w:r>
      <w:proofErr w:type="spellEnd"/>
      <w:r w:rsidR="004A1DCB" w:rsidRPr="00B45304">
        <w:rPr>
          <w:lang w:val="en-GB"/>
        </w:rPr>
        <w:t xml:space="preserve"> </w:t>
      </w:r>
      <w:r w:rsidR="001C0901">
        <w:rPr>
          <w:lang w:val="en-GB"/>
        </w:rPr>
        <w:t>and</w:t>
      </w:r>
      <w:r w:rsidR="004A1DCB" w:rsidRPr="00B45304">
        <w:rPr>
          <w:lang w:val="en-GB"/>
        </w:rPr>
        <w:t xml:space="preserve"> </w:t>
      </w:r>
      <w:proofErr w:type="spellStart"/>
      <w:r w:rsidR="004A1DCB" w:rsidRPr="00B45304">
        <w:rPr>
          <w:lang w:val="en-GB"/>
        </w:rPr>
        <w:t>Comitale</w:t>
      </w:r>
      <w:proofErr w:type="spellEnd"/>
      <w:r w:rsidR="004A1DCB" w:rsidRPr="00B45304">
        <w:rPr>
          <w:lang w:val="en-GB"/>
        </w:rPr>
        <w:t>, 2015)</w:t>
      </w:r>
      <w:r w:rsidR="00A109BD" w:rsidRPr="00B45304">
        <w:rPr>
          <w:lang w:val="en-GB"/>
        </w:rPr>
        <w:t>.</w:t>
      </w:r>
    </w:p>
    <w:p w14:paraId="48AC899C" w14:textId="51C2F1CA" w:rsidR="00BB7751" w:rsidRPr="00B45304" w:rsidRDefault="00826E67" w:rsidP="00B45304">
      <w:pPr>
        <w:spacing w:line="276" w:lineRule="auto"/>
        <w:jc w:val="both"/>
        <w:rPr>
          <w:lang w:val="en-GB"/>
        </w:rPr>
      </w:pPr>
      <w:r w:rsidRPr="00B45304">
        <w:rPr>
          <w:lang w:val="en-GB"/>
        </w:rPr>
        <w:t>For these reason, n</w:t>
      </w:r>
      <w:r w:rsidR="007E4E12" w:rsidRPr="00B45304">
        <w:rPr>
          <w:lang w:val="en-GB"/>
        </w:rPr>
        <w:t>owadays, the pursue of sustainable mobility is one of the greatest</w:t>
      </w:r>
      <w:r w:rsidR="002B3DE6" w:rsidRPr="00B45304">
        <w:rPr>
          <w:lang w:val="en-GB"/>
        </w:rPr>
        <w:t xml:space="preserve"> </w:t>
      </w:r>
      <w:r w:rsidR="007E4E12" w:rsidRPr="00B45304">
        <w:rPr>
          <w:lang w:val="en-GB"/>
        </w:rPr>
        <w:t>environmental challenges that involves the population</w:t>
      </w:r>
      <w:r w:rsidRPr="00B45304">
        <w:rPr>
          <w:lang w:val="en-GB"/>
        </w:rPr>
        <w:t xml:space="preserve"> from global to local level</w:t>
      </w:r>
      <w:r w:rsidR="0071022C" w:rsidRPr="00B45304">
        <w:rPr>
          <w:lang w:val="en-GB"/>
        </w:rPr>
        <w:t xml:space="preserve">. </w:t>
      </w:r>
      <w:r w:rsidR="00BB7751" w:rsidRPr="00B45304">
        <w:rPr>
          <w:lang w:val="en-GB"/>
        </w:rPr>
        <w:t>Particularly,</w:t>
      </w:r>
      <w:r w:rsidR="0071022C" w:rsidRPr="00B45304">
        <w:rPr>
          <w:lang w:val="en-GB"/>
        </w:rPr>
        <w:t xml:space="preserve"> </w:t>
      </w:r>
      <w:r w:rsidR="00C82494">
        <w:rPr>
          <w:lang w:val="en-GB"/>
        </w:rPr>
        <w:t>roughly 33%</w:t>
      </w:r>
      <w:r w:rsidR="0071022C" w:rsidRPr="00B45304">
        <w:rPr>
          <w:lang w:val="en-GB"/>
        </w:rPr>
        <w:t xml:space="preserve"> of the population that uses transport on a daily basis </w:t>
      </w:r>
      <w:r w:rsidR="00B54A9D">
        <w:rPr>
          <w:lang w:val="en-GB"/>
        </w:rPr>
        <w:t xml:space="preserve">consist of </w:t>
      </w:r>
      <w:r w:rsidR="0071022C" w:rsidRPr="00B45304">
        <w:rPr>
          <w:lang w:val="en-GB"/>
        </w:rPr>
        <w:t>students</w:t>
      </w:r>
      <w:r w:rsidR="002A757F">
        <w:rPr>
          <w:lang w:val="en-GB"/>
        </w:rPr>
        <w:t>, consequently t</w:t>
      </w:r>
      <w:r w:rsidR="0026472F" w:rsidRPr="00B45304">
        <w:rPr>
          <w:lang w:val="en-GB"/>
        </w:rPr>
        <w:t xml:space="preserve">his paper </w:t>
      </w:r>
      <w:proofErr w:type="spellStart"/>
      <w:r w:rsidR="0026472F" w:rsidRPr="00B45304">
        <w:rPr>
          <w:lang w:val="en-GB"/>
        </w:rPr>
        <w:t>analyz</w:t>
      </w:r>
      <w:r w:rsidR="00BB7751" w:rsidRPr="00B45304">
        <w:rPr>
          <w:lang w:val="en-GB"/>
        </w:rPr>
        <w:t>ed</w:t>
      </w:r>
      <w:proofErr w:type="spellEnd"/>
      <w:r w:rsidR="0026472F" w:rsidRPr="00B45304">
        <w:rPr>
          <w:lang w:val="en-GB"/>
        </w:rPr>
        <w:t xml:space="preserve"> the attitudes of university students towards the environment practicing sustainable mobility. </w:t>
      </w:r>
      <w:r w:rsidR="00A04904" w:rsidRPr="00A04904">
        <w:rPr>
          <w:lang w:val="en-GB"/>
        </w:rPr>
        <w:t xml:space="preserve">In particular, this study stems from the need to comprehend </w:t>
      </w:r>
      <w:r w:rsidR="007E6186">
        <w:rPr>
          <w:lang w:val="en-GB"/>
        </w:rPr>
        <w:t xml:space="preserve">and improve </w:t>
      </w:r>
      <w:r w:rsidR="00A04904" w:rsidRPr="00A04904">
        <w:rPr>
          <w:lang w:val="en-GB"/>
        </w:rPr>
        <w:t xml:space="preserve">the travel arrangements of students who attend the Bari Economics Campus in the Apulia Region. </w:t>
      </w:r>
      <w:r w:rsidR="00BB7751" w:rsidRPr="00B45304">
        <w:rPr>
          <w:lang w:val="en-GB"/>
        </w:rPr>
        <w:t xml:space="preserve">The methodology used in this first </w:t>
      </w:r>
      <w:r w:rsidR="00C82494">
        <w:rPr>
          <w:lang w:val="en-GB"/>
        </w:rPr>
        <w:t>research</w:t>
      </w:r>
      <w:r w:rsidR="00BB7751" w:rsidRPr="00B45304">
        <w:rPr>
          <w:lang w:val="en-GB"/>
        </w:rPr>
        <w:t xml:space="preserve"> was the survey carried out through the use of a questionnaire online addressed to the students of the University Campus. </w:t>
      </w:r>
    </w:p>
    <w:p w14:paraId="30670B1C" w14:textId="77777777" w:rsidR="00BB7751" w:rsidRPr="00B45304" w:rsidRDefault="00BB7751" w:rsidP="00B45304">
      <w:pPr>
        <w:spacing w:line="276" w:lineRule="auto"/>
        <w:jc w:val="both"/>
        <w:rPr>
          <w:lang w:val="en-GB"/>
        </w:rPr>
      </w:pPr>
    </w:p>
    <w:p w14:paraId="58E8E7C4" w14:textId="168A2FD8" w:rsidR="007E4E12" w:rsidRPr="00B45304" w:rsidRDefault="009F4755" w:rsidP="00B45304">
      <w:pPr>
        <w:pStyle w:val="Titolo1"/>
        <w:numPr>
          <w:ilvl w:val="1"/>
          <w:numId w:val="39"/>
        </w:numPr>
        <w:spacing w:before="0" w:after="0" w:line="276" w:lineRule="auto"/>
        <w:jc w:val="both"/>
        <w:rPr>
          <w:snapToGrid w:val="0"/>
          <w:szCs w:val="24"/>
          <w:lang w:val="en-GB"/>
        </w:rPr>
      </w:pPr>
      <w:r>
        <w:rPr>
          <w:snapToGrid w:val="0"/>
          <w:szCs w:val="24"/>
          <w:lang w:val="en-GB"/>
        </w:rPr>
        <w:t>L</w:t>
      </w:r>
      <w:r w:rsidR="008C685C" w:rsidRPr="00B45304">
        <w:rPr>
          <w:snapToGrid w:val="0"/>
          <w:szCs w:val="24"/>
          <w:lang w:val="en-GB"/>
        </w:rPr>
        <w:t>iterature</w:t>
      </w:r>
      <w:r w:rsidRPr="009F4755">
        <w:rPr>
          <w:snapToGrid w:val="0"/>
          <w:szCs w:val="24"/>
          <w:lang w:val="en-GB"/>
        </w:rPr>
        <w:t xml:space="preserve"> </w:t>
      </w:r>
      <w:r w:rsidRPr="00B45304">
        <w:rPr>
          <w:snapToGrid w:val="0"/>
          <w:szCs w:val="24"/>
          <w:lang w:val="en-GB"/>
        </w:rPr>
        <w:t>Review</w:t>
      </w:r>
    </w:p>
    <w:p w14:paraId="080C229A" w14:textId="58C6AD08" w:rsidR="008C5326" w:rsidRPr="00B45304" w:rsidRDefault="008C5326" w:rsidP="00B45304">
      <w:pPr>
        <w:spacing w:line="276" w:lineRule="auto"/>
        <w:jc w:val="both"/>
        <w:rPr>
          <w:lang w:val="en-GB"/>
        </w:rPr>
      </w:pPr>
      <w:r w:rsidRPr="00B45304">
        <w:rPr>
          <w:lang w:val="en-GB"/>
        </w:rPr>
        <w:t xml:space="preserve">University Campuses are </w:t>
      </w:r>
      <w:r w:rsidR="00D6022B" w:rsidRPr="00B45304">
        <w:rPr>
          <w:lang w:val="en-GB"/>
        </w:rPr>
        <w:t xml:space="preserve">considered </w:t>
      </w:r>
      <w:r w:rsidR="00D6022B" w:rsidRPr="00B45304">
        <w:rPr>
          <w:i/>
          <w:lang w:val="en-GB"/>
        </w:rPr>
        <w:t>“</w:t>
      </w:r>
      <w:r w:rsidRPr="00B45304">
        <w:rPr>
          <w:i/>
          <w:lang w:val="en-GB"/>
        </w:rPr>
        <w:t>small cities</w:t>
      </w:r>
      <w:r w:rsidR="00D6022B" w:rsidRPr="00B45304">
        <w:rPr>
          <w:i/>
          <w:lang w:val="en-GB"/>
        </w:rPr>
        <w:t>”</w:t>
      </w:r>
      <w:r w:rsidRPr="00B45304">
        <w:rPr>
          <w:lang w:val="en-GB"/>
        </w:rPr>
        <w:t xml:space="preserve"> characterized by large size, population and various activities provided, with different direct and indirect impacts on the environment (</w:t>
      </w:r>
      <w:proofErr w:type="spellStart"/>
      <w:r w:rsidRPr="00B45304">
        <w:rPr>
          <w:lang w:val="en-GB"/>
        </w:rPr>
        <w:t>Alshuwaikhat</w:t>
      </w:r>
      <w:proofErr w:type="spellEnd"/>
      <w:r w:rsidRPr="00B45304">
        <w:rPr>
          <w:lang w:val="en-GB"/>
        </w:rPr>
        <w:t xml:space="preserve"> and Abubakar, 2008).</w:t>
      </w:r>
    </w:p>
    <w:p w14:paraId="3A47CBD3" w14:textId="40E5F7E7" w:rsidR="005C775D" w:rsidRDefault="009D3075" w:rsidP="00B45304">
      <w:pPr>
        <w:spacing w:line="276" w:lineRule="auto"/>
        <w:jc w:val="both"/>
        <w:rPr>
          <w:lang w:val="en-GB"/>
        </w:rPr>
      </w:pPr>
      <w:r w:rsidRPr="00B45304">
        <w:rPr>
          <w:lang w:val="en-GB"/>
        </w:rPr>
        <w:t xml:space="preserve">For this reason, since the last decade many universities have been striving to achieve full sustainability (Velazquez et al., 2006) in terms of energy </w:t>
      </w:r>
      <w:r w:rsidRPr="00B45304">
        <w:rPr>
          <w:lang w:val="en-GB"/>
        </w:rPr>
        <w:lastRenderedPageBreak/>
        <w:t>used, waste, water consumed, materials used, infrastructure and mobility promoted (</w:t>
      </w:r>
      <w:proofErr w:type="spellStart"/>
      <w:r w:rsidRPr="00B45304">
        <w:rPr>
          <w:lang w:val="en-GB"/>
        </w:rPr>
        <w:t>Bayas</w:t>
      </w:r>
      <w:proofErr w:type="spellEnd"/>
      <w:r w:rsidRPr="00B45304">
        <w:rPr>
          <w:lang w:val="en-GB"/>
        </w:rPr>
        <w:t xml:space="preserve"> </w:t>
      </w:r>
      <w:proofErr w:type="spellStart"/>
      <w:r w:rsidRPr="00B45304">
        <w:rPr>
          <w:lang w:val="en-GB"/>
        </w:rPr>
        <w:t>Aldaz</w:t>
      </w:r>
      <w:proofErr w:type="spellEnd"/>
      <w:r w:rsidRPr="00B45304">
        <w:rPr>
          <w:lang w:val="en-GB"/>
        </w:rPr>
        <w:t xml:space="preserve"> and Sandoval </w:t>
      </w:r>
      <w:proofErr w:type="spellStart"/>
      <w:r w:rsidRPr="00B45304">
        <w:rPr>
          <w:lang w:val="en-GB"/>
        </w:rPr>
        <w:t>Hamón</w:t>
      </w:r>
      <w:proofErr w:type="spellEnd"/>
      <w:r w:rsidRPr="00B45304">
        <w:rPr>
          <w:lang w:val="en-GB"/>
        </w:rPr>
        <w:t xml:space="preserve"> , 2019).</w:t>
      </w:r>
      <w:r w:rsidR="004A1DCB" w:rsidRPr="00B45304">
        <w:rPr>
          <w:lang w:val="en-GB"/>
        </w:rPr>
        <w:t xml:space="preserve"> </w:t>
      </w:r>
      <w:r w:rsidR="00246845">
        <w:rPr>
          <w:lang w:val="en-GB"/>
        </w:rPr>
        <w:t>Furthermore</w:t>
      </w:r>
      <w:r w:rsidR="005C775D" w:rsidRPr="00B45304">
        <w:rPr>
          <w:lang w:val="en-GB"/>
        </w:rPr>
        <w:t>, mobility to university campuses is a key factor because it represents a significant part of urban mobility and involves many stakeholders in various capacities (Longo et al., 2015).</w:t>
      </w:r>
      <w:r w:rsidR="004A1DCB" w:rsidRPr="00B45304">
        <w:rPr>
          <w:lang w:val="en-GB"/>
        </w:rPr>
        <w:t xml:space="preserve"> </w:t>
      </w:r>
      <w:r w:rsidR="005C775D" w:rsidRPr="00B45304">
        <w:rPr>
          <w:lang w:val="en-GB"/>
        </w:rPr>
        <w:t>Additionally</w:t>
      </w:r>
      <w:r w:rsidR="00246845">
        <w:rPr>
          <w:lang w:val="en-GB"/>
        </w:rPr>
        <w:t xml:space="preserve"> the authors stressed that </w:t>
      </w:r>
      <w:r w:rsidR="005C775D" w:rsidRPr="00B45304">
        <w:rPr>
          <w:lang w:val="en-GB"/>
        </w:rPr>
        <w:t>universities and campuses are institutions that train students and influence government policies at the same time. In particular, universities train students who directly participate in the transformation process of a sustainable future and transition towards the Circular Economy (</w:t>
      </w:r>
      <w:proofErr w:type="spellStart"/>
      <w:r w:rsidR="005C775D" w:rsidRPr="00B45304">
        <w:rPr>
          <w:lang w:val="en-GB"/>
        </w:rPr>
        <w:t>Bayas</w:t>
      </w:r>
      <w:proofErr w:type="spellEnd"/>
      <w:r w:rsidR="005C775D" w:rsidRPr="00B45304">
        <w:rPr>
          <w:lang w:val="en-GB"/>
        </w:rPr>
        <w:t xml:space="preserve"> </w:t>
      </w:r>
      <w:proofErr w:type="spellStart"/>
      <w:r w:rsidR="005C775D" w:rsidRPr="00B45304">
        <w:rPr>
          <w:lang w:val="en-GB"/>
        </w:rPr>
        <w:t>Aldaz</w:t>
      </w:r>
      <w:proofErr w:type="spellEnd"/>
      <w:r w:rsidR="005C775D" w:rsidRPr="00B45304">
        <w:rPr>
          <w:lang w:val="en-GB"/>
        </w:rPr>
        <w:t xml:space="preserve"> and Sandoval </w:t>
      </w:r>
      <w:proofErr w:type="spellStart"/>
      <w:r w:rsidR="005C775D" w:rsidRPr="00B45304">
        <w:rPr>
          <w:lang w:val="en-GB"/>
        </w:rPr>
        <w:t>Hamón</w:t>
      </w:r>
      <w:proofErr w:type="spellEnd"/>
      <w:r w:rsidR="005C775D" w:rsidRPr="00B45304">
        <w:rPr>
          <w:lang w:val="en-GB"/>
        </w:rPr>
        <w:t xml:space="preserve">, 2019). In conclusion, the transition to sustainable mobility requires a mental change of people, where the use of private means gives way to different modes of public transport (such as buses, bicycles, car sharing, electric cars and bicycles) as pointed out by </w:t>
      </w:r>
      <w:proofErr w:type="spellStart"/>
      <w:r w:rsidR="005C775D" w:rsidRPr="00B45304">
        <w:rPr>
          <w:lang w:val="en-GB"/>
        </w:rPr>
        <w:t>Sgarra</w:t>
      </w:r>
      <w:proofErr w:type="spellEnd"/>
      <w:r w:rsidR="005C775D" w:rsidRPr="00B45304">
        <w:rPr>
          <w:lang w:val="en-GB"/>
        </w:rPr>
        <w:t xml:space="preserve"> et al. (2022).</w:t>
      </w:r>
      <w:r w:rsidR="00246845">
        <w:rPr>
          <w:lang w:val="en-GB"/>
        </w:rPr>
        <w:t xml:space="preserve"> </w:t>
      </w:r>
      <w:r w:rsidR="00875B72" w:rsidRPr="00875B72">
        <w:rPr>
          <w:lang w:val="en-GB"/>
        </w:rPr>
        <w:t>This is the reason why this paper investigated the sustainable behaviour of the university students towards mobility.</w:t>
      </w:r>
    </w:p>
    <w:p w14:paraId="5164378D" w14:textId="77777777" w:rsidR="00875B72" w:rsidRPr="00B45304" w:rsidRDefault="00875B72" w:rsidP="00B45304">
      <w:pPr>
        <w:spacing w:line="276" w:lineRule="auto"/>
        <w:jc w:val="both"/>
        <w:rPr>
          <w:highlight w:val="yellow"/>
          <w:lang w:val="en-GB"/>
        </w:rPr>
      </w:pPr>
    </w:p>
    <w:p w14:paraId="73D27E5F" w14:textId="17F46F15" w:rsidR="0026472F" w:rsidRPr="00B45304" w:rsidRDefault="008C685C" w:rsidP="00B45304">
      <w:pPr>
        <w:pStyle w:val="Titolo1"/>
        <w:numPr>
          <w:ilvl w:val="1"/>
          <w:numId w:val="39"/>
        </w:numPr>
        <w:spacing w:before="0" w:after="0" w:line="276" w:lineRule="auto"/>
        <w:jc w:val="both"/>
        <w:rPr>
          <w:snapToGrid w:val="0"/>
          <w:szCs w:val="24"/>
          <w:lang w:val="en-GB"/>
        </w:rPr>
      </w:pPr>
      <w:r w:rsidRPr="00B45304">
        <w:rPr>
          <w:snapToGrid w:val="0"/>
          <w:szCs w:val="24"/>
          <w:lang w:val="en-GB"/>
        </w:rPr>
        <w:t>Material and methods</w:t>
      </w:r>
    </w:p>
    <w:p w14:paraId="1A78503A" w14:textId="7944AFE8" w:rsidR="00F90BE9" w:rsidRPr="00B45304" w:rsidRDefault="00B23DBA" w:rsidP="00B45304">
      <w:pPr>
        <w:spacing w:line="276" w:lineRule="auto"/>
        <w:jc w:val="both"/>
        <w:rPr>
          <w:i/>
          <w:lang w:val="en-GB"/>
        </w:rPr>
      </w:pPr>
      <w:r w:rsidRPr="00B45304">
        <w:rPr>
          <w:i/>
          <w:lang w:val="en-GB"/>
        </w:rPr>
        <w:t xml:space="preserve">1.3.1 </w:t>
      </w:r>
      <w:r w:rsidR="00F90BE9" w:rsidRPr="00B45304">
        <w:rPr>
          <w:i/>
          <w:lang w:val="en-GB"/>
        </w:rPr>
        <w:t>Questionnaire survey</w:t>
      </w:r>
    </w:p>
    <w:p w14:paraId="51BEE526" w14:textId="19AB22DB" w:rsidR="00F173FB" w:rsidRPr="00B45304" w:rsidRDefault="00116FB9" w:rsidP="00B45304">
      <w:pPr>
        <w:spacing w:line="276" w:lineRule="auto"/>
        <w:jc w:val="both"/>
        <w:rPr>
          <w:lang w:val="en-GB"/>
        </w:rPr>
      </w:pPr>
      <w:r w:rsidRPr="00B45304">
        <w:rPr>
          <w:lang w:val="en-GB"/>
        </w:rPr>
        <w:t>Considering</w:t>
      </w:r>
      <w:r w:rsidR="0014331D" w:rsidRPr="00B45304">
        <w:rPr>
          <w:lang w:val="en-GB"/>
        </w:rPr>
        <w:t xml:space="preserve"> the model proposed by </w:t>
      </w:r>
      <w:proofErr w:type="spellStart"/>
      <w:r w:rsidR="0014331D" w:rsidRPr="00B45304">
        <w:rPr>
          <w:lang w:val="en-GB"/>
        </w:rPr>
        <w:t>Sgarra</w:t>
      </w:r>
      <w:proofErr w:type="spellEnd"/>
      <w:r w:rsidR="0014331D" w:rsidRPr="00B45304">
        <w:rPr>
          <w:lang w:val="en-GB"/>
        </w:rPr>
        <w:t xml:space="preserve"> et al. (2022), </w:t>
      </w:r>
      <w:r w:rsidRPr="00B45304">
        <w:rPr>
          <w:lang w:val="en-GB"/>
        </w:rPr>
        <w:t xml:space="preserve">we conducted </w:t>
      </w:r>
      <w:r w:rsidR="0014331D" w:rsidRPr="00B45304">
        <w:rPr>
          <w:lang w:val="en-GB"/>
        </w:rPr>
        <w:t>a</w:t>
      </w:r>
      <w:r w:rsidR="0026472F" w:rsidRPr="00B45304">
        <w:rPr>
          <w:lang w:val="en-GB"/>
        </w:rPr>
        <w:t>n exploratory empirical research</w:t>
      </w:r>
      <w:r w:rsidRPr="00B45304">
        <w:rPr>
          <w:lang w:val="en-GB"/>
        </w:rPr>
        <w:t xml:space="preserve">, </w:t>
      </w:r>
      <w:r w:rsidR="0026472F" w:rsidRPr="00B45304">
        <w:rPr>
          <w:lang w:val="en-GB"/>
        </w:rPr>
        <w:t xml:space="preserve">oriented towards </w:t>
      </w:r>
      <w:r w:rsidR="0026472F" w:rsidRPr="00760FDE">
        <w:rPr>
          <w:i/>
          <w:lang w:val="en-GB"/>
        </w:rPr>
        <w:t>“internal”</w:t>
      </w:r>
      <w:r w:rsidRPr="00B45304">
        <w:rPr>
          <w:lang w:val="en-GB"/>
        </w:rPr>
        <w:t xml:space="preserve"> </w:t>
      </w:r>
      <w:r w:rsidR="0026472F" w:rsidRPr="00B45304">
        <w:rPr>
          <w:lang w:val="en-GB"/>
        </w:rPr>
        <w:t>stakeholders</w:t>
      </w:r>
      <w:r w:rsidRPr="00B45304">
        <w:rPr>
          <w:lang w:val="en-GB"/>
        </w:rPr>
        <w:t xml:space="preserve"> </w:t>
      </w:r>
      <w:r w:rsidR="00D33FFD" w:rsidRPr="00B45304">
        <w:rPr>
          <w:lang w:val="en-GB"/>
        </w:rPr>
        <w:t>choices</w:t>
      </w:r>
      <w:r w:rsidRPr="00B45304">
        <w:rPr>
          <w:lang w:val="en-GB"/>
        </w:rPr>
        <w:t xml:space="preserve">: we observed a part of </w:t>
      </w:r>
      <w:r w:rsidR="007D5A9B" w:rsidRPr="00B45304">
        <w:rPr>
          <w:lang w:val="en-GB"/>
        </w:rPr>
        <w:t xml:space="preserve">3000 </w:t>
      </w:r>
      <w:r w:rsidR="0026472F" w:rsidRPr="00B45304">
        <w:rPr>
          <w:lang w:val="en-GB"/>
        </w:rPr>
        <w:t xml:space="preserve">university students </w:t>
      </w:r>
      <w:r w:rsidR="007D5A9B" w:rsidRPr="00B45304">
        <w:rPr>
          <w:lang w:val="en-GB"/>
        </w:rPr>
        <w:t>that attend the different courses of the Department of Economics, Management and Business Law</w:t>
      </w:r>
      <w:r w:rsidRPr="00B45304">
        <w:rPr>
          <w:lang w:val="en-GB"/>
        </w:rPr>
        <w:t xml:space="preserve"> in Bari. </w:t>
      </w:r>
      <w:r w:rsidR="0026472F" w:rsidRPr="00B45304">
        <w:rPr>
          <w:lang w:val="en-GB"/>
        </w:rPr>
        <w:t>Th</w:t>
      </w:r>
      <w:r w:rsidR="00460FC7">
        <w:rPr>
          <w:lang w:val="en-GB"/>
        </w:rPr>
        <w:t>ese</w:t>
      </w:r>
      <w:r w:rsidR="0026472F" w:rsidRPr="00B45304">
        <w:rPr>
          <w:lang w:val="en-GB"/>
        </w:rPr>
        <w:t xml:space="preserve"> observations were conducted through a survey questionnaire</w:t>
      </w:r>
      <w:r w:rsidRPr="00B45304">
        <w:rPr>
          <w:lang w:val="en-GB"/>
        </w:rPr>
        <w:t xml:space="preserve"> </w:t>
      </w:r>
      <w:r w:rsidR="0026472F" w:rsidRPr="00B45304">
        <w:rPr>
          <w:lang w:val="en-GB"/>
        </w:rPr>
        <w:t>submitted to students through a Google Form.</w:t>
      </w:r>
      <w:r w:rsidR="00D33FFD" w:rsidRPr="00B45304">
        <w:rPr>
          <w:lang w:val="en-GB"/>
        </w:rPr>
        <w:t xml:space="preserve"> In particular, we elaborated 22 questions </w:t>
      </w:r>
      <w:r w:rsidR="00460FC7" w:rsidRPr="00B45304">
        <w:rPr>
          <w:lang w:val="en-GB"/>
        </w:rPr>
        <w:t xml:space="preserve">divided into three sections </w:t>
      </w:r>
      <w:r w:rsidR="00460FC7">
        <w:rPr>
          <w:lang w:val="en-GB"/>
        </w:rPr>
        <w:t>of the</w:t>
      </w:r>
      <w:r w:rsidR="00D33FFD" w:rsidRPr="00B45304">
        <w:rPr>
          <w:lang w:val="en-GB"/>
        </w:rPr>
        <w:t xml:space="preserve"> questionnaire: Section 1: General Information</w:t>
      </w:r>
      <w:r w:rsidR="00460FC7">
        <w:rPr>
          <w:lang w:val="en-GB"/>
        </w:rPr>
        <w:t>;</w:t>
      </w:r>
      <w:r w:rsidR="00D33FFD" w:rsidRPr="00B45304">
        <w:rPr>
          <w:lang w:val="en-GB"/>
        </w:rPr>
        <w:t xml:space="preserve"> Section 2: Mobility</w:t>
      </w:r>
      <w:r w:rsidR="00460FC7">
        <w:rPr>
          <w:lang w:val="en-GB"/>
        </w:rPr>
        <w:t>;</w:t>
      </w:r>
      <w:r w:rsidR="00D33FFD" w:rsidRPr="00B45304">
        <w:rPr>
          <w:lang w:val="en-GB"/>
        </w:rPr>
        <w:t xml:space="preserve"> Section 3: Preferences and environmental awareness. </w:t>
      </w:r>
      <w:r w:rsidR="00227787" w:rsidRPr="00227787">
        <w:rPr>
          <w:lang w:val="en-GB"/>
        </w:rPr>
        <w:t xml:space="preserve">Notwithstanding the survey model used is based on </w:t>
      </w:r>
      <w:proofErr w:type="spellStart"/>
      <w:r w:rsidR="00227787" w:rsidRPr="00227787">
        <w:rPr>
          <w:lang w:val="en-GB"/>
        </w:rPr>
        <w:t>Larran</w:t>
      </w:r>
      <w:proofErr w:type="spellEnd"/>
      <w:r w:rsidR="00227787" w:rsidRPr="00227787">
        <w:rPr>
          <w:lang w:val="en-GB"/>
        </w:rPr>
        <w:t xml:space="preserve"> and </w:t>
      </w:r>
      <w:proofErr w:type="spellStart"/>
      <w:r w:rsidR="00227787" w:rsidRPr="00227787">
        <w:rPr>
          <w:lang w:val="en-GB"/>
        </w:rPr>
        <w:t>Andrades</w:t>
      </w:r>
      <w:proofErr w:type="spellEnd"/>
      <w:r w:rsidR="00227787" w:rsidRPr="00227787">
        <w:rPr>
          <w:lang w:val="en-GB"/>
        </w:rPr>
        <w:t xml:space="preserve"> (2015), a collection of key variables proposed by Eurobarometer (2014) and the questions were focused mainly on sustainable mobility behaviors and actions in the context of university campuses.</w:t>
      </w:r>
      <w:r w:rsidR="000B0B08" w:rsidRPr="00B45304">
        <w:rPr>
          <w:lang w:val="en-GB"/>
        </w:rPr>
        <w:t xml:space="preserve"> Moreover, some possible answers have been formulated on the basis of a five-point Likert scale. </w:t>
      </w:r>
      <w:r w:rsidR="00EE4CAC" w:rsidRPr="00B45304">
        <w:rPr>
          <w:lang w:val="en-GB"/>
        </w:rPr>
        <w:t>Furthermore, a</w:t>
      </w:r>
      <w:r w:rsidR="00F173FB" w:rsidRPr="00B45304">
        <w:rPr>
          <w:lang w:val="en-GB"/>
        </w:rPr>
        <w:t xml:space="preserve">ccording  Hair et al. (2014) the statistic sample must be equal almost </w:t>
      </w:r>
      <w:r w:rsidR="00EE4CAC" w:rsidRPr="00B45304">
        <w:rPr>
          <w:lang w:val="en-GB"/>
        </w:rPr>
        <w:t xml:space="preserve">of </w:t>
      </w:r>
      <w:r w:rsidR="00F173FB" w:rsidRPr="00B45304">
        <w:rPr>
          <w:lang w:val="en-GB"/>
        </w:rPr>
        <w:t>200 respondents</w:t>
      </w:r>
      <w:r w:rsidR="00EE4CAC" w:rsidRPr="00B45304">
        <w:rPr>
          <w:lang w:val="en-GB"/>
        </w:rPr>
        <w:t xml:space="preserve">. </w:t>
      </w:r>
    </w:p>
    <w:p w14:paraId="01E61D49" w14:textId="77777777" w:rsidR="00714822" w:rsidRPr="00B45304" w:rsidRDefault="00714822" w:rsidP="00B45304">
      <w:pPr>
        <w:spacing w:line="276" w:lineRule="auto"/>
        <w:jc w:val="both"/>
        <w:rPr>
          <w:highlight w:val="yellow"/>
          <w:lang w:val="en-GB"/>
        </w:rPr>
      </w:pPr>
    </w:p>
    <w:p w14:paraId="57FF02AA" w14:textId="12DD29F9" w:rsidR="008C5326" w:rsidRPr="00B45304" w:rsidRDefault="00F90BE9" w:rsidP="00B45304">
      <w:pPr>
        <w:pStyle w:val="Paragrafoelenco"/>
        <w:numPr>
          <w:ilvl w:val="2"/>
          <w:numId w:val="49"/>
        </w:numPr>
        <w:spacing w:line="276" w:lineRule="auto"/>
        <w:jc w:val="both"/>
        <w:rPr>
          <w:i/>
          <w:lang w:val="en-GB"/>
        </w:rPr>
      </w:pPr>
      <w:r w:rsidRPr="00B45304">
        <w:rPr>
          <w:i/>
          <w:lang w:val="en-GB"/>
        </w:rPr>
        <w:lastRenderedPageBreak/>
        <w:t>Estimation of impacts</w:t>
      </w:r>
    </w:p>
    <w:p w14:paraId="277C8B4B" w14:textId="63F7D441" w:rsidR="007D5A9B" w:rsidRPr="00B45304" w:rsidRDefault="00F90BE9" w:rsidP="00B45304">
      <w:pPr>
        <w:spacing w:line="276" w:lineRule="auto"/>
        <w:jc w:val="both"/>
        <w:rPr>
          <w:lang w:val="en-GB"/>
        </w:rPr>
      </w:pPr>
      <w:r w:rsidRPr="00B45304">
        <w:rPr>
          <w:lang w:val="en-GB"/>
        </w:rPr>
        <w:t>In order to estimat</w:t>
      </w:r>
      <w:r w:rsidR="00F623E2" w:rsidRPr="00B45304">
        <w:rPr>
          <w:lang w:val="en-GB"/>
        </w:rPr>
        <w:t>e</w:t>
      </w:r>
      <w:r w:rsidRPr="00B45304">
        <w:rPr>
          <w:lang w:val="en-GB"/>
        </w:rPr>
        <w:t xml:space="preserve"> </w:t>
      </w:r>
      <w:r w:rsidR="00F623E2" w:rsidRPr="00B45304">
        <w:rPr>
          <w:lang w:val="en-GB"/>
        </w:rPr>
        <w:t>the</w:t>
      </w:r>
      <w:r w:rsidRPr="00B45304">
        <w:rPr>
          <w:lang w:val="en-GB"/>
        </w:rPr>
        <w:t xml:space="preserve"> impacts generated by university students </w:t>
      </w:r>
      <w:r w:rsidR="00F623E2" w:rsidRPr="00B45304">
        <w:rPr>
          <w:lang w:val="en-GB"/>
        </w:rPr>
        <w:t>mobility, we quantified the emissions generated by a car powered by different fuels or by alternative power supply</w:t>
      </w:r>
      <w:r w:rsidR="00FC4688">
        <w:rPr>
          <w:lang w:val="en-GB"/>
        </w:rPr>
        <w:t>, on the basis of the distance covered by the students</w:t>
      </w:r>
      <w:r w:rsidR="00F623E2" w:rsidRPr="00B45304">
        <w:rPr>
          <w:lang w:val="en-GB"/>
        </w:rPr>
        <w:t xml:space="preserve">. </w:t>
      </w:r>
      <w:r w:rsidR="00116FB9" w:rsidRPr="00B45304">
        <w:rPr>
          <w:lang w:val="en-GB"/>
        </w:rPr>
        <w:t>Considering</w:t>
      </w:r>
      <w:r w:rsidR="00F623E2" w:rsidRPr="00B45304">
        <w:rPr>
          <w:lang w:val="en-GB"/>
        </w:rPr>
        <w:t xml:space="preserve"> a typical city car used in Italy by students for urban mobility (Fiat Panda) we elaborate</w:t>
      </w:r>
      <w:r w:rsidR="00AA6135" w:rsidRPr="00B45304">
        <w:rPr>
          <w:lang w:val="en-GB"/>
        </w:rPr>
        <w:t>d four</w:t>
      </w:r>
      <w:r w:rsidR="00F623E2" w:rsidRPr="00B45304">
        <w:rPr>
          <w:lang w:val="en-GB"/>
        </w:rPr>
        <w:t xml:space="preserve"> different scenarios.</w:t>
      </w:r>
      <w:r w:rsidR="00AA6135" w:rsidRPr="00B45304">
        <w:rPr>
          <w:lang w:val="en-GB"/>
        </w:rPr>
        <w:t xml:space="preserve"> </w:t>
      </w:r>
      <w:r w:rsidR="00F623E2" w:rsidRPr="00B45304">
        <w:rPr>
          <w:lang w:val="en-GB"/>
        </w:rPr>
        <w:t>Particularly, we present the emissions generated by</w:t>
      </w:r>
      <w:r w:rsidR="00F75995">
        <w:rPr>
          <w:lang w:val="en-GB"/>
        </w:rPr>
        <w:t xml:space="preserve">: </w:t>
      </w:r>
      <w:r w:rsidR="00F623E2" w:rsidRPr="00B45304">
        <w:rPr>
          <w:lang w:val="en-GB"/>
        </w:rPr>
        <w:t>Fiat Panda gasoline powered and 1.2 of displacement</w:t>
      </w:r>
      <w:r w:rsidR="00813FA2">
        <w:rPr>
          <w:lang w:val="en-GB"/>
        </w:rPr>
        <w:t>;</w:t>
      </w:r>
      <w:r w:rsidR="00851D77" w:rsidRPr="00B45304">
        <w:rPr>
          <w:lang w:val="en-GB"/>
        </w:rPr>
        <w:t xml:space="preserve"> </w:t>
      </w:r>
      <w:r w:rsidR="00F623E2" w:rsidRPr="00B45304">
        <w:rPr>
          <w:lang w:val="en-GB"/>
        </w:rPr>
        <w:t>Fiat Panda diesel powered</w:t>
      </w:r>
      <w:r w:rsidR="00AA6135" w:rsidRPr="00B45304">
        <w:rPr>
          <w:lang w:val="en-GB"/>
        </w:rPr>
        <w:t xml:space="preserve">, </w:t>
      </w:r>
      <w:r w:rsidR="00F623E2" w:rsidRPr="00B45304">
        <w:rPr>
          <w:lang w:val="en-GB"/>
        </w:rPr>
        <w:t xml:space="preserve">1.3 of displacement and </w:t>
      </w:r>
      <w:proofErr w:type="spellStart"/>
      <w:r w:rsidR="00F623E2" w:rsidRPr="00B45304">
        <w:rPr>
          <w:lang w:val="en-GB"/>
        </w:rPr>
        <w:t>Multi</w:t>
      </w:r>
      <w:r w:rsidR="00445695" w:rsidRPr="00B45304">
        <w:rPr>
          <w:lang w:val="en-GB"/>
        </w:rPr>
        <w:t>j</w:t>
      </w:r>
      <w:r w:rsidR="00F623E2" w:rsidRPr="00B45304">
        <w:rPr>
          <w:lang w:val="en-GB"/>
        </w:rPr>
        <w:t>e</w:t>
      </w:r>
      <w:r w:rsidR="00445695" w:rsidRPr="00B45304">
        <w:rPr>
          <w:lang w:val="en-GB"/>
        </w:rPr>
        <w:t>c</w:t>
      </w:r>
      <w:r w:rsidR="00F623E2" w:rsidRPr="00B45304">
        <w:rPr>
          <w:lang w:val="en-GB"/>
        </w:rPr>
        <w:t>t</w:t>
      </w:r>
      <w:proofErr w:type="spellEnd"/>
      <w:r w:rsidR="00813FA2">
        <w:rPr>
          <w:lang w:val="en-GB"/>
        </w:rPr>
        <w:t>;</w:t>
      </w:r>
      <w:r w:rsidR="00851D77" w:rsidRPr="00B45304">
        <w:rPr>
          <w:lang w:val="en-GB"/>
        </w:rPr>
        <w:t xml:space="preserve"> </w:t>
      </w:r>
      <w:r w:rsidR="00F623E2" w:rsidRPr="00B45304">
        <w:rPr>
          <w:lang w:val="en-GB"/>
        </w:rPr>
        <w:t>Fiat Panda mild hybrid powered and 1.2 of displacement</w:t>
      </w:r>
      <w:r w:rsidR="00813FA2">
        <w:rPr>
          <w:lang w:val="en-GB"/>
        </w:rPr>
        <w:t>;</w:t>
      </w:r>
      <w:r w:rsidR="00851D77" w:rsidRPr="00B45304">
        <w:rPr>
          <w:lang w:val="en-GB"/>
        </w:rPr>
        <w:t xml:space="preserve"> </w:t>
      </w:r>
      <w:r w:rsidR="00F623E2" w:rsidRPr="00B45304">
        <w:rPr>
          <w:lang w:val="en-GB"/>
        </w:rPr>
        <w:t xml:space="preserve">Fiat Panda </w:t>
      </w:r>
      <w:r w:rsidR="00AA6135" w:rsidRPr="00B45304">
        <w:rPr>
          <w:lang w:val="en-GB"/>
        </w:rPr>
        <w:t xml:space="preserve">liquefied natural gas (LNG) </w:t>
      </w:r>
      <w:r w:rsidR="00F623E2" w:rsidRPr="00B45304">
        <w:rPr>
          <w:lang w:val="en-GB"/>
        </w:rPr>
        <w:t>powered</w:t>
      </w:r>
      <w:r w:rsidR="007D5A9B" w:rsidRPr="00B45304">
        <w:rPr>
          <w:lang w:val="en-GB"/>
        </w:rPr>
        <w:t xml:space="preserve"> and 1.2 of displacement.</w:t>
      </w:r>
      <w:r w:rsidR="00851D77" w:rsidRPr="00B45304">
        <w:rPr>
          <w:lang w:val="en-GB"/>
        </w:rPr>
        <w:t xml:space="preserve"> </w:t>
      </w:r>
      <w:r w:rsidR="007D5A9B" w:rsidRPr="00B45304">
        <w:rPr>
          <w:lang w:val="en-GB"/>
        </w:rPr>
        <w:t>For th</w:t>
      </w:r>
      <w:r w:rsidR="00F75995">
        <w:rPr>
          <w:lang w:val="en-GB"/>
        </w:rPr>
        <w:t>ese</w:t>
      </w:r>
      <w:r w:rsidR="007D5A9B" w:rsidRPr="00B45304">
        <w:rPr>
          <w:lang w:val="en-GB"/>
        </w:rPr>
        <w:t xml:space="preserve"> car</w:t>
      </w:r>
      <w:r w:rsidR="00F75995">
        <w:rPr>
          <w:lang w:val="en-GB"/>
        </w:rPr>
        <w:t>s</w:t>
      </w:r>
      <w:r w:rsidR="007D5A9B" w:rsidRPr="00B45304">
        <w:rPr>
          <w:lang w:val="en-GB"/>
        </w:rPr>
        <w:t xml:space="preserve"> we quantified the emissions considering </w:t>
      </w:r>
      <w:r w:rsidR="00AA6135" w:rsidRPr="00B45304">
        <w:rPr>
          <w:lang w:val="en-GB"/>
        </w:rPr>
        <w:t xml:space="preserve">the </w:t>
      </w:r>
      <w:r w:rsidR="007D5A9B" w:rsidRPr="00B45304">
        <w:rPr>
          <w:lang w:val="en-GB"/>
        </w:rPr>
        <w:t>different location of departure of economics students</w:t>
      </w:r>
      <w:r w:rsidR="00AA6135" w:rsidRPr="00B45304">
        <w:rPr>
          <w:lang w:val="en-GB"/>
        </w:rPr>
        <w:t xml:space="preserve"> as in Table 1. </w:t>
      </w:r>
    </w:p>
    <w:p w14:paraId="5CE27D81" w14:textId="77777777" w:rsidR="00AA6135" w:rsidRPr="00B45304" w:rsidRDefault="00AA6135" w:rsidP="00B45304">
      <w:pPr>
        <w:pStyle w:val="Titolo3"/>
        <w:numPr>
          <w:ilvl w:val="0"/>
          <w:numId w:val="0"/>
        </w:numPr>
        <w:spacing w:before="0" w:after="0" w:line="276" w:lineRule="auto"/>
        <w:jc w:val="both"/>
        <w:rPr>
          <w:i w:val="0"/>
          <w:highlight w:val="yellow"/>
          <w:lang w:val="en-GB"/>
        </w:rPr>
      </w:pPr>
    </w:p>
    <w:p w14:paraId="19666777" w14:textId="148F73B2" w:rsidR="008C685C" w:rsidRPr="00B45304" w:rsidRDefault="00AA6135" w:rsidP="00B45304">
      <w:pPr>
        <w:spacing w:line="276" w:lineRule="auto"/>
        <w:jc w:val="both"/>
        <w:rPr>
          <w:i/>
          <w:lang w:val="en-GB"/>
        </w:rPr>
      </w:pPr>
      <w:r w:rsidRPr="00B45304">
        <w:rPr>
          <w:i/>
          <w:lang w:val="en-GB"/>
        </w:rPr>
        <w:t xml:space="preserve">1.3.3 </w:t>
      </w:r>
      <w:r w:rsidR="008C685C" w:rsidRPr="00B45304">
        <w:rPr>
          <w:i/>
          <w:lang w:val="en-GB"/>
        </w:rPr>
        <w:t>Goal and scope definitio</w:t>
      </w:r>
      <w:r w:rsidR="00F45CC3" w:rsidRPr="00B45304">
        <w:rPr>
          <w:i/>
          <w:lang w:val="en-GB"/>
        </w:rPr>
        <w:t>n</w:t>
      </w:r>
    </w:p>
    <w:p w14:paraId="2B045B99" w14:textId="01063ED7" w:rsidR="007D5A9B" w:rsidRPr="00D564B9" w:rsidRDefault="00AA6135" w:rsidP="00B45304">
      <w:pPr>
        <w:spacing w:line="276" w:lineRule="auto"/>
        <w:jc w:val="both"/>
        <w:rPr>
          <w:lang w:val="en-GB"/>
        </w:rPr>
      </w:pPr>
      <w:r w:rsidRPr="00B45304">
        <w:rPr>
          <w:lang w:val="en-GB"/>
        </w:rPr>
        <w:t xml:space="preserve">In this context, the </w:t>
      </w:r>
      <w:r w:rsidR="007C1C8E">
        <w:rPr>
          <w:lang w:val="en-GB"/>
        </w:rPr>
        <w:t>aim</w:t>
      </w:r>
      <w:r w:rsidRPr="00B45304">
        <w:rPr>
          <w:lang w:val="en-GB"/>
        </w:rPr>
        <w:t xml:space="preserve"> of the paper </w:t>
      </w:r>
      <w:r w:rsidR="007C1C8E">
        <w:rPr>
          <w:lang w:val="en-GB"/>
        </w:rPr>
        <w:t>is</w:t>
      </w:r>
      <w:r w:rsidRPr="00B45304">
        <w:rPr>
          <w:lang w:val="en-GB"/>
        </w:rPr>
        <w:t>, first</w:t>
      </w:r>
      <w:r w:rsidR="007C1C8E">
        <w:rPr>
          <w:lang w:val="en-GB"/>
        </w:rPr>
        <w:t>ly</w:t>
      </w:r>
      <w:r w:rsidRPr="00B45304">
        <w:rPr>
          <w:lang w:val="en-GB"/>
        </w:rPr>
        <w:t xml:space="preserve">, to </w:t>
      </w:r>
      <w:proofErr w:type="spellStart"/>
      <w:r w:rsidRPr="00B45304">
        <w:rPr>
          <w:lang w:val="en-GB"/>
        </w:rPr>
        <w:t>analyze</w:t>
      </w:r>
      <w:proofErr w:type="spellEnd"/>
      <w:r w:rsidRPr="00B45304">
        <w:rPr>
          <w:lang w:val="en-GB"/>
        </w:rPr>
        <w:t xml:space="preserve"> the perception and the environmentally sustainable attitudes of the students who attend the Economics Campus of the Aldo Moro University of Bari</w:t>
      </w:r>
      <w:r w:rsidR="007C1C8E">
        <w:rPr>
          <w:lang w:val="en-GB"/>
        </w:rPr>
        <w:t>;</w:t>
      </w:r>
      <w:r w:rsidRPr="00B45304">
        <w:rPr>
          <w:lang w:val="en-GB"/>
        </w:rPr>
        <w:t xml:space="preserve"> </w:t>
      </w:r>
      <w:r w:rsidR="007C1C8E">
        <w:rPr>
          <w:lang w:val="en-GB"/>
        </w:rPr>
        <w:t>s</w:t>
      </w:r>
      <w:r w:rsidR="007D5A9B" w:rsidRPr="00B45304">
        <w:rPr>
          <w:lang w:val="en-GB"/>
        </w:rPr>
        <w:t xml:space="preserve">econdly, </w:t>
      </w:r>
      <w:r w:rsidR="007C1C8E">
        <w:rPr>
          <w:lang w:val="en-GB"/>
        </w:rPr>
        <w:t>to provide</w:t>
      </w:r>
      <w:r w:rsidR="007D5A9B" w:rsidRPr="00B45304">
        <w:rPr>
          <w:lang w:val="en-GB"/>
        </w:rPr>
        <w:t xml:space="preserve"> an estimation of CO</w:t>
      </w:r>
      <w:r w:rsidR="007D5A9B" w:rsidRPr="00B45304">
        <w:rPr>
          <w:vertAlign w:val="subscript"/>
          <w:lang w:val="en-GB"/>
        </w:rPr>
        <w:t>2</w:t>
      </w:r>
      <w:r w:rsidR="007D5A9B" w:rsidRPr="00B45304">
        <w:rPr>
          <w:lang w:val="en-GB"/>
        </w:rPr>
        <w:t xml:space="preserve"> emissions generated using a city car to arrive at Campus of Economics in Bari, powered into different </w:t>
      </w:r>
      <w:r w:rsidRPr="00B45304">
        <w:rPr>
          <w:lang w:val="en-GB"/>
        </w:rPr>
        <w:t>methods (gasoline, diesel, mild hybrid and LNG)</w:t>
      </w:r>
      <w:r w:rsidR="00C44577">
        <w:rPr>
          <w:lang w:val="en-GB"/>
        </w:rPr>
        <w:t xml:space="preserve"> </w:t>
      </w:r>
      <w:r w:rsidR="00C44577" w:rsidRPr="00D564B9">
        <w:rPr>
          <w:lang w:val="en-GB"/>
        </w:rPr>
        <w:t>in order to propose environmental enhancements in a further research step.</w:t>
      </w:r>
      <w:r w:rsidRPr="00D564B9">
        <w:rPr>
          <w:lang w:val="en-GB"/>
        </w:rPr>
        <w:t xml:space="preserve"> </w:t>
      </w:r>
    </w:p>
    <w:p w14:paraId="2AD38974" w14:textId="77777777" w:rsidR="0026472F" w:rsidRPr="00B45304" w:rsidRDefault="0026472F" w:rsidP="00B45304">
      <w:pPr>
        <w:jc w:val="both"/>
        <w:rPr>
          <w:lang w:val="en-GB"/>
        </w:rPr>
      </w:pPr>
    </w:p>
    <w:p w14:paraId="010F5731" w14:textId="215F2082" w:rsidR="00E40E87" w:rsidRPr="00B45304" w:rsidRDefault="00E40E87" w:rsidP="00B45304">
      <w:pPr>
        <w:pStyle w:val="Paragrafoelenco"/>
        <w:numPr>
          <w:ilvl w:val="1"/>
          <w:numId w:val="49"/>
        </w:numPr>
        <w:spacing w:line="276" w:lineRule="auto"/>
        <w:jc w:val="both"/>
        <w:rPr>
          <w:b/>
          <w:lang w:val="en-GB"/>
        </w:rPr>
      </w:pPr>
      <w:r w:rsidRPr="00B45304">
        <w:rPr>
          <w:b/>
          <w:lang w:val="en-GB"/>
        </w:rPr>
        <w:t>Results and discussion</w:t>
      </w:r>
    </w:p>
    <w:p w14:paraId="7CEB238D" w14:textId="6083D9D3" w:rsidR="00FC60B4" w:rsidRPr="00B45304" w:rsidRDefault="00FC60B4" w:rsidP="00B45304">
      <w:pPr>
        <w:spacing w:line="276" w:lineRule="auto"/>
        <w:jc w:val="both"/>
        <w:rPr>
          <w:i/>
          <w:lang w:val="en-GB"/>
        </w:rPr>
      </w:pPr>
      <w:r w:rsidRPr="00B45304">
        <w:rPr>
          <w:i/>
          <w:lang w:val="en-GB"/>
        </w:rPr>
        <w:t>1.4.1 Outcomes from the survey</w:t>
      </w:r>
    </w:p>
    <w:p w14:paraId="5E225D0E" w14:textId="1B4CC9A6" w:rsidR="00D16C2F" w:rsidRPr="00B45304" w:rsidRDefault="004E189E" w:rsidP="00B45304">
      <w:pPr>
        <w:spacing w:line="276" w:lineRule="auto"/>
        <w:jc w:val="both"/>
        <w:rPr>
          <w:lang w:val="en-GB"/>
        </w:rPr>
      </w:pPr>
      <w:r w:rsidRPr="00B45304">
        <w:rPr>
          <w:lang w:val="en-GB"/>
        </w:rPr>
        <w:t xml:space="preserve">The sample </w:t>
      </w:r>
      <w:r w:rsidR="00E12607" w:rsidRPr="00B45304">
        <w:rPr>
          <w:lang w:val="en-GB"/>
        </w:rPr>
        <w:t xml:space="preserve">was investigated submitting a questionnaire survey through a </w:t>
      </w:r>
      <w:r w:rsidR="006656E8" w:rsidRPr="00B45304">
        <w:rPr>
          <w:lang w:val="en-GB"/>
        </w:rPr>
        <w:t>G</w:t>
      </w:r>
      <w:r w:rsidR="00E12607" w:rsidRPr="00B45304">
        <w:rPr>
          <w:lang w:val="en-GB"/>
        </w:rPr>
        <w:t>oogle form</w:t>
      </w:r>
      <w:r w:rsidR="00190EA9" w:rsidRPr="00B45304">
        <w:rPr>
          <w:lang w:val="en-GB"/>
        </w:rPr>
        <w:t>,</w:t>
      </w:r>
      <w:r w:rsidR="00E12607" w:rsidRPr="00B45304">
        <w:rPr>
          <w:lang w:val="en-GB"/>
        </w:rPr>
        <w:t xml:space="preserve"> shared among the students by the professors of the</w:t>
      </w:r>
      <w:r w:rsidR="004A1DCB" w:rsidRPr="00B45304">
        <w:rPr>
          <w:lang w:val="en-GB"/>
        </w:rPr>
        <w:t xml:space="preserve"> D</w:t>
      </w:r>
      <w:r w:rsidR="00E12607" w:rsidRPr="00B45304">
        <w:rPr>
          <w:lang w:val="en-GB"/>
        </w:rPr>
        <w:t>epartment</w:t>
      </w:r>
      <w:r w:rsidR="006656E8" w:rsidRPr="00B45304">
        <w:rPr>
          <w:lang w:val="en-GB"/>
        </w:rPr>
        <w:t xml:space="preserve"> during classroom lessons</w:t>
      </w:r>
      <w:r w:rsidR="00E12607" w:rsidRPr="00B45304">
        <w:rPr>
          <w:lang w:val="en-GB"/>
        </w:rPr>
        <w:t xml:space="preserve">. </w:t>
      </w:r>
      <w:r w:rsidR="006656E8" w:rsidRPr="00B45304">
        <w:rPr>
          <w:lang w:val="en-GB"/>
        </w:rPr>
        <w:t>Considering</w:t>
      </w:r>
      <w:r w:rsidR="00E12607" w:rsidRPr="00B45304">
        <w:rPr>
          <w:lang w:val="en-GB"/>
        </w:rPr>
        <w:t xml:space="preserve"> 3,000 students </w:t>
      </w:r>
      <w:r w:rsidR="006656E8" w:rsidRPr="00B45304">
        <w:rPr>
          <w:lang w:val="en-GB"/>
        </w:rPr>
        <w:t>enrolled in the degree course</w:t>
      </w:r>
      <w:r w:rsidR="00224BCF">
        <w:rPr>
          <w:lang w:val="en-GB"/>
        </w:rPr>
        <w:t>s</w:t>
      </w:r>
      <w:r w:rsidR="006656E8" w:rsidRPr="00B45304">
        <w:rPr>
          <w:lang w:val="en-GB"/>
        </w:rPr>
        <w:t xml:space="preserve"> </w:t>
      </w:r>
      <w:r w:rsidR="00E12607" w:rsidRPr="00B45304">
        <w:rPr>
          <w:lang w:val="en-GB"/>
        </w:rPr>
        <w:t>of the Department of Economics, Management and Business Law of the University of Bari Aldo Moro</w:t>
      </w:r>
      <w:r w:rsidR="006656E8" w:rsidRPr="00B45304">
        <w:rPr>
          <w:lang w:val="en-GB"/>
        </w:rPr>
        <w:t xml:space="preserve">, </w:t>
      </w:r>
      <w:r w:rsidR="00EE4CAC" w:rsidRPr="00B45304">
        <w:rPr>
          <w:lang w:val="en-GB"/>
        </w:rPr>
        <w:t xml:space="preserve">we </w:t>
      </w:r>
      <w:r w:rsidR="006656E8" w:rsidRPr="00B45304">
        <w:rPr>
          <w:lang w:val="en-GB"/>
        </w:rPr>
        <w:t>quantified the</w:t>
      </w:r>
      <w:r w:rsidR="00EE4CAC" w:rsidRPr="00B45304">
        <w:rPr>
          <w:lang w:val="en-GB"/>
        </w:rPr>
        <w:t xml:space="preserve"> significant sample </w:t>
      </w:r>
      <w:r w:rsidR="006656E8" w:rsidRPr="00B45304">
        <w:rPr>
          <w:lang w:val="en-GB"/>
        </w:rPr>
        <w:t>required</w:t>
      </w:r>
      <w:r w:rsidR="00E12607" w:rsidRPr="00B45304">
        <w:rPr>
          <w:lang w:val="en-GB"/>
        </w:rPr>
        <w:t xml:space="preserve"> equal of </w:t>
      </w:r>
      <w:r w:rsidR="00EE4CAC" w:rsidRPr="00B45304">
        <w:rPr>
          <w:lang w:val="en-GB"/>
        </w:rPr>
        <w:t>300</w:t>
      </w:r>
      <w:r w:rsidR="006656E8" w:rsidRPr="00B45304">
        <w:rPr>
          <w:lang w:val="en-GB"/>
        </w:rPr>
        <w:t xml:space="preserve"> answers according </w:t>
      </w:r>
      <w:r w:rsidR="00EE4CAC" w:rsidRPr="00B45304">
        <w:rPr>
          <w:lang w:val="en-GB"/>
        </w:rPr>
        <w:t xml:space="preserve">Hair et al. </w:t>
      </w:r>
      <w:r w:rsidR="006656E8" w:rsidRPr="00B45304">
        <w:rPr>
          <w:lang w:val="en-GB"/>
        </w:rPr>
        <w:t>(</w:t>
      </w:r>
      <w:r w:rsidR="00EE4CAC" w:rsidRPr="00B45304">
        <w:rPr>
          <w:lang w:val="en-GB"/>
        </w:rPr>
        <w:t>2014)</w:t>
      </w:r>
      <w:r w:rsidR="006656E8" w:rsidRPr="00B45304">
        <w:rPr>
          <w:lang w:val="en-GB"/>
        </w:rPr>
        <w:t>. Particularly,</w:t>
      </w:r>
      <w:r w:rsidR="00EE4CAC" w:rsidRPr="00B45304">
        <w:rPr>
          <w:lang w:val="en-GB"/>
        </w:rPr>
        <w:t xml:space="preserve"> in our case we have 335 </w:t>
      </w:r>
      <w:r w:rsidR="006656E8" w:rsidRPr="00B45304">
        <w:rPr>
          <w:lang w:val="en-GB"/>
        </w:rPr>
        <w:t xml:space="preserve">answered questionnaires. </w:t>
      </w:r>
      <w:r w:rsidR="00851D77" w:rsidRPr="00B45304">
        <w:rPr>
          <w:lang w:val="en-GB"/>
        </w:rPr>
        <w:t xml:space="preserve"> </w:t>
      </w:r>
      <w:r w:rsidR="006656E8" w:rsidRPr="00B45304">
        <w:rPr>
          <w:lang w:val="en-GB"/>
        </w:rPr>
        <w:t>Statistically</w:t>
      </w:r>
      <w:r w:rsidR="00D16C2F" w:rsidRPr="00B45304">
        <w:rPr>
          <w:lang w:val="en-GB"/>
        </w:rPr>
        <w:t>, the value</w:t>
      </w:r>
      <w:r w:rsidR="00AA6135" w:rsidRPr="00B45304">
        <w:rPr>
          <w:lang w:val="en-GB"/>
        </w:rPr>
        <w:t>s</w:t>
      </w:r>
      <w:r w:rsidR="00D16C2F" w:rsidRPr="00B45304">
        <w:rPr>
          <w:lang w:val="en-GB"/>
        </w:rPr>
        <w:t xml:space="preserve"> </w:t>
      </w:r>
      <w:r w:rsidR="006656E8" w:rsidRPr="00B45304">
        <w:rPr>
          <w:lang w:val="en-GB"/>
        </w:rPr>
        <w:t>considered in the operation was</w:t>
      </w:r>
      <w:r w:rsidR="00AA6135" w:rsidRPr="00B45304">
        <w:rPr>
          <w:lang w:val="en-GB"/>
        </w:rPr>
        <w:t xml:space="preserve"> </w:t>
      </w:r>
      <w:r w:rsidR="00D16C2F" w:rsidRPr="00B45304">
        <w:rPr>
          <w:lang w:val="en-GB"/>
        </w:rPr>
        <w:t>confidence interval=5.06, confidence level=95%</w:t>
      </w:r>
      <w:r w:rsidR="006656E8" w:rsidRPr="00B45304">
        <w:rPr>
          <w:lang w:val="en-GB"/>
        </w:rPr>
        <w:t>,</w:t>
      </w:r>
      <w:r w:rsidR="00AA6135" w:rsidRPr="00B45304">
        <w:rPr>
          <w:lang w:val="en-GB"/>
        </w:rPr>
        <w:t xml:space="preserve"> </w:t>
      </w:r>
      <w:r w:rsidR="00D16C2F" w:rsidRPr="00B45304">
        <w:rPr>
          <w:lang w:val="en-GB"/>
        </w:rPr>
        <w:t>population=3000</w:t>
      </w:r>
      <w:r w:rsidR="006656E8" w:rsidRPr="00B45304">
        <w:rPr>
          <w:lang w:val="en-GB"/>
        </w:rPr>
        <w:t>.</w:t>
      </w:r>
    </w:p>
    <w:p w14:paraId="724FC5DF" w14:textId="006F8165" w:rsidR="00FD2E56" w:rsidRPr="00B45304" w:rsidRDefault="00AA6135" w:rsidP="00B45304">
      <w:pPr>
        <w:spacing w:line="276" w:lineRule="auto"/>
        <w:jc w:val="both"/>
        <w:rPr>
          <w:lang w:val="en-GB"/>
        </w:rPr>
      </w:pPr>
      <w:r w:rsidRPr="00B45304">
        <w:rPr>
          <w:lang w:val="en-GB"/>
        </w:rPr>
        <w:t>The results showed that t</w:t>
      </w:r>
      <w:r w:rsidR="00B23868" w:rsidRPr="00B45304">
        <w:rPr>
          <w:lang w:val="en-GB"/>
        </w:rPr>
        <w:t xml:space="preserve">he sample </w:t>
      </w:r>
      <w:r w:rsidRPr="00B45304">
        <w:rPr>
          <w:lang w:val="en-GB"/>
        </w:rPr>
        <w:t xml:space="preserve">was </w:t>
      </w:r>
      <w:r w:rsidR="00B23868" w:rsidRPr="00B45304">
        <w:rPr>
          <w:lang w:val="en-GB"/>
        </w:rPr>
        <w:t xml:space="preserve">composed by </w:t>
      </w:r>
      <w:r w:rsidR="006656E8" w:rsidRPr="00B45304">
        <w:rPr>
          <w:lang w:val="en-GB"/>
        </w:rPr>
        <w:t>60.30% of</w:t>
      </w:r>
      <w:r w:rsidR="00B23868" w:rsidRPr="00B45304">
        <w:rPr>
          <w:lang w:val="en-GB"/>
        </w:rPr>
        <w:t xml:space="preserve"> women and </w:t>
      </w:r>
      <w:r w:rsidR="00267771" w:rsidRPr="00B45304">
        <w:rPr>
          <w:lang w:val="en-GB"/>
        </w:rPr>
        <w:t>39</w:t>
      </w:r>
      <w:r w:rsidR="006656E8" w:rsidRPr="00B45304">
        <w:rPr>
          <w:lang w:val="en-GB"/>
        </w:rPr>
        <w:t>.</w:t>
      </w:r>
      <w:r w:rsidR="00267771" w:rsidRPr="00B45304">
        <w:rPr>
          <w:lang w:val="en-GB"/>
        </w:rPr>
        <w:t>7</w:t>
      </w:r>
      <w:r w:rsidR="006656E8" w:rsidRPr="00B45304">
        <w:rPr>
          <w:lang w:val="en-GB"/>
        </w:rPr>
        <w:t>0</w:t>
      </w:r>
      <w:r w:rsidR="00267771" w:rsidRPr="00B45304">
        <w:rPr>
          <w:lang w:val="en-GB"/>
        </w:rPr>
        <w:t>%</w:t>
      </w:r>
      <w:r w:rsidR="006656E8" w:rsidRPr="00B45304">
        <w:rPr>
          <w:lang w:val="en-GB"/>
        </w:rPr>
        <w:t xml:space="preserve"> of</w:t>
      </w:r>
      <w:r w:rsidR="00267771" w:rsidRPr="00B45304">
        <w:rPr>
          <w:lang w:val="en-GB"/>
        </w:rPr>
        <w:t xml:space="preserve"> </w:t>
      </w:r>
      <w:r w:rsidR="00B23868" w:rsidRPr="00B45304">
        <w:rPr>
          <w:lang w:val="en-GB"/>
        </w:rPr>
        <w:t xml:space="preserve">men, </w:t>
      </w:r>
      <w:r w:rsidR="00C93586" w:rsidRPr="00B45304">
        <w:rPr>
          <w:lang w:val="en-GB"/>
        </w:rPr>
        <w:t xml:space="preserve">most of them </w:t>
      </w:r>
      <w:r w:rsidR="006656E8" w:rsidRPr="00B45304">
        <w:rPr>
          <w:lang w:val="en-GB"/>
        </w:rPr>
        <w:t>(</w:t>
      </w:r>
      <w:r w:rsidR="00821B79" w:rsidRPr="00B45304">
        <w:rPr>
          <w:lang w:val="en-GB"/>
        </w:rPr>
        <w:t>67.76%</w:t>
      </w:r>
      <w:r w:rsidR="00C93586" w:rsidRPr="00B45304">
        <w:rPr>
          <w:lang w:val="en-GB"/>
        </w:rPr>
        <w:t xml:space="preserve">) with an age between 21 and 24 </w:t>
      </w:r>
      <w:r w:rsidR="00C93586" w:rsidRPr="00B45304">
        <w:rPr>
          <w:lang w:val="en-GB"/>
        </w:rPr>
        <w:lastRenderedPageBreak/>
        <w:t>years.</w:t>
      </w:r>
      <w:r w:rsidR="004A1DCB" w:rsidRPr="00B45304">
        <w:rPr>
          <w:lang w:val="en-GB"/>
        </w:rPr>
        <w:t xml:space="preserve"> </w:t>
      </w:r>
      <w:proofErr w:type="spellStart"/>
      <w:r w:rsidR="00C61E2F" w:rsidRPr="00B45304">
        <w:rPr>
          <w:lang w:val="en-GB"/>
        </w:rPr>
        <w:t>Analyzing</w:t>
      </w:r>
      <w:proofErr w:type="spellEnd"/>
      <w:r w:rsidR="00C61E2F" w:rsidRPr="00B45304">
        <w:rPr>
          <w:lang w:val="en-GB"/>
        </w:rPr>
        <w:t xml:space="preserve"> student mobility preferences: </w:t>
      </w:r>
      <w:r w:rsidR="001D1E8B" w:rsidRPr="00B45304">
        <w:rPr>
          <w:lang w:val="en-GB"/>
        </w:rPr>
        <w:t>only</w:t>
      </w:r>
      <w:r w:rsidR="006656E8" w:rsidRPr="00B45304">
        <w:rPr>
          <w:lang w:val="en-GB"/>
        </w:rPr>
        <w:t xml:space="preserve"> 27.20% of</w:t>
      </w:r>
      <w:r w:rsidR="00C93586" w:rsidRPr="00B45304">
        <w:rPr>
          <w:lang w:val="en-GB"/>
        </w:rPr>
        <w:t xml:space="preserve"> </w:t>
      </w:r>
      <w:r w:rsidR="004E6B08">
        <w:rPr>
          <w:lang w:val="en-GB"/>
        </w:rPr>
        <w:t>respondent</w:t>
      </w:r>
      <w:r w:rsidR="00C93586" w:rsidRPr="00B45304">
        <w:rPr>
          <w:lang w:val="en-GB"/>
        </w:rPr>
        <w:t>s prefer public transport</w:t>
      </w:r>
      <w:r w:rsidR="006656E8" w:rsidRPr="00B45304">
        <w:rPr>
          <w:lang w:val="en-GB"/>
        </w:rPr>
        <w:t xml:space="preserve">, </w:t>
      </w:r>
      <w:r w:rsidR="004E6B08">
        <w:rPr>
          <w:lang w:val="en-GB"/>
        </w:rPr>
        <w:t xml:space="preserve">whilst </w:t>
      </w:r>
      <w:r w:rsidR="001D1E8B" w:rsidRPr="00B45304">
        <w:rPr>
          <w:lang w:val="en-GB"/>
        </w:rPr>
        <w:t>72.8</w:t>
      </w:r>
      <w:r w:rsidR="0071490A" w:rsidRPr="00B45304">
        <w:rPr>
          <w:lang w:val="en-GB"/>
        </w:rPr>
        <w:t xml:space="preserve">0% </w:t>
      </w:r>
      <w:r w:rsidR="004E6B08">
        <w:rPr>
          <w:lang w:val="en-GB"/>
        </w:rPr>
        <w:t xml:space="preserve">the </w:t>
      </w:r>
      <w:r w:rsidR="0071490A" w:rsidRPr="00B45304">
        <w:rPr>
          <w:lang w:val="en-GB"/>
        </w:rPr>
        <w:t>private transport</w:t>
      </w:r>
      <w:r w:rsidR="00826E67" w:rsidRPr="00B45304">
        <w:rPr>
          <w:lang w:val="en-GB"/>
        </w:rPr>
        <w:t>. Th</w:t>
      </w:r>
      <w:r w:rsidR="004E6B08">
        <w:rPr>
          <w:lang w:val="en-GB"/>
        </w:rPr>
        <w:t>ese</w:t>
      </w:r>
      <w:r w:rsidR="00826E67" w:rsidRPr="00B45304">
        <w:rPr>
          <w:lang w:val="en-GB"/>
        </w:rPr>
        <w:t xml:space="preserve"> percentages confirms the estimation by </w:t>
      </w:r>
      <w:r w:rsidR="004A1DCB" w:rsidRPr="00B45304">
        <w:rPr>
          <w:lang w:val="en-GB"/>
        </w:rPr>
        <w:t xml:space="preserve"> </w:t>
      </w:r>
      <w:proofErr w:type="spellStart"/>
      <w:r w:rsidR="00826E67" w:rsidRPr="00B45304">
        <w:rPr>
          <w:lang w:val="en-GB"/>
        </w:rPr>
        <w:t>Niglio</w:t>
      </w:r>
      <w:proofErr w:type="spellEnd"/>
      <w:r w:rsidR="00826E67" w:rsidRPr="00B45304">
        <w:rPr>
          <w:lang w:val="en-GB"/>
        </w:rPr>
        <w:t xml:space="preserve"> </w:t>
      </w:r>
      <w:r w:rsidR="001C0901">
        <w:rPr>
          <w:lang w:val="en-GB"/>
        </w:rPr>
        <w:t>and</w:t>
      </w:r>
      <w:r w:rsidR="00826E67" w:rsidRPr="00B45304">
        <w:rPr>
          <w:lang w:val="en-GB"/>
        </w:rPr>
        <w:t xml:space="preserve"> </w:t>
      </w:r>
      <w:proofErr w:type="spellStart"/>
      <w:r w:rsidR="00826E67" w:rsidRPr="00B45304">
        <w:rPr>
          <w:lang w:val="en-GB"/>
        </w:rPr>
        <w:t>Comitale</w:t>
      </w:r>
      <w:proofErr w:type="spellEnd"/>
      <w:r w:rsidR="00826E67" w:rsidRPr="00B45304">
        <w:rPr>
          <w:lang w:val="en-GB"/>
        </w:rPr>
        <w:t xml:space="preserve"> (2015)</w:t>
      </w:r>
      <w:r w:rsidR="00CE340F">
        <w:rPr>
          <w:lang w:val="en-GB"/>
        </w:rPr>
        <w:t>, as already mentioned</w:t>
      </w:r>
      <w:r w:rsidR="00B80E22" w:rsidRPr="00B45304">
        <w:rPr>
          <w:lang w:val="en-GB"/>
        </w:rPr>
        <w:t xml:space="preserve"> in</w:t>
      </w:r>
      <w:r w:rsidR="00CE340F">
        <w:rPr>
          <w:lang w:val="en-GB"/>
        </w:rPr>
        <w:t xml:space="preserve"> the </w:t>
      </w:r>
      <w:r w:rsidR="00B80E22" w:rsidRPr="00B45304">
        <w:rPr>
          <w:lang w:val="en-GB"/>
        </w:rPr>
        <w:t>Introduction section.</w:t>
      </w:r>
      <w:r w:rsidR="00826E67" w:rsidRPr="00B45304">
        <w:rPr>
          <w:lang w:val="en-GB"/>
        </w:rPr>
        <w:t xml:space="preserve"> </w:t>
      </w:r>
      <w:r w:rsidR="00C93586" w:rsidRPr="00B45304">
        <w:rPr>
          <w:lang w:val="en-GB"/>
        </w:rPr>
        <w:t xml:space="preserve">Most of the interviewees come from Bari, the rest </w:t>
      </w:r>
      <w:r w:rsidR="0002769C">
        <w:rPr>
          <w:lang w:val="en-GB"/>
        </w:rPr>
        <w:t xml:space="preserve">mainly </w:t>
      </w:r>
      <w:r w:rsidR="00C93586" w:rsidRPr="00B45304">
        <w:rPr>
          <w:lang w:val="en-GB"/>
        </w:rPr>
        <w:t>from BAT, Taranto</w:t>
      </w:r>
      <w:r w:rsidR="0002769C">
        <w:rPr>
          <w:lang w:val="en-GB"/>
        </w:rPr>
        <w:t xml:space="preserve"> and</w:t>
      </w:r>
      <w:r w:rsidR="00C93586" w:rsidRPr="00B45304">
        <w:rPr>
          <w:lang w:val="en-GB"/>
        </w:rPr>
        <w:t xml:space="preserve"> Brindisi</w:t>
      </w:r>
      <w:r w:rsidR="00FD2E56" w:rsidRPr="00B45304">
        <w:rPr>
          <w:lang w:val="en-GB"/>
        </w:rPr>
        <w:t xml:space="preserve"> (Fig.1).</w:t>
      </w:r>
      <w:r w:rsidR="00C93586" w:rsidRPr="00B45304">
        <w:rPr>
          <w:lang w:val="en-GB"/>
        </w:rPr>
        <w:t xml:space="preserve"> </w:t>
      </w:r>
      <w:r w:rsidR="0002769C">
        <w:rPr>
          <w:lang w:val="en-GB"/>
        </w:rPr>
        <w:t>Furthermore only</w:t>
      </w:r>
      <w:r w:rsidR="00FD2E56" w:rsidRPr="00B45304">
        <w:rPr>
          <w:lang w:val="en-GB"/>
        </w:rPr>
        <w:t xml:space="preserve"> few units, come from </w:t>
      </w:r>
      <w:r w:rsidR="0002769C">
        <w:rPr>
          <w:lang w:val="en-GB"/>
        </w:rPr>
        <w:t>neighbouring regions, particularly</w:t>
      </w:r>
      <w:r w:rsidR="00C93586" w:rsidRPr="00B45304">
        <w:rPr>
          <w:lang w:val="en-GB"/>
        </w:rPr>
        <w:t xml:space="preserve"> </w:t>
      </w:r>
      <w:r w:rsidR="0002769C" w:rsidRPr="00B45304">
        <w:rPr>
          <w:lang w:val="en-GB"/>
        </w:rPr>
        <w:t xml:space="preserve">Basilicata and </w:t>
      </w:r>
      <w:r w:rsidR="00C93586" w:rsidRPr="00B45304">
        <w:rPr>
          <w:lang w:val="en-GB"/>
        </w:rPr>
        <w:t xml:space="preserve">Calabria. </w:t>
      </w:r>
    </w:p>
    <w:p w14:paraId="4640A301" w14:textId="032EF412" w:rsidR="00FD2E56" w:rsidRPr="00B45304" w:rsidRDefault="00FD2E56" w:rsidP="00B45304">
      <w:pPr>
        <w:spacing w:line="276" w:lineRule="auto"/>
        <w:jc w:val="center"/>
        <w:rPr>
          <w:highlight w:val="yellow"/>
          <w:lang w:val="en-GB"/>
        </w:rPr>
      </w:pPr>
      <w:r w:rsidRPr="00B45304">
        <w:rPr>
          <w:noProof/>
          <w:lang w:val="en-GB"/>
        </w:rPr>
        <w:drawing>
          <wp:inline distT="0" distB="0" distL="0" distR="0" wp14:anchorId="3B55F795" wp14:editId="45A28E40">
            <wp:extent cx="2774081" cy="201930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8341" cy="2022401"/>
                    </a:xfrm>
                    <a:prstGeom prst="rect">
                      <a:avLst/>
                    </a:prstGeom>
                  </pic:spPr>
                </pic:pic>
              </a:graphicData>
            </a:graphic>
          </wp:inline>
        </w:drawing>
      </w:r>
    </w:p>
    <w:p w14:paraId="64ED547B" w14:textId="72DB7D46" w:rsidR="00FD2E56" w:rsidRPr="00B45304" w:rsidRDefault="00FD2E56" w:rsidP="00B45304">
      <w:pPr>
        <w:pStyle w:val="FigureCaption"/>
        <w:spacing w:line="276" w:lineRule="auto"/>
        <w:ind w:left="560" w:firstLine="14"/>
        <w:jc w:val="both"/>
        <w:rPr>
          <w:lang w:val="en-GB"/>
        </w:rPr>
      </w:pPr>
      <w:r w:rsidRPr="00B45304">
        <w:rPr>
          <w:lang w:val="en-GB"/>
        </w:rPr>
        <w:t xml:space="preserve">                   Fig. 1. Location of origin of </w:t>
      </w:r>
      <w:r w:rsidR="00D207BC">
        <w:rPr>
          <w:lang w:val="en-GB"/>
        </w:rPr>
        <w:t xml:space="preserve">the </w:t>
      </w:r>
      <w:r w:rsidR="00D207BC" w:rsidRPr="00B45304">
        <w:rPr>
          <w:lang w:val="en-GB"/>
        </w:rPr>
        <w:t>students</w:t>
      </w:r>
      <w:r w:rsidRPr="00B45304">
        <w:rPr>
          <w:lang w:val="en-GB"/>
        </w:rPr>
        <w:t xml:space="preserve"> sample </w:t>
      </w:r>
    </w:p>
    <w:p w14:paraId="7689CAAB" w14:textId="1BB7358E" w:rsidR="00FD2E56" w:rsidRPr="00B45304" w:rsidRDefault="00FD2E56" w:rsidP="00B45304">
      <w:pPr>
        <w:pStyle w:val="FigureCaption"/>
        <w:spacing w:line="276" w:lineRule="auto"/>
        <w:jc w:val="both"/>
        <w:rPr>
          <w:lang w:val="en-GB"/>
        </w:rPr>
      </w:pPr>
      <w:r w:rsidRPr="00B45304">
        <w:rPr>
          <w:lang w:val="en-GB"/>
        </w:rPr>
        <w:t xml:space="preserve">                               Sources</w:t>
      </w:r>
      <w:r w:rsidRPr="00B45304">
        <w:rPr>
          <w:szCs w:val="18"/>
          <w:lang w:val="en-GB"/>
        </w:rPr>
        <w:t xml:space="preserve">: </w:t>
      </w:r>
      <w:r w:rsidRPr="00B45304">
        <w:rPr>
          <w:lang w:val="en-GB" w:eastAsia="en-SG"/>
        </w:rPr>
        <w:t>Authors’ elaboration.</w:t>
      </w:r>
    </w:p>
    <w:p w14:paraId="59DC2376" w14:textId="6D493AC2" w:rsidR="00FD2E56" w:rsidRPr="00B45304" w:rsidRDefault="00FD2E56" w:rsidP="00B45304">
      <w:pPr>
        <w:spacing w:line="276" w:lineRule="auto"/>
        <w:jc w:val="both"/>
        <w:rPr>
          <w:highlight w:val="yellow"/>
          <w:lang w:val="en-GB"/>
        </w:rPr>
      </w:pPr>
    </w:p>
    <w:p w14:paraId="1D3DF474" w14:textId="75AB88F6" w:rsidR="00C61E2F" w:rsidRPr="00B45304" w:rsidRDefault="00B80E22" w:rsidP="00B45304">
      <w:pPr>
        <w:spacing w:line="276" w:lineRule="auto"/>
        <w:jc w:val="both"/>
        <w:rPr>
          <w:lang w:val="en-GB"/>
        </w:rPr>
      </w:pPr>
      <w:r w:rsidRPr="00B45304">
        <w:rPr>
          <w:lang w:val="en-GB"/>
        </w:rPr>
        <w:t>Moreover, 62.7%</w:t>
      </w:r>
      <w:r w:rsidR="00FD2E56" w:rsidRPr="00B45304">
        <w:rPr>
          <w:lang w:val="en-GB"/>
        </w:rPr>
        <w:t xml:space="preserve"> </w:t>
      </w:r>
      <w:r w:rsidRPr="00B45304">
        <w:rPr>
          <w:lang w:val="en-GB"/>
        </w:rPr>
        <w:t xml:space="preserve">of students </w:t>
      </w:r>
      <w:r w:rsidR="00FD2E56" w:rsidRPr="00B45304">
        <w:rPr>
          <w:lang w:val="en-GB"/>
        </w:rPr>
        <w:t>arrive in the city where they attend the course of study, moving from a different municipality/region (this kind of student is named commuter students</w:t>
      </w:r>
      <w:r w:rsidRPr="00B45304">
        <w:rPr>
          <w:lang w:val="en-GB"/>
        </w:rPr>
        <w:t>), 20.6%</w:t>
      </w:r>
      <w:r w:rsidR="00FD2E56" w:rsidRPr="00B45304">
        <w:rPr>
          <w:lang w:val="en-GB"/>
        </w:rPr>
        <w:t xml:space="preserve"> live in the city where the university is located (this kind of student is named on-site student) and </w:t>
      </w:r>
      <w:r w:rsidRPr="00B45304">
        <w:rPr>
          <w:lang w:val="en-GB"/>
        </w:rPr>
        <w:t>16.7%</w:t>
      </w:r>
      <w:r w:rsidR="00FD2E56" w:rsidRPr="00B45304">
        <w:rPr>
          <w:lang w:val="en-GB"/>
        </w:rPr>
        <w:t xml:space="preserve"> live in the city where they attend the study course, but reside in another municipality/province</w:t>
      </w:r>
      <w:r w:rsidRPr="00B45304">
        <w:rPr>
          <w:lang w:val="en-GB"/>
        </w:rPr>
        <w:t>/</w:t>
      </w:r>
      <w:r w:rsidR="00FD2E56" w:rsidRPr="00B45304">
        <w:rPr>
          <w:lang w:val="en-GB"/>
        </w:rPr>
        <w:t>region (this kind of student is named off-site).</w:t>
      </w:r>
      <w:r w:rsidR="00851D77" w:rsidRPr="00B45304">
        <w:rPr>
          <w:lang w:val="en-GB"/>
        </w:rPr>
        <w:t xml:space="preserve"> </w:t>
      </w:r>
      <w:r w:rsidR="00EE7E44" w:rsidRPr="00B45304">
        <w:rPr>
          <w:lang w:val="en-GB"/>
        </w:rPr>
        <w:t xml:space="preserve">The sample has an almost equally distributed willingness </w:t>
      </w:r>
      <w:r w:rsidR="00115F12" w:rsidRPr="00B45304">
        <w:rPr>
          <w:lang w:val="en-GB"/>
        </w:rPr>
        <w:t>to pay</w:t>
      </w:r>
      <w:r w:rsidR="00513D7B" w:rsidRPr="00B45304">
        <w:rPr>
          <w:lang w:val="en-GB"/>
        </w:rPr>
        <w:t xml:space="preserve"> for their mobility</w:t>
      </w:r>
      <w:r w:rsidR="00115F12" w:rsidRPr="00B45304">
        <w:rPr>
          <w:lang w:val="en-GB"/>
        </w:rPr>
        <w:t>:</w:t>
      </w:r>
      <w:r w:rsidR="00B237F0" w:rsidRPr="00B45304">
        <w:rPr>
          <w:lang w:val="en-GB"/>
        </w:rPr>
        <w:t xml:space="preserve"> most students (</w:t>
      </w:r>
      <w:r w:rsidR="00513D7B" w:rsidRPr="00B45304">
        <w:rPr>
          <w:lang w:val="en-GB"/>
        </w:rPr>
        <w:t>76%</w:t>
      </w:r>
      <w:r w:rsidR="00B237F0" w:rsidRPr="00B45304">
        <w:rPr>
          <w:lang w:val="en-GB"/>
        </w:rPr>
        <w:t xml:space="preserve">) have a budget of between 20-50 euros to cover </w:t>
      </w:r>
      <w:r w:rsidR="00FC4688">
        <w:rPr>
          <w:lang w:val="en-GB"/>
        </w:rPr>
        <w:t>monthl</w:t>
      </w:r>
      <w:r w:rsidR="007C6BDD">
        <w:rPr>
          <w:lang w:val="en-GB"/>
        </w:rPr>
        <w:t xml:space="preserve">y </w:t>
      </w:r>
      <w:r w:rsidR="00B237F0" w:rsidRPr="00B45304">
        <w:rPr>
          <w:lang w:val="en-GB"/>
        </w:rPr>
        <w:t>transport costs.</w:t>
      </w:r>
      <w:r w:rsidR="004A1DCB" w:rsidRPr="00B45304">
        <w:rPr>
          <w:lang w:val="en-GB"/>
        </w:rPr>
        <w:t xml:space="preserve"> </w:t>
      </w:r>
      <w:r w:rsidR="00B237F0" w:rsidRPr="00B45304">
        <w:rPr>
          <w:lang w:val="en-GB"/>
        </w:rPr>
        <w:t xml:space="preserve">Additionally, </w:t>
      </w:r>
      <w:r w:rsidRPr="00B45304">
        <w:rPr>
          <w:lang w:val="en-GB"/>
        </w:rPr>
        <w:t>57.6% of</w:t>
      </w:r>
      <w:r w:rsidR="00B237F0" w:rsidRPr="00B45304">
        <w:rPr>
          <w:lang w:val="en-GB"/>
        </w:rPr>
        <w:t xml:space="preserve"> students changed their transport habits following the Covid-19 pandemic.</w:t>
      </w:r>
      <w:r w:rsidR="004A1DCB" w:rsidRPr="00B45304">
        <w:rPr>
          <w:lang w:val="en-GB"/>
        </w:rPr>
        <w:t xml:space="preserve"> </w:t>
      </w:r>
      <w:r w:rsidR="00B237F0" w:rsidRPr="00B45304">
        <w:rPr>
          <w:lang w:val="en-GB"/>
        </w:rPr>
        <w:t>For the question</w:t>
      </w:r>
      <w:r w:rsidR="00035F8B" w:rsidRPr="00B45304">
        <w:rPr>
          <w:lang w:val="en-GB"/>
        </w:rPr>
        <w:t xml:space="preserve"> n. 10</w:t>
      </w:r>
      <w:r w:rsidR="00B237F0" w:rsidRPr="00B45304">
        <w:rPr>
          <w:lang w:val="en-GB"/>
        </w:rPr>
        <w:t xml:space="preserve">: </w:t>
      </w:r>
      <w:r w:rsidR="00B237F0" w:rsidRPr="00B45304">
        <w:rPr>
          <w:i/>
          <w:lang w:val="en-GB"/>
        </w:rPr>
        <w:t>How much do you spend on average per day on public/private transport to get to your university campus?</w:t>
      </w:r>
      <w:r w:rsidR="00B237F0" w:rsidRPr="00B45304">
        <w:rPr>
          <w:lang w:val="en-GB"/>
        </w:rPr>
        <w:t xml:space="preserve"> </w:t>
      </w:r>
      <w:r w:rsidRPr="00B45304">
        <w:rPr>
          <w:lang w:val="en-GB"/>
        </w:rPr>
        <w:t>39.1%</w:t>
      </w:r>
      <w:r w:rsidR="00B237F0" w:rsidRPr="00B45304">
        <w:rPr>
          <w:lang w:val="en-GB"/>
        </w:rPr>
        <w:t xml:space="preserve"> answered less than 30 minutes, </w:t>
      </w:r>
      <w:r w:rsidRPr="00B45304">
        <w:rPr>
          <w:lang w:val="en-GB"/>
        </w:rPr>
        <w:t xml:space="preserve">30.4% </w:t>
      </w:r>
      <w:r w:rsidR="00B237F0" w:rsidRPr="00B45304">
        <w:rPr>
          <w:lang w:val="en-GB"/>
        </w:rPr>
        <w:t xml:space="preserve">maximum 1 hour, </w:t>
      </w:r>
      <w:r w:rsidRPr="00B45304">
        <w:rPr>
          <w:lang w:val="en-GB"/>
        </w:rPr>
        <w:t>22.4%</w:t>
      </w:r>
      <w:r w:rsidR="00B237F0" w:rsidRPr="00B45304">
        <w:rPr>
          <w:lang w:val="en-GB"/>
        </w:rPr>
        <w:t xml:space="preserve"> between 1-2 hours and </w:t>
      </w:r>
      <w:r w:rsidRPr="00B45304">
        <w:rPr>
          <w:lang w:val="en-GB"/>
        </w:rPr>
        <w:t>8.1%</w:t>
      </w:r>
      <w:r w:rsidR="00B237F0" w:rsidRPr="00B45304">
        <w:rPr>
          <w:lang w:val="en-GB"/>
        </w:rPr>
        <w:t xml:space="preserve"> more than 2 hours.</w:t>
      </w:r>
      <w:r w:rsidR="004A1DCB" w:rsidRPr="00B45304">
        <w:rPr>
          <w:lang w:val="en-GB"/>
        </w:rPr>
        <w:t xml:space="preserve"> </w:t>
      </w:r>
      <w:r w:rsidR="00EF2ADA" w:rsidRPr="00B45304">
        <w:rPr>
          <w:lang w:val="en-GB"/>
        </w:rPr>
        <w:t xml:space="preserve">For the question n. 11: </w:t>
      </w:r>
      <w:r w:rsidR="00EF2ADA" w:rsidRPr="00B45304">
        <w:rPr>
          <w:i/>
          <w:lang w:val="en-GB"/>
        </w:rPr>
        <w:t>If you were to prefer public transport, which means would you mainly use?</w:t>
      </w:r>
      <w:r w:rsidR="00EF2ADA" w:rsidRPr="00B45304">
        <w:rPr>
          <w:lang w:val="en-GB"/>
        </w:rPr>
        <w:t xml:space="preserve"> </w:t>
      </w:r>
      <w:r w:rsidRPr="00B45304">
        <w:rPr>
          <w:lang w:val="en-GB"/>
        </w:rPr>
        <w:t>42.4% of</w:t>
      </w:r>
      <w:r w:rsidR="00EF2ADA" w:rsidRPr="00B45304">
        <w:rPr>
          <w:lang w:val="en-GB"/>
        </w:rPr>
        <w:t xml:space="preserve"> students would use bus, </w:t>
      </w:r>
      <w:r w:rsidRPr="00B45304">
        <w:rPr>
          <w:lang w:val="en-GB"/>
        </w:rPr>
        <w:t>26.3%</w:t>
      </w:r>
      <w:r w:rsidR="00EF2ADA" w:rsidRPr="00B45304">
        <w:rPr>
          <w:lang w:val="en-GB"/>
        </w:rPr>
        <w:t xml:space="preserve"> state </w:t>
      </w:r>
      <w:r w:rsidR="00EF2ADA" w:rsidRPr="00B45304">
        <w:rPr>
          <w:lang w:val="en-GB"/>
        </w:rPr>
        <w:lastRenderedPageBreak/>
        <w:t xml:space="preserve">railways trains, </w:t>
      </w:r>
      <w:r w:rsidRPr="00B45304">
        <w:rPr>
          <w:lang w:val="en-GB"/>
        </w:rPr>
        <w:t>8.4% railway tram, 6% a multimodal transport with more than 2 means, 5.7% local public transport, 4.8%</w:t>
      </w:r>
      <w:r w:rsidR="00EF2ADA" w:rsidRPr="00B45304">
        <w:rPr>
          <w:lang w:val="en-GB"/>
        </w:rPr>
        <w:t xml:space="preserve"> regional railways trains, </w:t>
      </w:r>
      <w:r w:rsidRPr="00B45304">
        <w:rPr>
          <w:lang w:val="en-GB"/>
        </w:rPr>
        <w:t>3.9%</w:t>
      </w:r>
      <w:r w:rsidR="00EF2ADA" w:rsidRPr="00B45304">
        <w:rPr>
          <w:lang w:val="en-GB"/>
        </w:rPr>
        <w:t xml:space="preserve"> bike, </w:t>
      </w:r>
      <w:r w:rsidRPr="00B45304">
        <w:rPr>
          <w:lang w:val="en-GB"/>
        </w:rPr>
        <w:t>and only 2.7% bike and other means (e.g. train)</w:t>
      </w:r>
      <w:r w:rsidR="001E6231" w:rsidRPr="00B45304">
        <w:rPr>
          <w:lang w:val="en-GB"/>
        </w:rPr>
        <w:t>. According question n.</w:t>
      </w:r>
      <w:r w:rsidR="00F45CC3" w:rsidRPr="00B45304">
        <w:rPr>
          <w:lang w:val="en-GB"/>
        </w:rPr>
        <w:t xml:space="preserve"> </w:t>
      </w:r>
      <w:r w:rsidR="001E6231" w:rsidRPr="00B45304">
        <w:rPr>
          <w:lang w:val="en-GB"/>
        </w:rPr>
        <w:t xml:space="preserve">12: </w:t>
      </w:r>
      <w:r w:rsidR="001E6231" w:rsidRPr="00B45304">
        <w:rPr>
          <w:i/>
          <w:lang w:val="en-GB"/>
        </w:rPr>
        <w:t xml:space="preserve">What reason would you prefer private transport over public transport? </w:t>
      </w:r>
      <w:r w:rsidRPr="00B45304">
        <w:rPr>
          <w:lang w:val="en-GB"/>
        </w:rPr>
        <w:t>47.5%</w:t>
      </w:r>
      <w:r w:rsidR="001E6231" w:rsidRPr="00B45304">
        <w:rPr>
          <w:lang w:val="en-GB"/>
        </w:rPr>
        <w:t xml:space="preserve"> </w:t>
      </w:r>
      <w:r w:rsidRPr="00B45304">
        <w:rPr>
          <w:lang w:val="en-GB"/>
        </w:rPr>
        <w:t>of the sample</w:t>
      </w:r>
      <w:r w:rsidR="001E6231" w:rsidRPr="00B45304">
        <w:rPr>
          <w:lang w:val="en-GB"/>
        </w:rPr>
        <w:t xml:space="preserve"> prefer </w:t>
      </w:r>
      <w:r w:rsidR="00851D77" w:rsidRPr="00B45304">
        <w:rPr>
          <w:lang w:val="en-GB"/>
        </w:rPr>
        <w:t>it</w:t>
      </w:r>
      <w:r w:rsidR="001E6231" w:rsidRPr="00B45304">
        <w:rPr>
          <w:lang w:val="en-GB"/>
        </w:rPr>
        <w:t xml:space="preserve"> for the reduced travel times, </w:t>
      </w:r>
      <w:r w:rsidRPr="00B45304">
        <w:rPr>
          <w:lang w:val="en-GB"/>
        </w:rPr>
        <w:t>40.6%</w:t>
      </w:r>
      <w:r w:rsidR="001E6231" w:rsidRPr="00B45304">
        <w:rPr>
          <w:lang w:val="en-GB"/>
        </w:rPr>
        <w:t xml:space="preserve"> prefer private transport for comfort and suitable study-travel time, </w:t>
      </w:r>
      <w:r w:rsidRPr="00B45304">
        <w:rPr>
          <w:lang w:val="en-GB"/>
        </w:rPr>
        <w:t>7.5%</w:t>
      </w:r>
      <w:r w:rsidR="001E6231" w:rsidRPr="00B45304">
        <w:rPr>
          <w:lang w:val="en-GB"/>
        </w:rPr>
        <w:t xml:space="preserve"> </w:t>
      </w:r>
      <w:r w:rsidR="00851D77" w:rsidRPr="00B45304">
        <w:rPr>
          <w:lang w:val="en-GB"/>
        </w:rPr>
        <w:t xml:space="preserve">prefer it </w:t>
      </w:r>
      <w:r w:rsidR="001E6231" w:rsidRPr="00B45304">
        <w:rPr>
          <w:lang w:val="en-GB"/>
        </w:rPr>
        <w:t>for economic saving,</w:t>
      </w:r>
      <w:r w:rsidR="00645693">
        <w:rPr>
          <w:lang w:val="en-GB"/>
        </w:rPr>
        <w:t xml:space="preserve"> and </w:t>
      </w:r>
      <w:r w:rsidR="00851D77" w:rsidRPr="00811538">
        <w:rPr>
          <w:lang w:val="en-GB"/>
        </w:rPr>
        <w:t>4.5%</w:t>
      </w:r>
      <w:r w:rsidR="001E6231" w:rsidRPr="00811538">
        <w:rPr>
          <w:lang w:val="en-GB"/>
        </w:rPr>
        <w:t xml:space="preserve"> </w:t>
      </w:r>
      <w:r w:rsidR="00645693" w:rsidRPr="00811538">
        <w:rPr>
          <w:lang w:val="en-GB"/>
        </w:rPr>
        <w:t>would prefer the</w:t>
      </w:r>
      <w:r w:rsidR="001E6231" w:rsidRPr="00811538">
        <w:rPr>
          <w:lang w:val="en-GB"/>
        </w:rPr>
        <w:t xml:space="preserve"> car sharing. </w:t>
      </w:r>
      <w:r w:rsidR="0022118E" w:rsidRPr="00760FDE">
        <w:rPr>
          <w:lang w:val="en-GB"/>
        </w:rPr>
        <w:t xml:space="preserve">Moreover, </w:t>
      </w:r>
      <w:r w:rsidR="00851D77" w:rsidRPr="00760FDE">
        <w:rPr>
          <w:lang w:val="en-GB"/>
        </w:rPr>
        <w:t>39</w:t>
      </w:r>
      <w:r w:rsidR="0022118E" w:rsidRPr="00760FDE">
        <w:rPr>
          <w:lang w:val="en-GB"/>
        </w:rPr>
        <w:t>.</w:t>
      </w:r>
      <w:r w:rsidR="00851D77" w:rsidRPr="00760FDE">
        <w:rPr>
          <w:lang w:val="en-GB"/>
        </w:rPr>
        <w:t xml:space="preserve">70 % of the sample </w:t>
      </w:r>
      <w:r w:rsidR="001E6231" w:rsidRPr="00760FDE">
        <w:rPr>
          <w:lang w:val="en-GB"/>
        </w:rPr>
        <w:t xml:space="preserve">agree on the fact that circumstances oblige them to </w:t>
      </w:r>
      <w:r w:rsidR="007C6BDD" w:rsidRPr="00760FDE">
        <w:rPr>
          <w:lang w:val="en-GB"/>
        </w:rPr>
        <w:t xml:space="preserve">frequently </w:t>
      </w:r>
      <w:r w:rsidR="001E6231" w:rsidRPr="00760FDE">
        <w:rPr>
          <w:lang w:val="en-GB"/>
        </w:rPr>
        <w:t>use the car</w:t>
      </w:r>
      <w:r w:rsidR="00760FDE" w:rsidRPr="00760FDE">
        <w:rPr>
          <w:lang w:val="en-GB"/>
        </w:rPr>
        <w:t xml:space="preserve"> and </w:t>
      </w:r>
      <w:r w:rsidR="00851D77" w:rsidRPr="00760FDE">
        <w:rPr>
          <w:lang w:val="en-GB"/>
        </w:rPr>
        <w:t>43.88%</w:t>
      </w:r>
      <w:r w:rsidR="001E6231" w:rsidRPr="00760FDE">
        <w:rPr>
          <w:lang w:val="en-GB"/>
        </w:rPr>
        <w:t xml:space="preserve"> agree on the difficulty in managing travel only by means of alternative </w:t>
      </w:r>
      <w:r w:rsidR="0022118E" w:rsidRPr="00760FDE">
        <w:rPr>
          <w:lang w:val="en-GB"/>
        </w:rPr>
        <w:t>transport</w:t>
      </w:r>
      <w:r w:rsidR="001E6231" w:rsidRPr="00760FDE">
        <w:rPr>
          <w:lang w:val="en-GB"/>
        </w:rPr>
        <w:t xml:space="preserve"> to the car</w:t>
      </w:r>
      <w:r w:rsidR="00760FDE" w:rsidRPr="00760FDE">
        <w:rPr>
          <w:lang w:val="en-GB"/>
        </w:rPr>
        <w:t xml:space="preserve">. </w:t>
      </w:r>
      <w:r w:rsidR="00C61E2F" w:rsidRPr="00B45304">
        <w:rPr>
          <w:lang w:val="en-GB"/>
        </w:rPr>
        <w:t xml:space="preserve">However, more than </w:t>
      </w:r>
      <w:r w:rsidR="00851D77" w:rsidRPr="00B45304">
        <w:rPr>
          <w:lang w:val="en-GB"/>
        </w:rPr>
        <w:t>29%</w:t>
      </w:r>
      <w:r w:rsidR="00C61E2F" w:rsidRPr="00B45304">
        <w:rPr>
          <w:lang w:val="en-GB"/>
        </w:rPr>
        <w:t xml:space="preserve"> would be willing to buy a hybrid or electric car or electric bicycle respectively in the future.</w:t>
      </w:r>
      <w:r w:rsidR="00851D77" w:rsidRPr="00B45304">
        <w:rPr>
          <w:lang w:val="en-GB"/>
        </w:rPr>
        <w:t xml:space="preserve"> </w:t>
      </w:r>
      <w:r w:rsidR="00C61E2F" w:rsidRPr="00B45304">
        <w:rPr>
          <w:lang w:val="en-GB"/>
        </w:rPr>
        <w:t>The interviews also show</w:t>
      </w:r>
      <w:r w:rsidR="00851D77" w:rsidRPr="00B45304">
        <w:rPr>
          <w:lang w:val="en-GB"/>
        </w:rPr>
        <w:t>n</w:t>
      </w:r>
      <w:r w:rsidR="00C61E2F" w:rsidRPr="00B45304">
        <w:rPr>
          <w:lang w:val="en-GB"/>
        </w:rPr>
        <w:t xml:space="preserve"> that </w:t>
      </w:r>
      <w:r w:rsidR="00851D77" w:rsidRPr="00B45304">
        <w:rPr>
          <w:lang w:val="en-GB"/>
        </w:rPr>
        <w:t>45.07%</w:t>
      </w:r>
      <w:r w:rsidR="00C61E2F" w:rsidRPr="00B45304">
        <w:rPr>
          <w:lang w:val="en-GB"/>
        </w:rPr>
        <w:t xml:space="preserve"> would prefer car sharing if they had to opt for an alternative transport to the public/private one.</w:t>
      </w:r>
      <w:r w:rsidR="00851D77" w:rsidRPr="00B45304">
        <w:rPr>
          <w:lang w:val="en-GB"/>
        </w:rPr>
        <w:t xml:space="preserve"> </w:t>
      </w:r>
      <w:r w:rsidR="00C61E2F" w:rsidRPr="00B45304">
        <w:rPr>
          <w:lang w:val="en-GB"/>
        </w:rPr>
        <w:t>Unfortunately, more than 60% of the sample prefers the private way to reach the Economics campus.</w:t>
      </w:r>
      <w:r w:rsidR="00811538">
        <w:rPr>
          <w:lang w:val="en-GB"/>
        </w:rPr>
        <w:t xml:space="preserve"> </w:t>
      </w:r>
      <w:r w:rsidR="00C61E2F" w:rsidRPr="00B45304">
        <w:rPr>
          <w:lang w:val="en-GB"/>
        </w:rPr>
        <w:t xml:space="preserve">Finally, </w:t>
      </w:r>
      <w:proofErr w:type="spellStart"/>
      <w:r w:rsidR="00C61E2F" w:rsidRPr="00B45304">
        <w:rPr>
          <w:lang w:val="en-GB"/>
        </w:rPr>
        <w:t>analyzing</w:t>
      </w:r>
      <w:proofErr w:type="spellEnd"/>
      <w:r w:rsidR="00C61E2F" w:rsidRPr="00B45304">
        <w:rPr>
          <w:lang w:val="en-GB"/>
        </w:rPr>
        <w:t xml:space="preserve"> preferences and environmental awareness: </w:t>
      </w:r>
      <w:r w:rsidR="00851D77" w:rsidRPr="00B45304">
        <w:rPr>
          <w:lang w:val="en-GB"/>
        </w:rPr>
        <w:t>34.63%</w:t>
      </w:r>
      <w:r w:rsidR="00C61E2F" w:rsidRPr="00B45304">
        <w:rPr>
          <w:lang w:val="en-GB"/>
        </w:rPr>
        <w:t xml:space="preserve"> give up sustainable public transport and prefer private transport to reduce delays, considering the private vehicle the greatest guarantor of autonomy (</w:t>
      </w:r>
      <w:r w:rsidR="00851D77" w:rsidRPr="00B45304">
        <w:rPr>
          <w:lang w:val="en-GB"/>
        </w:rPr>
        <w:t>72.84%</w:t>
      </w:r>
      <w:r w:rsidR="00C61E2F" w:rsidRPr="00B45304">
        <w:rPr>
          <w:lang w:val="en-GB"/>
        </w:rPr>
        <w:t>). However, more than 80% of the sample are aware of the fossil fuel impacts associated with the use of means of transport and about 60% are aware of the lower impacts generated by the use of public transport.</w:t>
      </w:r>
      <w:r w:rsidR="00851D77" w:rsidRPr="00B45304">
        <w:rPr>
          <w:lang w:val="en-GB"/>
        </w:rPr>
        <w:t xml:space="preserve"> </w:t>
      </w:r>
      <w:r w:rsidR="00C61E2F" w:rsidRPr="00B45304">
        <w:rPr>
          <w:lang w:val="en-GB"/>
        </w:rPr>
        <w:t>In conclusion, 96% of the sample highlights that sustainable student mobility can improve environmental conditions and, for this reason</w:t>
      </w:r>
      <w:r w:rsidR="00766BF2">
        <w:rPr>
          <w:lang w:val="en-GB"/>
        </w:rPr>
        <w:t xml:space="preserve">, of which </w:t>
      </w:r>
      <w:r w:rsidR="00C61E2F" w:rsidRPr="00B45304">
        <w:rPr>
          <w:lang w:val="en-GB"/>
        </w:rPr>
        <w:t>87% ask for more cycle paths for the Economics Campus and 97% ask for greater economic incentives for the transition from traditional transport to less polluting alternative transport.</w:t>
      </w:r>
    </w:p>
    <w:p w14:paraId="1D6F636C" w14:textId="77777777" w:rsidR="00FC60B4" w:rsidRPr="00B45304" w:rsidRDefault="00FC60B4" w:rsidP="00B45304">
      <w:pPr>
        <w:spacing w:line="276" w:lineRule="auto"/>
        <w:jc w:val="both"/>
        <w:rPr>
          <w:highlight w:val="yellow"/>
          <w:lang w:val="en-GB"/>
        </w:rPr>
      </w:pPr>
    </w:p>
    <w:p w14:paraId="1EFBF0F5" w14:textId="61C40B4A" w:rsidR="00FC60B4" w:rsidRPr="00B45304" w:rsidRDefault="00FC60B4" w:rsidP="00B45304">
      <w:pPr>
        <w:spacing w:line="276" w:lineRule="auto"/>
        <w:jc w:val="both"/>
        <w:rPr>
          <w:i/>
          <w:lang w:val="en-GB"/>
        </w:rPr>
      </w:pPr>
      <w:r w:rsidRPr="00B45304">
        <w:rPr>
          <w:i/>
          <w:lang w:val="en-GB"/>
        </w:rPr>
        <w:t xml:space="preserve">1.4.2 Snapshot of the impact associated to </w:t>
      </w:r>
      <w:r w:rsidR="00851D77" w:rsidRPr="00B45304">
        <w:rPr>
          <w:i/>
          <w:lang w:val="en-GB"/>
        </w:rPr>
        <w:t xml:space="preserve">Bari </w:t>
      </w:r>
      <w:r w:rsidRPr="00B45304">
        <w:rPr>
          <w:i/>
          <w:lang w:val="en-GB"/>
        </w:rPr>
        <w:t>students’ mobility</w:t>
      </w:r>
    </w:p>
    <w:p w14:paraId="4B0AB1D3" w14:textId="5CED24F3" w:rsidR="001F764C" w:rsidRPr="00B45304" w:rsidRDefault="001F764C" w:rsidP="00B45304">
      <w:pPr>
        <w:spacing w:line="276" w:lineRule="auto"/>
        <w:jc w:val="both"/>
        <w:rPr>
          <w:lang w:val="en-GB"/>
        </w:rPr>
      </w:pPr>
      <w:r w:rsidRPr="00B45304">
        <w:rPr>
          <w:lang w:val="en-GB"/>
        </w:rPr>
        <w:t xml:space="preserve">The quantification of the </w:t>
      </w:r>
      <w:r w:rsidR="00CD312D" w:rsidRPr="00B45304">
        <w:rPr>
          <w:lang w:val="en-GB"/>
        </w:rPr>
        <w:t>CO</w:t>
      </w:r>
      <w:r w:rsidR="00CD312D" w:rsidRPr="00B45304">
        <w:rPr>
          <w:vertAlign w:val="subscript"/>
          <w:lang w:val="en-GB"/>
        </w:rPr>
        <w:t>2</w:t>
      </w:r>
      <w:r w:rsidR="00CD312D" w:rsidRPr="00B45304">
        <w:rPr>
          <w:lang w:val="en-GB"/>
        </w:rPr>
        <w:t xml:space="preserve"> </w:t>
      </w:r>
      <w:r w:rsidRPr="00B45304">
        <w:rPr>
          <w:lang w:val="en-GB"/>
        </w:rPr>
        <w:t xml:space="preserve">emissions associated with the use of a common </w:t>
      </w:r>
      <w:r w:rsidR="00CD312D" w:rsidRPr="00B45304">
        <w:rPr>
          <w:lang w:val="en-GB"/>
        </w:rPr>
        <w:t xml:space="preserve">city </w:t>
      </w:r>
      <w:r w:rsidRPr="00B45304">
        <w:rPr>
          <w:lang w:val="en-GB"/>
        </w:rPr>
        <w:t>car (</w:t>
      </w:r>
      <w:r w:rsidR="0071490A" w:rsidRPr="00B45304">
        <w:rPr>
          <w:lang w:val="en-GB"/>
        </w:rPr>
        <w:t xml:space="preserve">like </w:t>
      </w:r>
      <w:r w:rsidRPr="00B45304">
        <w:rPr>
          <w:lang w:val="en-GB"/>
        </w:rPr>
        <w:t>Fiat Panda</w:t>
      </w:r>
      <w:r w:rsidR="0071490A" w:rsidRPr="00B45304">
        <w:rPr>
          <w:lang w:val="en-GB"/>
        </w:rPr>
        <w:t xml:space="preserve"> produced by FCA</w:t>
      </w:r>
      <w:r w:rsidRPr="00B45304">
        <w:rPr>
          <w:lang w:val="en-GB"/>
        </w:rPr>
        <w:t>)</w:t>
      </w:r>
      <w:r w:rsidR="006A6D62">
        <w:rPr>
          <w:lang w:val="en-GB"/>
        </w:rPr>
        <w:t>,</w:t>
      </w:r>
      <w:r w:rsidRPr="00B45304">
        <w:rPr>
          <w:lang w:val="en-GB"/>
        </w:rPr>
        <w:t xml:space="preserve"> </w:t>
      </w:r>
      <w:r w:rsidR="00CD312D" w:rsidRPr="00B45304">
        <w:rPr>
          <w:lang w:val="en-GB"/>
        </w:rPr>
        <w:t>for</w:t>
      </w:r>
      <w:r w:rsidR="006A6D62">
        <w:rPr>
          <w:lang w:val="en-GB"/>
        </w:rPr>
        <w:t xml:space="preserve"> the</w:t>
      </w:r>
      <w:r w:rsidR="00CD312D" w:rsidRPr="00B45304">
        <w:rPr>
          <w:lang w:val="en-GB"/>
        </w:rPr>
        <w:t xml:space="preserve"> arriv</w:t>
      </w:r>
      <w:r w:rsidR="006A6D62">
        <w:rPr>
          <w:lang w:val="en-GB"/>
        </w:rPr>
        <w:t>al</w:t>
      </w:r>
      <w:r w:rsidR="00CD312D" w:rsidRPr="00B45304">
        <w:rPr>
          <w:lang w:val="en-GB"/>
        </w:rPr>
        <w:t xml:space="preserve"> at </w:t>
      </w:r>
      <w:r w:rsidRPr="00B45304">
        <w:rPr>
          <w:lang w:val="en-GB"/>
        </w:rPr>
        <w:t>the Economics Campus</w:t>
      </w:r>
      <w:r w:rsidR="006A6D62">
        <w:rPr>
          <w:lang w:val="en-GB"/>
        </w:rPr>
        <w:t>,</w:t>
      </w:r>
      <w:r w:rsidRPr="00B45304">
        <w:rPr>
          <w:lang w:val="en-GB"/>
        </w:rPr>
        <w:t xml:space="preserve"> show</w:t>
      </w:r>
      <w:r w:rsidR="00CD312D" w:rsidRPr="00B45304">
        <w:rPr>
          <w:lang w:val="en-GB"/>
        </w:rPr>
        <w:t>n</w:t>
      </w:r>
      <w:r w:rsidRPr="00B45304">
        <w:rPr>
          <w:lang w:val="en-GB"/>
        </w:rPr>
        <w:t xml:space="preserve"> that urban mobility in the metropolitan area generates a greater impact than mobility from other areas as most of the students live nearby its</w:t>
      </w:r>
      <w:r w:rsidR="00CD312D" w:rsidRPr="00B45304">
        <w:rPr>
          <w:lang w:val="en-GB"/>
        </w:rPr>
        <w:t xml:space="preserve"> (Tab</w:t>
      </w:r>
      <w:r w:rsidR="000232E3" w:rsidRPr="00B45304">
        <w:rPr>
          <w:lang w:val="en-GB"/>
        </w:rPr>
        <w:t xml:space="preserve">le </w:t>
      </w:r>
      <w:r w:rsidR="00CD312D" w:rsidRPr="00B45304">
        <w:rPr>
          <w:lang w:val="en-GB"/>
        </w:rPr>
        <w:t>1)</w:t>
      </w:r>
      <w:r w:rsidRPr="00B45304">
        <w:rPr>
          <w:lang w:val="en-GB"/>
        </w:rPr>
        <w:t xml:space="preserve">. </w:t>
      </w:r>
    </w:p>
    <w:p w14:paraId="2D9505F3" w14:textId="77777777" w:rsidR="008A3DC4" w:rsidRPr="00B45304" w:rsidRDefault="008A3DC4" w:rsidP="00B45304">
      <w:pPr>
        <w:spacing w:line="276" w:lineRule="auto"/>
        <w:jc w:val="both"/>
        <w:rPr>
          <w:sz w:val="18"/>
          <w:szCs w:val="18"/>
          <w:lang w:val="en-GB"/>
        </w:rPr>
      </w:pPr>
    </w:p>
    <w:p w14:paraId="41DB7904" w14:textId="226922B0" w:rsidR="00FC60B4" w:rsidRPr="00B45304" w:rsidRDefault="008A3DC4" w:rsidP="00B45304">
      <w:pPr>
        <w:spacing w:line="276" w:lineRule="auto"/>
        <w:jc w:val="both"/>
        <w:rPr>
          <w:sz w:val="18"/>
          <w:szCs w:val="18"/>
          <w:lang w:val="en-GB"/>
        </w:rPr>
      </w:pPr>
      <w:r w:rsidRPr="00B45304">
        <w:rPr>
          <w:sz w:val="18"/>
          <w:szCs w:val="18"/>
          <w:lang w:val="en-GB"/>
        </w:rPr>
        <w:t>Table 1</w:t>
      </w:r>
      <w:r w:rsidR="00714822" w:rsidRPr="00B45304">
        <w:rPr>
          <w:sz w:val="18"/>
          <w:szCs w:val="18"/>
          <w:lang w:val="en-GB"/>
        </w:rPr>
        <w:t>.</w:t>
      </w:r>
      <w:r w:rsidRPr="00B45304">
        <w:rPr>
          <w:sz w:val="18"/>
          <w:szCs w:val="18"/>
          <w:lang w:val="en-GB"/>
        </w:rPr>
        <w:t xml:space="preserve"> Estimation impact of students</w:t>
      </w:r>
      <w:r w:rsidR="00115023" w:rsidRPr="00B45304">
        <w:rPr>
          <w:sz w:val="18"/>
          <w:szCs w:val="18"/>
          <w:lang w:val="en-GB"/>
        </w:rPr>
        <w:t>’</w:t>
      </w:r>
      <w:r w:rsidRPr="00B45304">
        <w:rPr>
          <w:sz w:val="18"/>
          <w:szCs w:val="18"/>
          <w:lang w:val="en-GB"/>
        </w:rPr>
        <w:t xml:space="preserve"> mobility</w:t>
      </w:r>
    </w:p>
    <w:tbl>
      <w:tblPr>
        <w:tblStyle w:val="Grigliatabella"/>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
        <w:gridCol w:w="759"/>
        <w:gridCol w:w="759"/>
        <w:gridCol w:w="1360"/>
        <w:gridCol w:w="1129"/>
        <w:gridCol w:w="1134"/>
        <w:gridCol w:w="1417"/>
      </w:tblGrid>
      <w:tr w:rsidR="007D5A9B" w:rsidRPr="00760FDE" w14:paraId="10F3CDF3" w14:textId="77777777" w:rsidTr="00714822">
        <w:trPr>
          <w:trHeight w:val="20"/>
        </w:trPr>
        <w:tc>
          <w:tcPr>
            <w:tcW w:w="950" w:type="dxa"/>
            <w:tcBorders>
              <w:top w:val="single" w:sz="4" w:space="0" w:color="auto"/>
              <w:bottom w:val="single" w:sz="4" w:space="0" w:color="auto"/>
            </w:tcBorders>
            <w:hideMark/>
          </w:tcPr>
          <w:p w14:paraId="38F65383" w14:textId="77777777" w:rsidR="007D5A9B" w:rsidRPr="00B45304" w:rsidRDefault="007D5A9B" w:rsidP="00B45304">
            <w:pPr>
              <w:spacing w:line="276" w:lineRule="auto"/>
              <w:jc w:val="both"/>
              <w:rPr>
                <w:b/>
                <w:bCs/>
                <w:sz w:val="15"/>
                <w:szCs w:val="15"/>
                <w:lang w:val="en-GB"/>
              </w:rPr>
            </w:pPr>
            <w:r w:rsidRPr="00B45304">
              <w:rPr>
                <w:b/>
                <w:bCs/>
                <w:sz w:val="15"/>
                <w:szCs w:val="15"/>
                <w:lang w:val="en-GB"/>
              </w:rPr>
              <w:lastRenderedPageBreak/>
              <w:t>Location of departure</w:t>
            </w:r>
          </w:p>
        </w:tc>
        <w:tc>
          <w:tcPr>
            <w:tcW w:w="759" w:type="dxa"/>
            <w:tcBorders>
              <w:top w:val="single" w:sz="4" w:space="0" w:color="auto"/>
              <w:bottom w:val="single" w:sz="4" w:space="0" w:color="auto"/>
            </w:tcBorders>
            <w:hideMark/>
          </w:tcPr>
          <w:p w14:paraId="5CEEA6C6" w14:textId="77777777" w:rsidR="007D5A9B" w:rsidRPr="00B45304" w:rsidRDefault="007D5A9B" w:rsidP="00B45304">
            <w:pPr>
              <w:spacing w:line="276" w:lineRule="auto"/>
              <w:jc w:val="both"/>
              <w:rPr>
                <w:b/>
                <w:bCs/>
                <w:sz w:val="15"/>
                <w:szCs w:val="15"/>
                <w:lang w:val="en-GB"/>
              </w:rPr>
            </w:pPr>
            <w:r w:rsidRPr="00B45304">
              <w:rPr>
                <w:b/>
                <w:bCs/>
                <w:sz w:val="15"/>
                <w:szCs w:val="15"/>
                <w:lang w:val="en-GB"/>
              </w:rPr>
              <w:t>% of students per location</w:t>
            </w:r>
          </w:p>
        </w:tc>
        <w:tc>
          <w:tcPr>
            <w:tcW w:w="759" w:type="dxa"/>
            <w:tcBorders>
              <w:top w:val="single" w:sz="4" w:space="0" w:color="auto"/>
              <w:bottom w:val="single" w:sz="4" w:space="0" w:color="auto"/>
            </w:tcBorders>
            <w:hideMark/>
          </w:tcPr>
          <w:p w14:paraId="4A80E022" w14:textId="77777777" w:rsidR="007D5A9B" w:rsidRPr="00B45304" w:rsidRDefault="007D5A9B" w:rsidP="00B45304">
            <w:pPr>
              <w:spacing w:line="276" w:lineRule="auto"/>
              <w:jc w:val="both"/>
              <w:rPr>
                <w:b/>
                <w:bCs/>
                <w:sz w:val="15"/>
                <w:szCs w:val="15"/>
                <w:lang w:val="en-GB"/>
              </w:rPr>
            </w:pPr>
            <w:r w:rsidRPr="00B45304">
              <w:rPr>
                <w:b/>
                <w:bCs/>
                <w:sz w:val="15"/>
                <w:szCs w:val="15"/>
                <w:lang w:val="en-GB"/>
              </w:rPr>
              <w:t>number of students</w:t>
            </w:r>
          </w:p>
        </w:tc>
        <w:tc>
          <w:tcPr>
            <w:tcW w:w="1360" w:type="dxa"/>
            <w:tcBorders>
              <w:top w:val="single" w:sz="4" w:space="0" w:color="auto"/>
              <w:bottom w:val="single" w:sz="4" w:space="0" w:color="auto"/>
            </w:tcBorders>
            <w:hideMark/>
          </w:tcPr>
          <w:p w14:paraId="4D2348E6" w14:textId="3BC35F7C" w:rsidR="007D5A9B" w:rsidRPr="00B45304" w:rsidRDefault="007D5A9B" w:rsidP="00B45304">
            <w:pPr>
              <w:spacing w:line="276" w:lineRule="auto"/>
              <w:ind w:right="471"/>
              <w:jc w:val="both"/>
              <w:rPr>
                <w:b/>
                <w:bCs/>
                <w:sz w:val="15"/>
                <w:szCs w:val="15"/>
                <w:lang w:val="en-GB"/>
              </w:rPr>
            </w:pPr>
            <w:r w:rsidRPr="00B45304">
              <w:rPr>
                <w:b/>
                <w:bCs/>
                <w:sz w:val="15"/>
                <w:szCs w:val="15"/>
                <w:lang w:val="en-GB"/>
              </w:rPr>
              <w:t>CO</w:t>
            </w:r>
            <w:r w:rsidRPr="00B45304">
              <w:rPr>
                <w:b/>
                <w:bCs/>
                <w:sz w:val="15"/>
                <w:szCs w:val="15"/>
                <w:vertAlign w:val="subscript"/>
                <w:lang w:val="en-GB"/>
              </w:rPr>
              <w:t>2</w:t>
            </w:r>
            <w:r w:rsidRPr="00B45304">
              <w:rPr>
                <w:b/>
                <w:bCs/>
                <w:sz w:val="15"/>
                <w:szCs w:val="15"/>
                <w:lang w:val="en-GB"/>
              </w:rPr>
              <w:t xml:space="preserve"> </w:t>
            </w:r>
            <w:proofErr w:type="spellStart"/>
            <w:r w:rsidRPr="00B45304">
              <w:rPr>
                <w:b/>
                <w:bCs/>
                <w:sz w:val="15"/>
                <w:szCs w:val="15"/>
                <w:lang w:val="en-GB"/>
              </w:rPr>
              <w:t>emissions_gasoline</w:t>
            </w:r>
            <w:proofErr w:type="spellEnd"/>
            <w:r w:rsidRPr="00B45304">
              <w:rPr>
                <w:b/>
                <w:bCs/>
                <w:sz w:val="15"/>
                <w:szCs w:val="15"/>
                <w:lang w:val="en-GB"/>
              </w:rPr>
              <w:t>/students (</w:t>
            </w:r>
            <w:r w:rsidR="008A3DC4" w:rsidRPr="00B45304">
              <w:rPr>
                <w:b/>
                <w:bCs/>
                <w:sz w:val="15"/>
                <w:szCs w:val="15"/>
                <w:lang w:val="en-GB"/>
              </w:rPr>
              <w:t>k</w:t>
            </w:r>
            <w:r w:rsidRPr="00B45304">
              <w:rPr>
                <w:b/>
                <w:bCs/>
                <w:sz w:val="15"/>
                <w:szCs w:val="15"/>
                <w:lang w:val="en-GB"/>
              </w:rPr>
              <w:t>g)</w:t>
            </w:r>
          </w:p>
        </w:tc>
        <w:tc>
          <w:tcPr>
            <w:tcW w:w="1129" w:type="dxa"/>
            <w:tcBorders>
              <w:top w:val="single" w:sz="4" w:space="0" w:color="auto"/>
              <w:bottom w:val="single" w:sz="4" w:space="0" w:color="auto"/>
            </w:tcBorders>
            <w:hideMark/>
          </w:tcPr>
          <w:p w14:paraId="5DB08382" w14:textId="77777777" w:rsidR="007D5A9B" w:rsidRPr="00B45304" w:rsidRDefault="007D5A9B" w:rsidP="00B45304">
            <w:pPr>
              <w:spacing w:line="276" w:lineRule="auto"/>
              <w:jc w:val="both"/>
              <w:rPr>
                <w:b/>
                <w:bCs/>
                <w:sz w:val="15"/>
                <w:szCs w:val="15"/>
                <w:lang w:val="en-GB"/>
              </w:rPr>
            </w:pPr>
            <w:r w:rsidRPr="00B45304">
              <w:rPr>
                <w:b/>
                <w:bCs/>
                <w:sz w:val="15"/>
                <w:szCs w:val="15"/>
                <w:lang w:val="en-GB"/>
              </w:rPr>
              <w:t>CO</w:t>
            </w:r>
            <w:r w:rsidRPr="00B45304">
              <w:rPr>
                <w:b/>
                <w:bCs/>
                <w:sz w:val="15"/>
                <w:szCs w:val="15"/>
                <w:vertAlign w:val="subscript"/>
                <w:lang w:val="en-GB"/>
              </w:rPr>
              <w:t>2</w:t>
            </w:r>
            <w:r w:rsidRPr="00B45304">
              <w:rPr>
                <w:b/>
                <w:bCs/>
                <w:sz w:val="15"/>
                <w:szCs w:val="15"/>
                <w:lang w:val="en-GB"/>
              </w:rPr>
              <w:t xml:space="preserve"> </w:t>
            </w:r>
            <w:proofErr w:type="spellStart"/>
            <w:r w:rsidRPr="00B45304">
              <w:rPr>
                <w:b/>
                <w:bCs/>
                <w:sz w:val="15"/>
                <w:szCs w:val="15"/>
                <w:lang w:val="en-GB"/>
              </w:rPr>
              <w:t>emissions_diesel</w:t>
            </w:r>
            <w:proofErr w:type="spellEnd"/>
            <w:r w:rsidRPr="00B45304">
              <w:rPr>
                <w:b/>
                <w:bCs/>
                <w:sz w:val="15"/>
                <w:szCs w:val="15"/>
                <w:lang w:val="en-GB"/>
              </w:rPr>
              <w:t>/students (kg)</w:t>
            </w:r>
          </w:p>
        </w:tc>
        <w:tc>
          <w:tcPr>
            <w:tcW w:w="1134" w:type="dxa"/>
            <w:tcBorders>
              <w:top w:val="single" w:sz="4" w:space="0" w:color="auto"/>
              <w:bottom w:val="single" w:sz="4" w:space="0" w:color="auto"/>
            </w:tcBorders>
            <w:hideMark/>
          </w:tcPr>
          <w:p w14:paraId="57B1F7E7" w14:textId="77777777" w:rsidR="007D5A9B" w:rsidRPr="00B45304" w:rsidRDefault="007D5A9B" w:rsidP="00B45304">
            <w:pPr>
              <w:spacing w:line="276" w:lineRule="auto"/>
              <w:jc w:val="both"/>
              <w:rPr>
                <w:b/>
                <w:bCs/>
                <w:sz w:val="15"/>
                <w:szCs w:val="15"/>
                <w:lang w:val="en-GB"/>
              </w:rPr>
            </w:pPr>
            <w:r w:rsidRPr="00B45304">
              <w:rPr>
                <w:b/>
                <w:bCs/>
                <w:sz w:val="15"/>
                <w:szCs w:val="15"/>
                <w:lang w:val="en-GB"/>
              </w:rPr>
              <w:t>CO</w:t>
            </w:r>
            <w:r w:rsidRPr="00B45304">
              <w:rPr>
                <w:b/>
                <w:bCs/>
                <w:sz w:val="15"/>
                <w:szCs w:val="15"/>
                <w:vertAlign w:val="subscript"/>
                <w:lang w:val="en-GB"/>
              </w:rPr>
              <w:t>2</w:t>
            </w:r>
            <w:r w:rsidRPr="00B45304">
              <w:rPr>
                <w:b/>
                <w:bCs/>
                <w:sz w:val="15"/>
                <w:szCs w:val="15"/>
                <w:lang w:val="en-GB"/>
              </w:rPr>
              <w:t xml:space="preserve"> </w:t>
            </w:r>
            <w:proofErr w:type="spellStart"/>
            <w:r w:rsidRPr="00B45304">
              <w:rPr>
                <w:b/>
                <w:bCs/>
                <w:sz w:val="15"/>
                <w:szCs w:val="15"/>
                <w:lang w:val="en-GB"/>
              </w:rPr>
              <w:t>emmisions_hydrid</w:t>
            </w:r>
            <w:proofErr w:type="spellEnd"/>
            <w:r w:rsidRPr="00B45304">
              <w:rPr>
                <w:b/>
                <w:bCs/>
                <w:sz w:val="15"/>
                <w:szCs w:val="15"/>
                <w:lang w:val="en-GB"/>
              </w:rPr>
              <w:t>/students (kg)</w:t>
            </w:r>
          </w:p>
        </w:tc>
        <w:tc>
          <w:tcPr>
            <w:tcW w:w="1417" w:type="dxa"/>
            <w:tcBorders>
              <w:top w:val="single" w:sz="4" w:space="0" w:color="auto"/>
              <w:bottom w:val="single" w:sz="4" w:space="0" w:color="auto"/>
            </w:tcBorders>
            <w:hideMark/>
          </w:tcPr>
          <w:p w14:paraId="6180456A" w14:textId="0439FA82" w:rsidR="007D5A9B" w:rsidRPr="00B45304" w:rsidRDefault="007D5A9B" w:rsidP="00B45304">
            <w:pPr>
              <w:spacing w:line="276" w:lineRule="auto"/>
              <w:jc w:val="both"/>
              <w:rPr>
                <w:b/>
                <w:bCs/>
                <w:sz w:val="15"/>
                <w:szCs w:val="15"/>
                <w:lang w:val="en-GB"/>
              </w:rPr>
            </w:pPr>
            <w:r w:rsidRPr="00B45304">
              <w:rPr>
                <w:b/>
                <w:bCs/>
                <w:sz w:val="15"/>
                <w:szCs w:val="15"/>
                <w:lang w:val="en-GB"/>
              </w:rPr>
              <w:t>CO</w:t>
            </w:r>
            <w:r w:rsidRPr="00B45304">
              <w:rPr>
                <w:b/>
                <w:bCs/>
                <w:sz w:val="15"/>
                <w:szCs w:val="15"/>
                <w:vertAlign w:val="subscript"/>
                <w:lang w:val="en-GB"/>
              </w:rPr>
              <w:t>2</w:t>
            </w:r>
            <w:r w:rsidRPr="00B45304">
              <w:rPr>
                <w:b/>
                <w:bCs/>
                <w:sz w:val="15"/>
                <w:szCs w:val="15"/>
                <w:vertAlign w:val="superscript"/>
                <w:lang w:val="en-GB"/>
              </w:rPr>
              <w:t xml:space="preserve"> </w:t>
            </w:r>
            <w:proofErr w:type="spellStart"/>
            <w:r w:rsidRPr="00B45304">
              <w:rPr>
                <w:b/>
                <w:bCs/>
                <w:sz w:val="15"/>
                <w:szCs w:val="15"/>
                <w:lang w:val="en-GB"/>
              </w:rPr>
              <w:t>emmisions_</w:t>
            </w:r>
            <w:r w:rsidR="00851D77" w:rsidRPr="00B45304">
              <w:rPr>
                <w:b/>
                <w:bCs/>
                <w:sz w:val="15"/>
                <w:szCs w:val="15"/>
                <w:lang w:val="en-GB"/>
              </w:rPr>
              <w:t>LNG</w:t>
            </w:r>
            <w:proofErr w:type="spellEnd"/>
            <w:r w:rsidRPr="00B45304">
              <w:rPr>
                <w:b/>
                <w:bCs/>
                <w:sz w:val="15"/>
                <w:szCs w:val="15"/>
                <w:lang w:val="en-GB"/>
              </w:rPr>
              <w:t>/students (kg)</w:t>
            </w:r>
          </w:p>
        </w:tc>
      </w:tr>
      <w:tr w:rsidR="007D5A9B" w:rsidRPr="00B45304" w14:paraId="7129BC72" w14:textId="77777777" w:rsidTr="00714822">
        <w:trPr>
          <w:trHeight w:val="20"/>
        </w:trPr>
        <w:tc>
          <w:tcPr>
            <w:tcW w:w="950" w:type="dxa"/>
            <w:tcBorders>
              <w:top w:val="single" w:sz="4" w:space="0" w:color="auto"/>
            </w:tcBorders>
            <w:noWrap/>
            <w:hideMark/>
          </w:tcPr>
          <w:p w14:paraId="74309FF7" w14:textId="77777777" w:rsidR="007D5A9B" w:rsidRPr="00B45304" w:rsidRDefault="007D5A9B" w:rsidP="00B45304">
            <w:pPr>
              <w:spacing w:line="276" w:lineRule="auto"/>
              <w:jc w:val="both"/>
              <w:rPr>
                <w:sz w:val="15"/>
                <w:szCs w:val="15"/>
                <w:lang w:val="en-GB"/>
              </w:rPr>
            </w:pPr>
            <w:r w:rsidRPr="00B45304">
              <w:rPr>
                <w:sz w:val="15"/>
                <w:szCs w:val="15"/>
                <w:lang w:val="en-GB"/>
              </w:rPr>
              <w:t>Bari</w:t>
            </w:r>
          </w:p>
        </w:tc>
        <w:tc>
          <w:tcPr>
            <w:tcW w:w="759" w:type="dxa"/>
            <w:tcBorders>
              <w:top w:val="single" w:sz="4" w:space="0" w:color="auto"/>
            </w:tcBorders>
            <w:noWrap/>
            <w:hideMark/>
          </w:tcPr>
          <w:p w14:paraId="0875CBE2" w14:textId="00C96D43" w:rsidR="007D5A9B" w:rsidRPr="00B45304" w:rsidRDefault="007D5A9B" w:rsidP="00B45304">
            <w:pPr>
              <w:spacing w:line="276" w:lineRule="auto"/>
              <w:jc w:val="both"/>
              <w:rPr>
                <w:sz w:val="15"/>
                <w:szCs w:val="15"/>
                <w:lang w:val="en-GB"/>
              </w:rPr>
            </w:pPr>
            <w:r w:rsidRPr="00B45304">
              <w:rPr>
                <w:sz w:val="15"/>
                <w:szCs w:val="15"/>
                <w:lang w:val="en-GB"/>
              </w:rPr>
              <w:t>69</w:t>
            </w:r>
            <w:r w:rsidR="008A3DC4" w:rsidRPr="00B45304">
              <w:rPr>
                <w:sz w:val="15"/>
                <w:szCs w:val="15"/>
                <w:lang w:val="en-GB"/>
              </w:rPr>
              <w:t>.</w:t>
            </w:r>
            <w:r w:rsidRPr="00B45304">
              <w:rPr>
                <w:sz w:val="15"/>
                <w:szCs w:val="15"/>
                <w:lang w:val="en-GB"/>
              </w:rPr>
              <w:t>6</w:t>
            </w:r>
          </w:p>
        </w:tc>
        <w:tc>
          <w:tcPr>
            <w:tcW w:w="759" w:type="dxa"/>
            <w:tcBorders>
              <w:top w:val="single" w:sz="4" w:space="0" w:color="auto"/>
            </w:tcBorders>
            <w:noWrap/>
            <w:hideMark/>
          </w:tcPr>
          <w:p w14:paraId="2A1B480A" w14:textId="77777777" w:rsidR="007D5A9B" w:rsidRPr="00B45304" w:rsidRDefault="007D5A9B" w:rsidP="00B45304">
            <w:pPr>
              <w:spacing w:line="276" w:lineRule="auto"/>
              <w:jc w:val="both"/>
              <w:rPr>
                <w:sz w:val="15"/>
                <w:szCs w:val="15"/>
                <w:lang w:val="en-GB"/>
              </w:rPr>
            </w:pPr>
            <w:r w:rsidRPr="00B45304">
              <w:rPr>
                <w:sz w:val="15"/>
                <w:szCs w:val="15"/>
                <w:lang w:val="en-GB"/>
              </w:rPr>
              <w:t>2088</w:t>
            </w:r>
          </w:p>
        </w:tc>
        <w:tc>
          <w:tcPr>
            <w:tcW w:w="1360" w:type="dxa"/>
            <w:tcBorders>
              <w:top w:val="single" w:sz="4" w:space="0" w:color="auto"/>
            </w:tcBorders>
            <w:noWrap/>
            <w:hideMark/>
          </w:tcPr>
          <w:p w14:paraId="73A75E2E" w14:textId="595800E5" w:rsidR="007D5A9B" w:rsidRPr="00B45304" w:rsidRDefault="007D5A9B" w:rsidP="00B45304">
            <w:pPr>
              <w:spacing w:line="276" w:lineRule="auto"/>
              <w:ind w:right="471"/>
              <w:jc w:val="both"/>
              <w:rPr>
                <w:sz w:val="15"/>
                <w:szCs w:val="15"/>
                <w:lang w:val="en-GB"/>
              </w:rPr>
            </w:pPr>
            <w:r w:rsidRPr="00B45304">
              <w:rPr>
                <w:sz w:val="15"/>
                <w:szCs w:val="15"/>
                <w:lang w:val="en-GB"/>
              </w:rPr>
              <w:t>1</w:t>
            </w:r>
            <w:r w:rsidR="008A3DC4" w:rsidRPr="00B45304">
              <w:rPr>
                <w:sz w:val="15"/>
                <w:szCs w:val="15"/>
                <w:lang w:val="en-GB"/>
              </w:rPr>
              <w:t>,</w:t>
            </w:r>
            <w:r w:rsidRPr="00B45304">
              <w:rPr>
                <w:sz w:val="15"/>
                <w:szCs w:val="15"/>
                <w:lang w:val="en-GB"/>
              </w:rPr>
              <w:t>651</w:t>
            </w:r>
            <w:r w:rsidR="008A3DC4" w:rsidRPr="00B45304">
              <w:rPr>
                <w:sz w:val="15"/>
                <w:szCs w:val="15"/>
                <w:lang w:val="en-GB"/>
              </w:rPr>
              <w:t>.</w:t>
            </w:r>
            <w:r w:rsidRPr="00B45304">
              <w:rPr>
                <w:sz w:val="15"/>
                <w:szCs w:val="15"/>
                <w:lang w:val="en-GB"/>
              </w:rPr>
              <w:t>608</w:t>
            </w:r>
          </w:p>
        </w:tc>
        <w:tc>
          <w:tcPr>
            <w:tcW w:w="1129" w:type="dxa"/>
            <w:tcBorders>
              <w:top w:val="single" w:sz="4" w:space="0" w:color="auto"/>
            </w:tcBorders>
            <w:noWrap/>
            <w:hideMark/>
          </w:tcPr>
          <w:p w14:paraId="76D4ED8A" w14:textId="3980ECB0" w:rsidR="007D5A9B" w:rsidRPr="00B45304" w:rsidRDefault="007D5A9B" w:rsidP="00B45304">
            <w:pPr>
              <w:spacing w:line="276" w:lineRule="auto"/>
              <w:jc w:val="both"/>
              <w:rPr>
                <w:sz w:val="15"/>
                <w:szCs w:val="15"/>
                <w:lang w:val="en-GB"/>
              </w:rPr>
            </w:pPr>
            <w:r w:rsidRPr="00B45304">
              <w:rPr>
                <w:sz w:val="15"/>
                <w:szCs w:val="15"/>
                <w:lang w:val="en-GB"/>
              </w:rPr>
              <w:t>1</w:t>
            </w:r>
            <w:r w:rsidR="00714822" w:rsidRPr="00B45304">
              <w:rPr>
                <w:sz w:val="15"/>
                <w:szCs w:val="15"/>
                <w:lang w:val="en-GB"/>
              </w:rPr>
              <w:t>,</w:t>
            </w:r>
            <w:r w:rsidRPr="00B45304">
              <w:rPr>
                <w:sz w:val="15"/>
                <w:szCs w:val="15"/>
                <w:lang w:val="en-GB"/>
              </w:rPr>
              <w:t>666</w:t>
            </w:r>
            <w:r w:rsidR="00714822" w:rsidRPr="00B45304">
              <w:rPr>
                <w:sz w:val="15"/>
                <w:szCs w:val="15"/>
                <w:lang w:val="en-GB"/>
              </w:rPr>
              <w:t>.</w:t>
            </w:r>
            <w:r w:rsidRPr="00B45304">
              <w:rPr>
                <w:sz w:val="15"/>
                <w:szCs w:val="15"/>
                <w:lang w:val="en-GB"/>
              </w:rPr>
              <w:t>224</w:t>
            </w:r>
          </w:p>
        </w:tc>
        <w:tc>
          <w:tcPr>
            <w:tcW w:w="1134" w:type="dxa"/>
            <w:tcBorders>
              <w:top w:val="single" w:sz="4" w:space="0" w:color="auto"/>
            </w:tcBorders>
            <w:noWrap/>
            <w:hideMark/>
          </w:tcPr>
          <w:p w14:paraId="61A9B773" w14:textId="154B0FDC" w:rsidR="007D5A9B" w:rsidRPr="00B45304" w:rsidRDefault="007D5A9B" w:rsidP="00B45304">
            <w:pPr>
              <w:spacing w:line="276" w:lineRule="auto"/>
              <w:jc w:val="both"/>
              <w:rPr>
                <w:sz w:val="15"/>
                <w:szCs w:val="15"/>
                <w:lang w:val="en-GB"/>
              </w:rPr>
            </w:pPr>
            <w:r w:rsidRPr="00B45304">
              <w:rPr>
                <w:sz w:val="15"/>
                <w:szCs w:val="15"/>
                <w:lang w:val="en-GB"/>
              </w:rPr>
              <w:t>1</w:t>
            </w:r>
            <w:r w:rsidR="00714822" w:rsidRPr="00B45304">
              <w:rPr>
                <w:sz w:val="15"/>
                <w:szCs w:val="15"/>
                <w:lang w:val="en-GB"/>
              </w:rPr>
              <w:t>,</w:t>
            </w:r>
            <w:r w:rsidRPr="00B45304">
              <w:rPr>
                <w:sz w:val="15"/>
                <w:szCs w:val="15"/>
                <w:lang w:val="en-GB"/>
              </w:rPr>
              <w:t>300</w:t>
            </w:r>
            <w:r w:rsidR="00714822" w:rsidRPr="00B45304">
              <w:rPr>
                <w:sz w:val="15"/>
                <w:szCs w:val="15"/>
                <w:lang w:val="en-GB"/>
              </w:rPr>
              <w:t>.</w:t>
            </w:r>
            <w:r w:rsidRPr="00B45304">
              <w:rPr>
                <w:sz w:val="15"/>
                <w:szCs w:val="15"/>
                <w:lang w:val="en-GB"/>
              </w:rPr>
              <w:t>824</w:t>
            </w:r>
          </w:p>
        </w:tc>
        <w:tc>
          <w:tcPr>
            <w:tcW w:w="1417" w:type="dxa"/>
            <w:tcBorders>
              <w:top w:val="single" w:sz="4" w:space="0" w:color="auto"/>
            </w:tcBorders>
            <w:noWrap/>
            <w:hideMark/>
          </w:tcPr>
          <w:p w14:paraId="46EF9B68" w14:textId="1FF9B1CE" w:rsidR="007D5A9B" w:rsidRPr="00B45304" w:rsidRDefault="007D5A9B" w:rsidP="00B45304">
            <w:pPr>
              <w:spacing w:line="276" w:lineRule="auto"/>
              <w:jc w:val="both"/>
              <w:rPr>
                <w:sz w:val="15"/>
                <w:szCs w:val="15"/>
                <w:lang w:val="en-GB"/>
              </w:rPr>
            </w:pPr>
            <w:r w:rsidRPr="00B45304">
              <w:rPr>
                <w:sz w:val="15"/>
                <w:szCs w:val="15"/>
                <w:lang w:val="en-GB"/>
              </w:rPr>
              <w:t>1</w:t>
            </w:r>
            <w:r w:rsidR="00714822" w:rsidRPr="00B45304">
              <w:rPr>
                <w:sz w:val="15"/>
                <w:szCs w:val="15"/>
                <w:lang w:val="en-GB"/>
              </w:rPr>
              <w:t>,</w:t>
            </w:r>
            <w:r w:rsidRPr="00B45304">
              <w:rPr>
                <w:sz w:val="15"/>
                <w:szCs w:val="15"/>
                <w:lang w:val="en-GB"/>
              </w:rPr>
              <w:t>753</w:t>
            </w:r>
            <w:r w:rsidR="00714822" w:rsidRPr="00B45304">
              <w:rPr>
                <w:sz w:val="15"/>
                <w:szCs w:val="15"/>
                <w:lang w:val="en-GB"/>
              </w:rPr>
              <w:t>.</w:t>
            </w:r>
            <w:r w:rsidRPr="00B45304">
              <w:rPr>
                <w:sz w:val="15"/>
                <w:szCs w:val="15"/>
                <w:lang w:val="en-GB"/>
              </w:rPr>
              <w:t>92</w:t>
            </w:r>
            <w:r w:rsidR="00714822" w:rsidRPr="00B45304">
              <w:rPr>
                <w:sz w:val="15"/>
                <w:szCs w:val="15"/>
                <w:lang w:val="en-GB"/>
              </w:rPr>
              <w:t>0</w:t>
            </w:r>
          </w:p>
        </w:tc>
      </w:tr>
      <w:tr w:rsidR="007D5A9B" w:rsidRPr="00B45304" w14:paraId="10F78671" w14:textId="77777777" w:rsidTr="00714822">
        <w:trPr>
          <w:trHeight w:val="20"/>
        </w:trPr>
        <w:tc>
          <w:tcPr>
            <w:tcW w:w="950" w:type="dxa"/>
            <w:noWrap/>
            <w:hideMark/>
          </w:tcPr>
          <w:p w14:paraId="692F4F2F" w14:textId="77777777" w:rsidR="007D5A9B" w:rsidRPr="00B45304" w:rsidRDefault="007D5A9B" w:rsidP="00B45304">
            <w:pPr>
              <w:spacing w:line="276" w:lineRule="auto"/>
              <w:jc w:val="both"/>
              <w:rPr>
                <w:sz w:val="15"/>
                <w:szCs w:val="15"/>
                <w:lang w:val="en-GB"/>
              </w:rPr>
            </w:pPr>
            <w:r w:rsidRPr="00B45304">
              <w:rPr>
                <w:sz w:val="15"/>
                <w:szCs w:val="15"/>
                <w:lang w:val="en-GB"/>
              </w:rPr>
              <w:t>BAT</w:t>
            </w:r>
          </w:p>
        </w:tc>
        <w:tc>
          <w:tcPr>
            <w:tcW w:w="759" w:type="dxa"/>
            <w:noWrap/>
            <w:hideMark/>
          </w:tcPr>
          <w:p w14:paraId="56FD9BF5" w14:textId="791F4177" w:rsidR="007D5A9B" w:rsidRPr="00B45304" w:rsidRDefault="007D5A9B" w:rsidP="00B45304">
            <w:pPr>
              <w:spacing w:line="276" w:lineRule="auto"/>
              <w:jc w:val="both"/>
              <w:rPr>
                <w:sz w:val="15"/>
                <w:szCs w:val="15"/>
                <w:lang w:val="en-GB"/>
              </w:rPr>
            </w:pPr>
            <w:r w:rsidRPr="00B45304">
              <w:rPr>
                <w:sz w:val="15"/>
                <w:szCs w:val="15"/>
                <w:lang w:val="en-GB"/>
              </w:rPr>
              <w:t>11</w:t>
            </w:r>
            <w:r w:rsidR="008A3DC4" w:rsidRPr="00B45304">
              <w:rPr>
                <w:sz w:val="15"/>
                <w:szCs w:val="15"/>
                <w:lang w:val="en-GB"/>
              </w:rPr>
              <w:t>.</w:t>
            </w:r>
            <w:r w:rsidRPr="00B45304">
              <w:rPr>
                <w:sz w:val="15"/>
                <w:szCs w:val="15"/>
                <w:lang w:val="en-GB"/>
              </w:rPr>
              <w:t>6</w:t>
            </w:r>
          </w:p>
        </w:tc>
        <w:tc>
          <w:tcPr>
            <w:tcW w:w="759" w:type="dxa"/>
            <w:noWrap/>
            <w:hideMark/>
          </w:tcPr>
          <w:p w14:paraId="5A54F6B2" w14:textId="20C1E7C6"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348</w:t>
            </w:r>
          </w:p>
        </w:tc>
        <w:tc>
          <w:tcPr>
            <w:tcW w:w="1360" w:type="dxa"/>
            <w:noWrap/>
            <w:hideMark/>
          </w:tcPr>
          <w:p w14:paraId="0888EBB3" w14:textId="6937F7F4" w:rsidR="007D5A9B" w:rsidRPr="00B45304" w:rsidRDefault="007D5A9B" w:rsidP="00B45304">
            <w:pPr>
              <w:spacing w:line="276" w:lineRule="auto"/>
              <w:ind w:right="471"/>
              <w:jc w:val="both"/>
              <w:rPr>
                <w:sz w:val="15"/>
                <w:szCs w:val="15"/>
                <w:lang w:val="en-GB"/>
              </w:rPr>
            </w:pPr>
            <w:r w:rsidRPr="00B45304">
              <w:rPr>
                <w:sz w:val="15"/>
                <w:szCs w:val="15"/>
                <w:lang w:val="en-GB"/>
              </w:rPr>
              <w:t>5</w:t>
            </w:r>
            <w:r w:rsidR="008A3DC4" w:rsidRPr="00B45304">
              <w:rPr>
                <w:sz w:val="15"/>
                <w:szCs w:val="15"/>
                <w:lang w:val="en-GB"/>
              </w:rPr>
              <w:t>,</w:t>
            </w:r>
            <w:r w:rsidRPr="00B45304">
              <w:rPr>
                <w:sz w:val="15"/>
                <w:szCs w:val="15"/>
                <w:lang w:val="en-GB"/>
              </w:rPr>
              <w:t>112</w:t>
            </w:r>
            <w:r w:rsidR="008A3DC4" w:rsidRPr="00B45304">
              <w:rPr>
                <w:sz w:val="15"/>
                <w:szCs w:val="15"/>
                <w:lang w:val="en-GB"/>
              </w:rPr>
              <w:t>.</w:t>
            </w:r>
            <w:r w:rsidRPr="00B45304">
              <w:rPr>
                <w:sz w:val="15"/>
                <w:szCs w:val="15"/>
                <w:lang w:val="en-GB"/>
              </w:rPr>
              <w:t>12</w:t>
            </w:r>
            <w:r w:rsidR="008A3DC4" w:rsidRPr="00B45304">
              <w:rPr>
                <w:sz w:val="15"/>
                <w:szCs w:val="15"/>
                <w:lang w:val="en-GB"/>
              </w:rPr>
              <w:t>0</w:t>
            </w:r>
          </w:p>
        </w:tc>
        <w:tc>
          <w:tcPr>
            <w:tcW w:w="1129" w:type="dxa"/>
            <w:noWrap/>
            <w:hideMark/>
          </w:tcPr>
          <w:p w14:paraId="07C6EE20" w14:textId="0D5835F5" w:rsidR="007D5A9B" w:rsidRPr="00B45304" w:rsidRDefault="007D5A9B" w:rsidP="00B45304">
            <w:pPr>
              <w:spacing w:line="276" w:lineRule="auto"/>
              <w:jc w:val="both"/>
              <w:rPr>
                <w:sz w:val="15"/>
                <w:szCs w:val="15"/>
                <w:lang w:val="en-GB"/>
              </w:rPr>
            </w:pPr>
            <w:r w:rsidRPr="00B45304">
              <w:rPr>
                <w:sz w:val="15"/>
                <w:szCs w:val="15"/>
                <w:lang w:val="en-GB"/>
              </w:rPr>
              <w:t>5</w:t>
            </w:r>
            <w:r w:rsidR="00714822" w:rsidRPr="00B45304">
              <w:rPr>
                <w:sz w:val="15"/>
                <w:szCs w:val="15"/>
                <w:lang w:val="en-GB"/>
              </w:rPr>
              <w:t>,</w:t>
            </w:r>
            <w:r w:rsidRPr="00B45304">
              <w:rPr>
                <w:sz w:val="15"/>
                <w:szCs w:val="15"/>
                <w:lang w:val="en-GB"/>
              </w:rPr>
              <w:t>157</w:t>
            </w:r>
            <w:r w:rsidR="00714822" w:rsidRPr="00B45304">
              <w:rPr>
                <w:sz w:val="15"/>
                <w:szCs w:val="15"/>
                <w:lang w:val="en-GB"/>
              </w:rPr>
              <w:t>.</w:t>
            </w:r>
            <w:r w:rsidRPr="00B45304">
              <w:rPr>
                <w:sz w:val="15"/>
                <w:szCs w:val="15"/>
                <w:lang w:val="en-GB"/>
              </w:rPr>
              <w:t>36</w:t>
            </w:r>
            <w:r w:rsidR="00714822" w:rsidRPr="00B45304">
              <w:rPr>
                <w:sz w:val="15"/>
                <w:szCs w:val="15"/>
                <w:lang w:val="en-GB"/>
              </w:rPr>
              <w:t>0</w:t>
            </w:r>
          </w:p>
        </w:tc>
        <w:tc>
          <w:tcPr>
            <w:tcW w:w="1134" w:type="dxa"/>
            <w:noWrap/>
            <w:hideMark/>
          </w:tcPr>
          <w:p w14:paraId="75A9E8A9" w14:textId="1B91DC22" w:rsidR="007D5A9B" w:rsidRPr="00B45304" w:rsidRDefault="007D5A9B" w:rsidP="00B45304">
            <w:pPr>
              <w:spacing w:line="276" w:lineRule="auto"/>
              <w:jc w:val="both"/>
              <w:rPr>
                <w:sz w:val="15"/>
                <w:szCs w:val="15"/>
                <w:lang w:val="en-GB"/>
              </w:rPr>
            </w:pPr>
            <w:r w:rsidRPr="00B45304">
              <w:rPr>
                <w:sz w:val="15"/>
                <w:szCs w:val="15"/>
                <w:lang w:val="en-GB"/>
              </w:rPr>
              <w:t>4</w:t>
            </w:r>
            <w:r w:rsidR="00714822" w:rsidRPr="00B45304">
              <w:rPr>
                <w:sz w:val="15"/>
                <w:szCs w:val="15"/>
                <w:lang w:val="en-GB"/>
              </w:rPr>
              <w:t>,</w:t>
            </w:r>
            <w:r w:rsidRPr="00B45304">
              <w:rPr>
                <w:sz w:val="15"/>
                <w:szCs w:val="15"/>
                <w:lang w:val="en-GB"/>
              </w:rPr>
              <w:t>026</w:t>
            </w:r>
            <w:r w:rsidR="00714822" w:rsidRPr="00B45304">
              <w:rPr>
                <w:sz w:val="15"/>
                <w:szCs w:val="15"/>
                <w:lang w:val="en-GB"/>
              </w:rPr>
              <w:t>.</w:t>
            </w:r>
            <w:r w:rsidRPr="00B45304">
              <w:rPr>
                <w:sz w:val="15"/>
                <w:szCs w:val="15"/>
                <w:lang w:val="en-GB"/>
              </w:rPr>
              <w:t>36</w:t>
            </w:r>
            <w:r w:rsidR="00714822" w:rsidRPr="00B45304">
              <w:rPr>
                <w:sz w:val="15"/>
                <w:szCs w:val="15"/>
                <w:lang w:val="en-GB"/>
              </w:rPr>
              <w:t>0</w:t>
            </w:r>
          </w:p>
        </w:tc>
        <w:tc>
          <w:tcPr>
            <w:tcW w:w="1417" w:type="dxa"/>
            <w:noWrap/>
            <w:hideMark/>
          </w:tcPr>
          <w:p w14:paraId="124F8D97" w14:textId="086EDBFA" w:rsidR="007D5A9B" w:rsidRPr="00B45304" w:rsidRDefault="007D5A9B" w:rsidP="00B45304">
            <w:pPr>
              <w:spacing w:line="276" w:lineRule="auto"/>
              <w:jc w:val="both"/>
              <w:rPr>
                <w:sz w:val="15"/>
                <w:szCs w:val="15"/>
                <w:lang w:val="en-GB"/>
              </w:rPr>
            </w:pPr>
            <w:r w:rsidRPr="00B45304">
              <w:rPr>
                <w:sz w:val="15"/>
                <w:szCs w:val="15"/>
                <w:lang w:val="en-GB"/>
              </w:rPr>
              <w:t>5</w:t>
            </w:r>
            <w:r w:rsidR="00714822" w:rsidRPr="00B45304">
              <w:rPr>
                <w:sz w:val="15"/>
                <w:szCs w:val="15"/>
                <w:lang w:val="en-GB"/>
              </w:rPr>
              <w:t>,</w:t>
            </w:r>
            <w:r w:rsidRPr="00B45304">
              <w:rPr>
                <w:sz w:val="15"/>
                <w:szCs w:val="15"/>
                <w:lang w:val="en-GB"/>
              </w:rPr>
              <w:t>428</w:t>
            </w:r>
            <w:r w:rsidR="00714822" w:rsidRPr="00B45304">
              <w:rPr>
                <w:sz w:val="15"/>
                <w:szCs w:val="15"/>
                <w:lang w:val="en-GB"/>
              </w:rPr>
              <w:t>.</w:t>
            </w:r>
            <w:r w:rsidRPr="00B45304">
              <w:rPr>
                <w:sz w:val="15"/>
                <w:szCs w:val="15"/>
                <w:lang w:val="en-GB"/>
              </w:rPr>
              <w:t>8</w:t>
            </w:r>
            <w:r w:rsidR="00714822" w:rsidRPr="00B45304">
              <w:rPr>
                <w:sz w:val="15"/>
                <w:szCs w:val="15"/>
                <w:lang w:val="en-GB"/>
              </w:rPr>
              <w:t>00</w:t>
            </w:r>
          </w:p>
        </w:tc>
      </w:tr>
      <w:tr w:rsidR="007D5A9B" w:rsidRPr="00B45304" w14:paraId="064D90A9" w14:textId="77777777" w:rsidTr="00714822">
        <w:trPr>
          <w:trHeight w:val="20"/>
        </w:trPr>
        <w:tc>
          <w:tcPr>
            <w:tcW w:w="950" w:type="dxa"/>
            <w:noWrap/>
            <w:hideMark/>
          </w:tcPr>
          <w:p w14:paraId="02ED5374" w14:textId="77777777" w:rsidR="007D5A9B" w:rsidRPr="00B45304" w:rsidRDefault="007D5A9B" w:rsidP="00B45304">
            <w:pPr>
              <w:spacing w:line="276" w:lineRule="auto"/>
              <w:jc w:val="both"/>
              <w:rPr>
                <w:sz w:val="15"/>
                <w:szCs w:val="15"/>
                <w:lang w:val="en-GB"/>
              </w:rPr>
            </w:pPr>
            <w:r w:rsidRPr="00B45304">
              <w:rPr>
                <w:sz w:val="15"/>
                <w:szCs w:val="15"/>
                <w:lang w:val="en-GB"/>
              </w:rPr>
              <w:t>Taranto</w:t>
            </w:r>
          </w:p>
        </w:tc>
        <w:tc>
          <w:tcPr>
            <w:tcW w:w="759" w:type="dxa"/>
            <w:noWrap/>
            <w:hideMark/>
          </w:tcPr>
          <w:p w14:paraId="65A737AB" w14:textId="34602322"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5</w:t>
            </w:r>
            <w:r w:rsidR="008A3DC4" w:rsidRPr="00B45304">
              <w:rPr>
                <w:sz w:val="15"/>
                <w:szCs w:val="15"/>
                <w:lang w:val="en-GB"/>
              </w:rPr>
              <w:t>.</w:t>
            </w:r>
            <w:r w:rsidR="007D5A9B" w:rsidRPr="00B45304">
              <w:rPr>
                <w:sz w:val="15"/>
                <w:szCs w:val="15"/>
                <w:lang w:val="en-GB"/>
              </w:rPr>
              <w:t>7</w:t>
            </w:r>
          </w:p>
        </w:tc>
        <w:tc>
          <w:tcPr>
            <w:tcW w:w="759" w:type="dxa"/>
            <w:noWrap/>
            <w:hideMark/>
          </w:tcPr>
          <w:p w14:paraId="5B0F939B" w14:textId="7FC86265"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171</w:t>
            </w:r>
          </w:p>
        </w:tc>
        <w:tc>
          <w:tcPr>
            <w:tcW w:w="1360" w:type="dxa"/>
            <w:noWrap/>
            <w:hideMark/>
          </w:tcPr>
          <w:p w14:paraId="7F9E9525" w14:textId="2330433A" w:rsidR="007D5A9B" w:rsidRPr="00B45304" w:rsidRDefault="007D5A9B" w:rsidP="00B45304">
            <w:pPr>
              <w:spacing w:line="276" w:lineRule="auto"/>
              <w:ind w:right="471"/>
              <w:jc w:val="both"/>
              <w:rPr>
                <w:sz w:val="15"/>
                <w:szCs w:val="15"/>
                <w:lang w:val="en-GB"/>
              </w:rPr>
            </w:pPr>
            <w:r w:rsidRPr="00B45304">
              <w:rPr>
                <w:sz w:val="15"/>
                <w:szCs w:val="15"/>
                <w:lang w:val="en-GB"/>
              </w:rPr>
              <w:t>3</w:t>
            </w:r>
            <w:r w:rsidR="008A3DC4" w:rsidRPr="00B45304">
              <w:rPr>
                <w:sz w:val="15"/>
                <w:szCs w:val="15"/>
                <w:lang w:val="en-GB"/>
              </w:rPr>
              <w:t>,</w:t>
            </w:r>
            <w:r w:rsidRPr="00B45304">
              <w:rPr>
                <w:sz w:val="15"/>
                <w:szCs w:val="15"/>
                <w:lang w:val="en-GB"/>
              </w:rPr>
              <w:t>284</w:t>
            </w:r>
            <w:r w:rsidR="008A3DC4" w:rsidRPr="00B45304">
              <w:rPr>
                <w:sz w:val="15"/>
                <w:szCs w:val="15"/>
                <w:lang w:val="en-GB"/>
              </w:rPr>
              <w:t>.</w:t>
            </w:r>
            <w:r w:rsidRPr="00B45304">
              <w:rPr>
                <w:sz w:val="15"/>
                <w:szCs w:val="15"/>
                <w:lang w:val="en-GB"/>
              </w:rPr>
              <w:t>91</w:t>
            </w:r>
            <w:r w:rsidR="008A3DC4" w:rsidRPr="00B45304">
              <w:rPr>
                <w:sz w:val="15"/>
                <w:szCs w:val="15"/>
                <w:lang w:val="en-GB"/>
              </w:rPr>
              <w:t>0</w:t>
            </w:r>
          </w:p>
        </w:tc>
        <w:tc>
          <w:tcPr>
            <w:tcW w:w="1129" w:type="dxa"/>
            <w:noWrap/>
            <w:hideMark/>
          </w:tcPr>
          <w:p w14:paraId="01CCA59B" w14:textId="0C1ABFF0" w:rsidR="007D5A9B" w:rsidRPr="00B45304" w:rsidRDefault="007D5A9B" w:rsidP="00B45304">
            <w:pPr>
              <w:spacing w:line="276" w:lineRule="auto"/>
              <w:jc w:val="both"/>
              <w:rPr>
                <w:sz w:val="15"/>
                <w:szCs w:val="15"/>
                <w:lang w:val="en-GB"/>
              </w:rPr>
            </w:pPr>
            <w:r w:rsidRPr="00B45304">
              <w:rPr>
                <w:sz w:val="15"/>
                <w:szCs w:val="15"/>
                <w:lang w:val="en-GB"/>
              </w:rPr>
              <w:t>3</w:t>
            </w:r>
            <w:r w:rsidR="00714822" w:rsidRPr="00B45304">
              <w:rPr>
                <w:sz w:val="15"/>
                <w:szCs w:val="15"/>
                <w:lang w:val="en-GB"/>
              </w:rPr>
              <w:t>,</w:t>
            </w:r>
            <w:r w:rsidRPr="00B45304">
              <w:rPr>
                <w:sz w:val="15"/>
                <w:szCs w:val="15"/>
                <w:lang w:val="en-GB"/>
              </w:rPr>
              <w:t>313</w:t>
            </w:r>
            <w:r w:rsidR="00714822" w:rsidRPr="00B45304">
              <w:rPr>
                <w:sz w:val="15"/>
                <w:szCs w:val="15"/>
                <w:lang w:val="en-GB"/>
              </w:rPr>
              <w:t>.</w:t>
            </w:r>
            <w:r w:rsidRPr="00B45304">
              <w:rPr>
                <w:sz w:val="15"/>
                <w:szCs w:val="15"/>
                <w:lang w:val="en-GB"/>
              </w:rPr>
              <w:t>98</w:t>
            </w:r>
            <w:r w:rsidR="00714822" w:rsidRPr="00B45304">
              <w:rPr>
                <w:sz w:val="15"/>
                <w:szCs w:val="15"/>
                <w:lang w:val="en-GB"/>
              </w:rPr>
              <w:t>0</w:t>
            </w:r>
          </w:p>
        </w:tc>
        <w:tc>
          <w:tcPr>
            <w:tcW w:w="1134" w:type="dxa"/>
            <w:noWrap/>
            <w:hideMark/>
          </w:tcPr>
          <w:p w14:paraId="22F9D3D9" w14:textId="45B6B55B" w:rsidR="007D5A9B" w:rsidRPr="00B45304" w:rsidRDefault="007D5A9B" w:rsidP="00B45304">
            <w:pPr>
              <w:spacing w:line="276" w:lineRule="auto"/>
              <w:jc w:val="both"/>
              <w:rPr>
                <w:sz w:val="15"/>
                <w:szCs w:val="15"/>
                <w:lang w:val="en-GB"/>
              </w:rPr>
            </w:pPr>
            <w:r w:rsidRPr="00B45304">
              <w:rPr>
                <w:sz w:val="15"/>
                <w:szCs w:val="15"/>
                <w:lang w:val="en-GB"/>
              </w:rPr>
              <w:t>2</w:t>
            </w:r>
            <w:r w:rsidR="00714822" w:rsidRPr="00B45304">
              <w:rPr>
                <w:sz w:val="15"/>
                <w:szCs w:val="15"/>
                <w:lang w:val="en-GB"/>
              </w:rPr>
              <w:t>,</w:t>
            </w:r>
            <w:r w:rsidRPr="00B45304">
              <w:rPr>
                <w:sz w:val="15"/>
                <w:szCs w:val="15"/>
                <w:lang w:val="en-GB"/>
              </w:rPr>
              <w:t>587</w:t>
            </w:r>
            <w:r w:rsidR="00714822" w:rsidRPr="00B45304">
              <w:rPr>
                <w:sz w:val="15"/>
                <w:szCs w:val="15"/>
                <w:lang w:val="en-GB"/>
              </w:rPr>
              <w:t>.</w:t>
            </w:r>
            <w:r w:rsidRPr="00B45304">
              <w:rPr>
                <w:sz w:val="15"/>
                <w:szCs w:val="15"/>
                <w:lang w:val="en-GB"/>
              </w:rPr>
              <w:t>23</w:t>
            </w:r>
            <w:r w:rsidR="00714822" w:rsidRPr="00B45304">
              <w:rPr>
                <w:sz w:val="15"/>
                <w:szCs w:val="15"/>
                <w:lang w:val="en-GB"/>
              </w:rPr>
              <w:t>0</w:t>
            </w:r>
          </w:p>
        </w:tc>
        <w:tc>
          <w:tcPr>
            <w:tcW w:w="1417" w:type="dxa"/>
            <w:noWrap/>
            <w:hideMark/>
          </w:tcPr>
          <w:p w14:paraId="6540E993" w14:textId="097B4855" w:rsidR="007D5A9B" w:rsidRPr="00B45304" w:rsidRDefault="007D5A9B" w:rsidP="00B45304">
            <w:pPr>
              <w:spacing w:line="276" w:lineRule="auto"/>
              <w:jc w:val="both"/>
              <w:rPr>
                <w:sz w:val="15"/>
                <w:szCs w:val="15"/>
                <w:lang w:val="en-GB"/>
              </w:rPr>
            </w:pPr>
            <w:r w:rsidRPr="00B45304">
              <w:rPr>
                <w:sz w:val="15"/>
                <w:szCs w:val="15"/>
                <w:lang w:val="en-GB"/>
              </w:rPr>
              <w:t>3</w:t>
            </w:r>
            <w:r w:rsidR="00714822" w:rsidRPr="00B45304">
              <w:rPr>
                <w:sz w:val="15"/>
                <w:szCs w:val="15"/>
                <w:lang w:val="en-GB"/>
              </w:rPr>
              <w:t>,</w:t>
            </w:r>
            <w:r w:rsidRPr="00B45304">
              <w:rPr>
                <w:sz w:val="15"/>
                <w:szCs w:val="15"/>
                <w:lang w:val="en-GB"/>
              </w:rPr>
              <w:t>488</w:t>
            </w:r>
            <w:r w:rsidR="00714822" w:rsidRPr="00B45304">
              <w:rPr>
                <w:sz w:val="15"/>
                <w:szCs w:val="15"/>
                <w:lang w:val="en-GB"/>
              </w:rPr>
              <w:t>.</w:t>
            </w:r>
            <w:r w:rsidRPr="00B45304">
              <w:rPr>
                <w:sz w:val="15"/>
                <w:szCs w:val="15"/>
                <w:lang w:val="en-GB"/>
              </w:rPr>
              <w:t>4</w:t>
            </w:r>
            <w:r w:rsidR="00714822" w:rsidRPr="00B45304">
              <w:rPr>
                <w:sz w:val="15"/>
                <w:szCs w:val="15"/>
                <w:lang w:val="en-GB"/>
              </w:rPr>
              <w:t>00</w:t>
            </w:r>
          </w:p>
        </w:tc>
      </w:tr>
      <w:tr w:rsidR="007D5A9B" w:rsidRPr="00B45304" w14:paraId="360F4751" w14:textId="77777777" w:rsidTr="00714822">
        <w:trPr>
          <w:trHeight w:val="20"/>
        </w:trPr>
        <w:tc>
          <w:tcPr>
            <w:tcW w:w="950" w:type="dxa"/>
            <w:noWrap/>
            <w:hideMark/>
          </w:tcPr>
          <w:p w14:paraId="68B35838" w14:textId="77777777" w:rsidR="007D5A9B" w:rsidRPr="00B45304" w:rsidRDefault="007D5A9B" w:rsidP="00B45304">
            <w:pPr>
              <w:spacing w:line="276" w:lineRule="auto"/>
              <w:jc w:val="both"/>
              <w:rPr>
                <w:sz w:val="15"/>
                <w:szCs w:val="15"/>
                <w:lang w:val="en-GB"/>
              </w:rPr>
            </w:pPr>
            <w:r w:rsidRPr="00B45304">
              <w:rPr>
                <w:sz w:val="15"/>
                <w:szCs w:val="15"/>
                <w:lang w:val="en-GB"/>
              </w:rPr>
              <w:t>Brindisi</w:t>
            </w:r>
          </w:p>
        </w:tc>
        <w:tc>
          <w:tcPr>
            <w:tcW w:w="759" w:type="dxa"/>
            <w:noWrap/>
            <w:hideMark/>
          </w:tcPr>
          <w:p w14:paraId="434C385B" w14:textId="5019D702"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5</w:t>
            </w:r>
            <w:r w:rsidR="008A3DC4" w:rsidRPr="00B45304">
              <w:rPr>
                <w:sz w:val="15"/>
                <w:szCs w:val="15"/>
                <w:lang w:val="en-GB"/>
              </w:rPr>
              <w:t>.</w:t>
            </w:r>
            <w:r w:rsidR="007D5A9B" w:rsidRPr="00B45304">
              <w:rPr>
                <w:sz w:val="15"/>
                <w:szCs w:val="15"/>
                <w:lang w:val="en-GB"/>
              </w:rPr>
              <w:t>1</w:t>
            </w:r>
          </w:p>
        </w:tc>
        <w:tc>
          <w:tcPr>
            <w:tcW w:w="759" w:type="dxa"/>
            <w:noWrap/>
            <w:hideMark/>
          </w:tcPr>
          <w:p w14:paraId="5E1AD6FE" w14:textId="01878CF2"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153</w:t>
            </w:r>
          </w:p>
        </w:tc>
        <w:tc>
          <w:tcPr>
            <w:tcW w:w="1360" w:type="dxa"/>
            <w:noWrap/>
            <w:hideMark/>
          </w:tcPr>
          <w:p w14:paraId="46B6C99B" w14:textId="67A6131C" w:rsidR="007D5A9B" w:rsidRPr="00B45304" w:rsidRDefault="007D5A9B" w:rsidP="00B45304">
            <w:pPr>
              <w:spacing w:line="276" w:lineRule="auto"/>
              <w:ind w:right="471"/>
              <w:jc w:val="both"/>
              <w:rPr>
                <w:sz w:val="15"/>
                <w:szCs w:val="15"/>
                <w:lang w:val="en-GB"/>
              </w:rPr>
            </w:pPr>
            <w:r w:rsidRPr="00B45304">
              <w:rPr>
                <w:sz w:val="15"/>
                <w:szCs w:val="15"/>
                <w:lang w:val="en-GB"/>
              </w:rPr>
              <w:t>4</w:t>
            </w:r>
            <w:r w:rsidR="008A3DC4" w:rsidRPr="00B45304">
              <w:rPr>
                <w:sz w:val="15"/>
                <w:szCs w:val="15"/>
                <w:lang w:val="en-GB"/>
              </w:rPr>
              <w:t>,</w:t>
            </w:r>
            <w:r w:rsidRPr="00B45304">
              <w:rPr>
                <w:sz w:val="15"/>
                <w:szCs w:val="15"/>
                <w:lang w:val="en-GB"/>
              </w:rPr>
              <w:t>183</w:t>
            </w:r>
            <w:r w:rsidR="008A3DC4" w:rsidRPr="00B45304">
              <w:rPr>
                <w:sz w:val="15"/>
                <w:szCs w:val="15"/>
                <w:lang w:val="en-GB"/>
              </w:rPr>
              <w:t>.</w:t>
            </w:r>
            <w:r w:rsidRPr="00B45304">
              <w:rPr>
                <w:sz w:val="15"/>
                <w:szCs w:val="15"/>
                <w:lang w:val="en-GB"/>
              </w:rPr>
              <w:t>938</w:t>
            </w:r>
          </w:p>
        </w:tc>
        <w:tc>
          <w:tcPr>
            <w:tcW w:w="1129" w:type="dxa"/>
            <w:noWrap/>
            <w:hideMark/>
          </w:tcPr>
          <w:p w14:paraId="6D611865" w14:textId="40D9DC28" w:rsidR="007D5A9B" w:rsidRPr="00B45304" w:rsidRDefault="007D5A9B" w:rsidP="00B45304">
            <w:pPr>
              <w:spacing w:line="276" w:lineRule="auto"/>
              <w:jc w:val="both"/>
              <w:rPr>
                <w:sz w:val="15"/>
                <w:szCs w:val="15"/>
                <w:lang w:val="en-GB"/>
              </w:rPr>
            </w:pPr>
            <w:r w:rsidRPr="00B45304">
              <w:rPr>
                <w:sz w:val="15"/>
                <w:szCs w:val="15"/>
                <w:lang w:val="en-GB"/>
              </w:rPr>
              <w:t>4</w:t>
            </w:r>
            <w:r w:rsidR="00714822" w:rsidRPr="00B45304">
              <w:rPr>
                <w:sz w:val="15"/>
                <w:szCs w:val="15"/>
                <w:lang w:val="en-GB"/>
              </w:rPr>
              <w:t>,</w:t>
            </w:r>
            <w:r w:rsidRPr="00B45304">
              <w:rPr>
                <w:sz w:val="15"/>
                <w:szCs w:val="15"/>
                <w:lang w:val="en-GB"/>
              </w:rPr>
              <w:t>220</w:t>
            </w:r>
            <w:r w:rsidR="00714822" w:rsidRPr="00B45304">
              <w:rPr>
                <w:sz w:val="15"/>
                <w:szCs w:val="15"/>
                <w:lang w:val="en-GB"/>
              </w:rPr>
              <w:t>.</w:t>
            </w:r>
            <w:r w:rsidRPr="00B45304">
              <w:rPr>
                <w:sz w:val="15"/>
                <w:szCs w:val="15"/>
                <w:lang w:val="en-GB"/>
              </w:rPr>
              <w:t>964</w:t>
            </w:r>
          </w:p>
        </w:tc>
        <w:tc>
          <w:tcPr>
            <w:tcW w:w="1134" w:type="dxa"/>
            <w:noWrap/>
            <w:hideMark/>
          </w:tcPr>
          <w:p w14:paraId="40F1D9C5" w14:textId="780276DA" w:rsidR="007D5A9B" w:rsidRPr="00B45304" w:rsidRDefault="007D5A9B" w:rsidP="00B45304">
            <w:pPr>
              <w:spacing w:line="276" w:lineRule="auto"/>
              <w:jc w:val="both"/>
              <w:rPr>
                <w:sz w:val="15"/>
                <w:szCs w:val="15"/>
                <w:lang w:val="en-GB"/>
              </w:rPr>
            </w:pPr>
            <w:r w:rsidRPr="00B45304">
              <w:rPr>
                <w:sz w:val="15"/>
                <w:szCs w:val="15"/>
                <w:lang w:val="en-GB"/>
              </w:rPr>
              <w:t>3</w:t>
            </w:r>
            <w:r w:rsidR="00714822" w:rsidRPr="00B45304">
              <w:rPr>
                <w:sz w:val="15"/>
                <w:szCs w:val="15"/>
                <w:lang w:val="en-GB"/>
              </w:rPr>
              <w:t>,</w:t>
            </w:r>
            <w:r w:rsidRPr="00B45304">
              <w:rPr>
                <w:sz w:val="15"/>
                <w:szCs w:val="15"/>
                <w:lang w:val="en-GB"/>
              </w:rPr>
              <w:t>295</w:t>
            </w:r>
            <w:r w:rsidR="00714822" w:rsidRPr="00B45304">
              <w:rPr>
                <w:sz w:val="15"/>
                <w:szCs w:val="15"/>
                <w:lang w:val="en-GB"/>
              </w:rPr>
              <w:t>.</w:t>
            </w:r>
            <w:r w:rsidRPr="00B45304">
              <w:rPr>
                <w:sz w:val="15"/>
                <w:szCs w:val="15"/>
                <w:lang w:val="en-GB"/>
              </w:rPr>
              <w:t>314</w:t>
            </w:r>
          </w:p>
        </w:tc>
        <w:tc>
          <w:tcPr>
            <w:tcW w:w="1417" w:type="dxa"/>
            <w:noWrap/>
            <w:hideMark/>
          </w:tcPr>
          <w:p w14:paraId="193C36CE" w14:textId="51562DB8" w:rsidR="007D5A9B" w:rsidRPr="00B45304" w:rsidRDefault="007D5A9B" w:rsidP="00B45304">
            <w:pPr>
              <w:spacing w:line="276" w:lineRule="auto"/>
              <w:jc w:val="both"/>
              <w:rPr>
                <w:sz w:val="15"/>
                <w:szCs w:val="15"/>
                <w:lang w:val="en-GB"/>
              </w:rPr>
            </w:pPr>
            <w:r w:rsidRPr="00B45304">
              <w:rPr>
                <w:sz w:val="15"/>
                <w:szCs w:val="15"/>
                <w:lang w:val="en-GB"/>
              </w:rPr>
              <w:t>4</w:t>
            </w:r>
            <w:r w:rsidR="00714822" w:rsidRPr="00B45304">
              <w:rPr>
                <w:sz w:val="15"/>
                <w:szCs w:val="15"/>
                <w:lang w:val="en-GB"/>
              </w:rPr>
              <w:t>,</w:t>
            </w:r>
            <w:r w:rsidRPr="00B45304">
              <w:rPr>
                <w:sz w:val="15"/>
                <w:szCs w:val="15"/>
                <w:lang w:val="en-GB"/>
              </w:rPr>
              <w:t>443</w:t>
            </w:r>
            <w:r w:rsidR="00714822" w:rsidRPr="00B45304">
              <w:rPr>
                <w:sz w:val="15"/>
                <w:szCs w:val="15"/>
                <w:lang w:val="en-GB"/>
              </w:rPr>
              <w:t>.</w:t>
            </w:r>
            <w:r w:rsidRPr="00B45304">
              <w:rPr>
                <w:sz w:val="15"/>
                <w:szCs w:val="15"/>
                <w:lang w:val="en-GB"/>
              </w:rPr>
              <w:t>12</w:t>
            </w:r>
            <w:r w:rsidR="00714822" w:rsidRPr="00B45304">
              <w:rPr>
                <w:sz w:val="15"/>
                <w:szCs w:val="15"/>
                <w:lang w:val="en-GB"/>
              </w:rPr>
              <w:t>0</w:t>
            </w:r>
          </w:p>
        </w:tc>
      </w:tr>
      <w:tr w:rsidR="007D5A9B" w:rsidRPr="00B45304" w14:paraId="6475811A" w14:textId="77777777" w:rsidTr="00714822">
        <w:trPr>
          <w:trHeight w:val="20"/>
        </w:trPr>
        <w:tc>
          <w:tcPr>
            <w:tcW w:w="950" w:type="dxa"/>
            <w:noWrap/>
            <w:hideMark/>
          </w:tcPr>
          <w:p w14:paraId="032FB709" w14:textId="77777777" w:rsidR="007D5A9B" w:rsidRPr="00B45304" w:rsidRDefault="007D5A9B" w:rsidP="00B45304">
            <w:pPr>
              <w:spacing w:line="276" w:lineRule="auto"/>
              <w:jc w:val="both"/>
              <w:rPr>
                <w:sz w:val="15"/>
                <w:szCs w:val="15"/>
                <w:lang w:val="en-GB"/>
              </w:rPr>
            </w:pPr>
            <w:r w:rsidRPr="00B45304">
              <w:rPr>
                <w:sz w:val="15"/>
                <w:szCs w:val="15"/>
                <w:lang w:val="en-GB"/>
              </w:rPr>
              <w:t>Basilicata</w:t>
            </w:r>
          </w:p>
        </w:tc>
        <w:tc>
          <w:tcPr>
            <w:tcW w:w="759" w:type="dxa"/>
            <w:noWrap/>
            <w:hideMark/>
          </w:tcPr>
          <w:p w14:paraId="588D881E" w14:textId="4405242D"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5</w:t>
            </w:r>
            <w:r w:rsidR="008A3DC4" w:rsidRPr="00B45304">
              <w:rPr>
                <w:sz w:val="15"/>
                <w:szCs w:val="15"/>
                <w:lang w:val="en-GB"/>
              </w:rPr>
              <w:t>.</w:t>
            </w:r>
            <w:r w:rsidR="007D5A9B" w:rsidRPr="00B45304">
              <w:rPr>
                <w:sz w:val="15"/>
                <w:szCs w:val="15"/>
                <w:lang w:val="en-GB"/>
              </w:rPr>
              <w:t>1</w:t>
            </w:r>
          </w:p>
        </w:tc>
        <w:tc>
          <w:tcPr>
            <w:tcW w:w="759" w:type="dxa"/>
            <w:noWrap/>
            <w:hideMark/>
          </w:tcPr>
          <w:p w14:paraId="48ABDB6A" w14:textId="7ADF8EEB"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153</w:t>
            </w:r>
          </w:p>
        </w:tc>
        <w:tc>
          <w:tcPr>
            <w:tcW w:w="1360" w:type="dxa"/>
            <w:noWrap/>
            <w:hideMark/>
          </w:tcPr>
          <w:p w14:paraId="040D4D4D" w14:textId="691F6F80" w:rsidR="007D5A9B" w:rsidRPr="00B45304" w:rsidRDefault="007D5A9B" w:rsidP="00B45304">
            <w:pPr>
              <w:spacing w:line="276" w:lineRule="auto"/>
              <w:ind w:right="471"/>
              <w:jc w:val="both"/>
              <w:rPr>
                <w:sz w:val="15"/>
                <w:szCs w:val="15"/>
                <w:lang w:val="en-GB"/>
              </w:rPr>
            </w:pPr>
            <w:r w:rsidRPr="00B45304">
              <w:rPr>
                <w:sz w:val="15"/>
                <w:szCs w:val="15"/>
                <w:lang w:val="en-GB"/>
              </w:rPr>
              <w:t>2</w:t>
            </w:r>
            <w:r w:rsidR="008A3DC4" w:rsidRPr="00B45304">
              <w:rPr>
                <w:sz w:val="15"/>
                <w:szCs w:val="15"/>
                <w:lang w:val="en-GB"/>
              </w:rPr>
              <w:t>,</w:t>
            </w:r>
            <w:r w:rsidRPr="00B45304">
              <w:rPr>
                <w:sz w:val="15"/>
                <w:szCs w:val="15"/>
                <w:lang w:val="en-GB"/>
              </w:rPr>
              <w:t>109</w:t>
            </w:r>
            <w:r w:rsidR="008A3DC4" w:rsidRPr="00B45304">
              <w:rPr>
                <w:sz w:val="15"/>
                <w:szCs w:val="15"/>
                <w:lang w:val="en-GB"/>
              </w:rPr>
              <w:t>.</w:t>
            </w:r>
            <w:r w:rsidRPr="00B45304">
              <w:rPr>
                <w:sz w:val="15"/>
                <w:szCs w:val="15"/>
                <w:lang w:val="en-GB"/>
              </w:rPr>
              <w:t>258</w:t>
            </w:r>
          </w:p>
        </w:tc>
        <w:tc>
          <w:tcPr>
            <w:tcW w:w="1129" w:type="dxa"/>
            <w:noWrap/>
            <w:hideMark/>
          </w:tcPr>
          <w:p w14:paraId="0D5B23A5" w14:textId="688459DC" w:rsidR="007D5A9B" w:rsidRPr="00B45304" w:rsidRDefault="007D5A9B" w:rsidP="00B45304">
            <w:pPr>
              <w:spacing w:line="276" w:lineRule="auto"/>
              <w:jc w:val="both"/>
              <w:rPr>
                <w:sz w:val="15"/>
                <w:szCs w:val="15"/>
                <w:lang w:val="en-GB"/>
              </w:rPr>
            </w:pPr>
            <w:r w:rsidRPr="00B45304">
              <w:rPr>
                <w:sz w:val="15"/>
                <w:szCs w:val="15"/>
                <w:lang w:val="en-GB"/>
              </w:rPr>
              <w:t>2</w:t>
            </w:r>
            <w:r w:rsidR="00714822" w:rsidRPr="00B45304">
              <w:rPr>
                <w:sz w:val="15"/>
                <w:szCs w:val="15"/>
                <w:lang w:val="en-GB"/>
              </w:rPr>
              <w:t>,</w:t>
            </w:r>
            <w:r w:rsidRPr="00B45304">
              <w:rPr>
                <w:sz w:val="15"/>
                <w:szCs w:val="15"/>
                <w:lang w:val="en-GB"/>
              </w:rPr>
              <w:t>127</w:t>
            </w:r>
            <w:r w:rsidR="00714822" w:rsidRPr="00B45304">
              <w:rPr>
                <w:sz w:val="15"/>
                <w:szCs w:val="15"/>
                <w:lang w:val="en-GB"/>
              </w:rPr>
              <w:t>.</w:t>
            </w:r>
            <w:r w:rsidRPr="00B45304">
              <w:rPr>
                <w:sz w:val="15"/>
                <w:szCs w:val="15"/>
                <w:lang w:val="en-GB"/>
              </w:rPr>
              <w:t>924</w:t>
            </w:r>
          </w:p>
        </w:tc>
        <w:tc>
          <w:tcPr>
            <w:tcW w:w="1134" w:type="dxa"/>
            <w:noWrap/>
            <w:hideMark/>
          </w:tcPr>
          <w:p w14:paraId="7C732BE8" w14:textId="4955619E" w:rsidR="007D5A9B" w:rsidRPr="00B45304" w:rsidRDefault="007D5A9B" w:rsidP="00B45304">
            <w:pPr>
              <w:spacing w:line="276" w:lineRule="auto"/>
              <w:jc w:val="both"/>
              <w:rPr>
                <w:sz w:val="15"/>
                <w:szCs w:val="15"/>
                <w:lang w:val="en-GB"/>
              </w:rPr>
            </w:pPr>
            <w:r w:rsidRPr="00B45304">
              <w:rPr>
                <w:sz w:val="15"/>
                <w:szCs w:val="15"/>
                <w:lang w:val="en-GB"/>
              </w:rPr>
              <w:t>1</w:t>
            </w:r>
            <w:r w:rsidR="00714822" w:rsidRPr="00B45304">
              <w:rPr>
                <w:sz w:val="15"/>
                <w:szCs w:val="15"/>
                <w:lang w:val="en-GB"/>
              </w:rPr>
              <w:t>,</w:t>
            </w:r>
            <w:r w:rsidRPr="00B45304">
              <w:rPr>
                <w:sz w:val="15"/>
                <w:szCs w:val="15"/>
                <w:lang w:val="en-GB"/>
              </w:rPr>
              <w:t>661</w:t>
            </w:r>
            <w:r w:rsidR="00714822" w:rsidRPr="00B45304">
              <w:rPr>
                <w:sz w:val="15"/>
                <w:szCs w:val="15"/>
                <w:lang w:val="en-GB"/>
              </w:rPr>
              <w:t>.</w:t>
            </w:r>
            <w:r w:rsidRPr="00B45304">
              <w:rPr>
                <w:sz w:val="15"/>
                <w:szCs w:val="15"/>
                <w:lang w:val="en-GB"/>
              </w:rPr>
              <w:t>274</w:t>
            </w:r>
          </w:p>
        </w:tc>
        <w:tc>
          <w:tcPr>
            <w:tcW w:w="1417" w:type="dxa"/>
            <w:noWrap/>
            <w:hideMark/>
          </w:tcPr>
          <w:p w14:paraId="6968619C" w14:textId="0D6E08D9" w:rsidR="007D5A9B" w:rsidRPr="00B45304" w:rsidRDefault="007D5A9B" w:rsidP="00B45304">
            <w:pPr>
              <w:spacing w:line="276" w:lineRule="auto"/>
              <w:jc w:val="both"/>
              <w:rPr>
                <w:sz w:val="15"/>
                <w:szCs w:val="15"/>
                <w:lang w:val="en-GB"/>
              </w:rPr>
            </w:pPr>
            <w:r w:rsidRPr="00B45304">
              <w:rPr>
                <w:sz w:val="15"/>
                <w:szCs w:val="15"/>
                <w:lang w:val="en-GB"/>
              </w:rPr>
              <w:t>2</w:t>
            </w:r>
            <w:r w:rsidR="00714822" w:rsidRPr="00B45304">
              <w:rPr>
                <w:sz w:val="15"/>
                <w:szCs w:val="15"/>
                <w:lang w:val="en-GB"/>
              </w:rPr>
              <w:t>,</w:t>
            </w:r>
            <w:r w:rsidRPr="00B45304">
              <w:rPr>
                <w:sz w:val="15"/>
                <w:szCs w:val="15"/>
                <w:lang w:val="en-GB"/>
              </w:rPr>
              <w:t>239</w:t>
            </w:r>
            <w:r w:rsidR="00714822" w:rsidRPr="00B45304">
              <w:rPr>
                <w:sz w:val="15"/>
                <w:szCs w:val="15"/>
                <w:lang w:val="en-GB"/>
              </w:rPr>
              <w:t>.</w:t>
            </w:r>
            <w:r w:rsidRPr="00B45304">
              <w:rPr>
                <w:sz w:val="15"/>
                <w:szCs w:val="15"/>
                <w:lang w:val="en-GB"/>
              </w:rPr>
              <w:t>92</w:t>
            </w:r>
            <w:r w:rsidR="00714822" w:rsidRPr="00B45304">
              <w:rPr>
                <w:sz w:val="15"/>
                <w:szCs w:val="15"/>
                <w:lang w:val="en-GB"/>
              </w:rPr>
              <w:t>0</w:t>
            </w:r>
          </w:p>
        </w:tc>
      </w:tr>
      <w:tr w:rsidR="007D5A9B" w:rsidRPr="00B45304" w14:paraId="50BF5BEF" w14:textId="77777777" w:rsidTr="00714822">
        <w:trPr>
          <w:trHeight w:val="20"/>
        </w:trPr>
        <w:tc>
          <w:tcPr>
            <w:tcW w:w="950" w:type="dxa"/>
            <w:noWrap/>
            <w:hideMark/>
          </w:tcPr>
          <w:p w14:paraId="0AE69DB6" w14:textId="77777777" w:rsidR="007D5A9B" w:rsidRPr="00B45304" w:rsidRDefault="007D5A9B" w:rsidP="00B45304">
            <w:pPr>
              <w:spacing w:line="276" w:lineRule="auto"/>
              <w:jc w:val="both"/>
              <w:rPr>
                <w:sz w:val="15"/>
                <w:szCs w:val="15"/>
                <w:lang w:val="en-GB"/>
              </w:rPr>
            </w:pPr>
            <w:r w:rsidRPr="00B45304">
              <w:rPr>
                <w:sz w:val="15"/>
                <w:szCs w:val="15"/>
                <w:lang w:val="en-GB"/>
              </w:rPr>
              <w:t>Foggia</w:t>
            </w:r>
          </w:p>
        </w:tc>
        <w:tc>
          <w:tcPr>
            <w:tcW w:w="759" w:type="dxa"/>
            <w:noWrap/>
            <w:hideMark/>
          </w:tcPr>
          <w:p w14:paraId="4C3D0BBC" w14:textId="6799538A"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2</w:t>
            </w:r>
            <w:r w:rsidR="008A3DC4" w:rsidRPr="00B45304">
              <w:rPr>
                <w:sz w:val="15"/>
                <w:szCs w:val="15"/>
                <w:lang w:val="en-GB"/>
              </w:rPr>
              <w:t>.</w:t>
            </w:r>
            <w:r w:rsidR="007D5A9B" w:rsidRPr="00B45304">
              <w:rPr>
                <w:sz w:val="15"/>
                <w:szCs w:val="15"/>
                <w:lang w:val="en-GB"/>
              </w:rPr>
              <w:t>1</w:t>
            </w:r>
          </w:p>
        </w:tc>
        <w:tc>
          <w:tcPr>
            <w:tcW w:w="759" w:type="dxa"/>
            <w:noWrap/>
            <w:hideMark/>
          </w:tcPr>
          <w:p w14:paraId="5CF8031D" w14:textId="3EFE99F8"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63</w:t>
            </w:r>
          </w:p>
        </w:tc>
        <w:tc>
          <w:tcPr>
            <w:tcW w:w="1360" w:type="dxa"/>
            <w:noWrap/>
            <w:hideMark/>
          </w:tcPr>
          <w:p w14:paraId="319C44E1" w14:textId="160F9EA8" w:rsidR="007D5A9B" w:rsidRPr="00B45304" w:rsidRDefault="007D5A9B" w:rsidP="00B45304">
            <w:pPr>
              <w:spacing w:line="276" w:lineRule="auto"/>
              <w:ind w:right="471"/>
              <w:jc w:val="both"/>
              <w:rPr>
                <w:sz w:val="15"/>
                <w:szCs w:val="15"/>
                <w:lang w:val="en-GB"/>
              </w:rPr>
            </w:pPr>
            <w:r w:rsidRPr="00B45304">
              <w:rPr>
                <w:sz w:val="15"/>
                <w:szCs w:val="15"/>
                <w:lang w:val="en-GB"/>
              </w:rPr>
              <w:t>1</w:t>
            </w:r>
            <w:r w:rsidR="008A3DC4" w:rsidRPr="00B45304">
              <w:rPr>
                <w:sz w:val="15"/>
                <w:szCs w:val="15"/>
                <w:lang w:val="en-GB"/>
              </w:rPr>
              <w:t>,</w:t>
            </w:r>
            <w:r w:rsidRPr="00B45304">
              <w:rPr>
                <w:sz w:val="15"/>
                <w:szCs w:val="15"/>
                <w:lang w:val="en-GB"/>
              </w:rPr>
              <w:t>879</w:t>
            </w:r>
            <w:r w:rsidR="008A3DC4" w:rsidRPr="00B45304">
              <w:rPr>
                <w:sz w:val="15"/>
                <w:szCs w:val="15"/>
                <w:lang w:val="en-GB"/>
              </w:rPr>
              <w:t>.</w:t>
            </w:r>
            <w:r w:rsidRPr="00B45304">
              <w:rPr>
                <w:sz w:val="15"/>
                <w:szCs w:val="15"/>
                <w:lang w:val="en-GB"/>
              </w:rPr>
              <w:t>416</w:t>
            </w:r>
          </w:p>
        </w:tc>
        <w:tc>
          <w:tcPr>
            <w:tcW w:w="1129" w:type="dxa"/>
            <w:noWrap/>
            <w:hideMark/>
          </w:tcPr>
          <w:p w14:paraId="530B414E" w14:textId="3207A542" w:rsidR="007D5A9B" w:rsidRPr="00B45304" w:rsidRDefault="007D5A9B" w:rsidP="00B45304">
            <w:pPr>
              <w:spacing w:line="276" w:lineRule="auto"/>
              <w:jc w:val="both"/>
              <w:rPr>
                <w:sz w:val="15"/>
                <w:szCs w:val="15"/>
                <w:lang w:val="en-GB"/>
              </w:rPr>
            </w:pPr>
            <w:r w:rsidRPr="00B45304">
              <w:rPr>
                <w:sz w:val="15"/>
                <w:szCs w:val="15"/>
                <w:lang w:val="en-GB"/>
              </w:rPr>
              <w:t>1</w:t>
            </w:r>
            <w:r w:rsidR="00714822" w:rsidRPr="00B45304">
              <w:rPr>
                <w:sz w:val="15"/>
                <w:szCs w:val="15"/>
                <w:lang w:val="en-GB"/>
              </w:rPr>
              <w:t>,</w:t>
            </w:r>
            <w:r w:rsidRPr="00B45304">
              <w:rPr>
                <w:sz w:val="15"/>
                <w:szCs w:val="15"/>
                <w:lang w:val="en-GB"/>
              </w:rPr>
              <w:t>896</w:t>
            </w:r>
            <w:r w:rsidR="00714822" w:rsidRPr="00B45304">
              <w:rPr>
                <w:sz w:val="15"/>
                <w:szCs w:val="15"/>
                <w:lang w:val="en-GB"/>
              </w:rPr>
              <w:t>.</w:t>
            </w:r>
            <w:r w:rsidRPr="00B45304">
              <w:rPr>
                <w:sz w:val="15"/>
                <w:szCs w:val="15"/>
                <w:lang w:val="en-GB"/>
              </w:rPr>
              <w:t>048</w:t>
            </w:r>
          </w:p>
        </w:tc>
        <w:tc>
          <w:tcPr>
            <w:tcW w:w="1134" w:type="dxa"/>
            <w:noWrap/>
            <w:hideMark/>
          </w:tcPr>
          <w:p w14:paraId="71D537CE" w14:textId="4682E1CA" w:rsidR="007D5A9B" w:rsidRPr="00B45304" w:rsidRDefault="007D5A9B" w:rsidP="00B45304">
            <w:pPr>
              <w:spacing w:line="276" w:lineRule="auto"/>
              <w:jc w:val="both"/>
              <w:rPr>
                <w:sz w:val="15"/>
                <w:szCs w:val="15"/>
                <w:lang w:val="en-GB"/>
              </w:rPr>
            </w:pPr>
            <w:r w:rsidRPr="00B45304">
              <w:rPr>
                <w:sz w:val="15"/>
                <w:szCs w:val="15"/>
                <w:lang w:val="en-GB"/>
              </w:rPr>
              <w:t>1</w:t>
            </w:r>
            <w:r w:rsidR="00714822" w:rsidRPr="00B45304">
              <w:rPr>
                <w:sz w:val="15"/>
                <w:szCs w:val="15"/>
                <w:lang w:val="en-GB"/>
              </w:rPr>
              <w:t>,</w:t>
            </w:r>
            <w:r w:rsidRPr="00B45304">
              <w:rPr>
                <w:sz w:val="15"/>
                <w:szCs w:val="15"/>
                <w:lang w:val="en-GB"/>
              </w:rPr>
              <w:t>480</w:t>
            </w:r>
            <w:r w:rsidR="00714822" w:rsidRPr="00B45304">
              <w:rPr>
                <w:sz w:val="15"/>
                <w:szCs w:val="15"/>
                <w:lang w:val="en-GB"/>
              </w:rPr>
              <w:t>.</w:t>
            </w:r>
            <w:r w:rsidRPr="00B45304">
              <w:rPr>
                <w:sz w:val="15"/>
                <w:szCs w:val="15"/>
                <w:lang w:val="en-GB"/>
              </w:rPr>
              <w:t>248</w:t>
            </w:r>
          </w:p>
        </w:tc>
        <w:tc>
          <w:tcPr>
            <w:tcW w:w="1417" w:type="dxa"/>
            <w:noWrap/>
            <w:hideMark/>
          </w:tcPr>
          <w:p w14:paraId="1BCADE50" w14:textId="0EA5E5D0" w:rsidR="007D5A9B" w:rsidRPr="00B45304" w:rsidRDefault="007D5A9B" w:rsidP="00B45304">
            <w:pPr>
              <w:spacing w:line="276" w:lineRule="auto"/>
              <w:jc w:val="both"/>
              <w:rPr>
                <w:sz w:val="15"/>
                <w:szCs w:val="15"/>
                <w:lang w:val="en-GB"/>
              </w:rPr>
            </w:pPr>
            <w:r w:rsidRPr="00B45304">
              <w:rPr>
                <w:sz w:val="15"/>
                <w:szCs w:val="15"/>
                <w:lang w:val="en-GB"/>
              </w:rPr>
              <w:t>1</w:t>
            </w:r>
            <w:r w:rsidR="00714822" w:rsidRPr="00B45304">
              <w:rPr>
                <w:sz w:val="15"/>
                <w:szCs w:val="15"/>
                <w:lang w:val="en-GB"/>
              </w:rPr>
              <w:t>,</w:t>
            </w:r>
            <w:r w:rsidRPr="00B45304">
              <w:rPr>
                <w:sz w:val="15"/>
                <w:szCs w:val="15"/>
                <w:lang w:val="en-GB"/>
              </w:rPr>
              <w:t>995</w:t>
            </w:r>
            <w:r w:rsidR="00714822" w:rsidRPr="00B45304">
              <w:rPr>
                <w:sz w:val="15"/>
                <w:szCs w:val="15"/>
                <w:lang w:val="en-GB"/>
              </w:rPr>
              <w:t>.</w:t>
            </w:r>
            <w:r w:rsidRPr="00B45304">
              <w:rPr>
                <w:sz w:val="15"/>
                <w:szCs w:val="15"/>
                <w:lang w:val="en-GB"/>
              </w:rPr>
              <w:t>84</w:t>
            </w:r>
            <w:r w:rsidR="00714822" w:rsidRPr="00B45304">
              <w:rPr>
                <w:sz w:val="15"/>
                <w:szCs w:val="15"/>
                <w:lang w:val="en-GB"/>
              </w:rPr>
              <w:t>0</w:t>
            </w:r>
          </w:p>
        </w:tc>
      </w:tr>
      <w:tr w:rsidR="007D5A9B" w:rsidRPr="00B45304" w14:paraId="2A0C1671" w14:textId="77777777" w:rsidTr="00714822">
        <w:trPr>
          <w:trHeight w:val="20"/>
        </w:trPr>
        <w:tc>
          <w:tcPr>
            <w:tcW w:w="950" w:type="dxa"/>
            <w:noWrap/>
            <w:hideMark/>
          </w:tcPr>
          <w:p w14:paraId="5836B47E" w14:textId="77777777" w:rsidR="007D5A9B" w:rsidRPr="00B45304" w:rsidRDefault="007D5A9B" w:rsidP="00B45304">
            <w:pPr>
              <w:spacing w:line="276" w:lineRule="auto"/>
              <w:jc w:val="both"/>
              <w:rPr>
                <w:sz w:val="15"/>
                <w:szCs w:val="15"/>
                <w:lang w:val="en-GB"/>
              </w:rPr>
            </w:pPr>
            <w:r w:rsidRPr="00B45304">
              <w:rPr>
                <w:sz w:val="15"/>
                <w:szCs w:val="15"/>
                <w:lang w:val="en-GB"/>
              </w:rPr>
              <w:t>Calabria</w:t>
            </w:r>
          </w:p>
        </w:tc>
        <w:tc>
          <w:tcPr>
            <w:tcW w:w="759" w:type="dxa"/>
            <w:noWrap/>
            <w:hideMark/>
          </w:tcPr>
          <w:p w14:paraId="45B7295A" w14:textId="3726E136"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0</w:t>
            </w:r>
            <w:r w:rsidR="008A3DC4" w:rsidRPr="00B45304">
              <w:rPr>
                <w:sz w:val="15"/>
                <w:szCs w:val="15"/>
                <w:lang w:val="en-GB"/>
              </w:rPr>
              <w:t>.</w:t>
            </w:r>
            <w:r w:rsidR="007D5A9B" w:rsidRPr="00B45304">
              <w:rPr>
                <w:sz w:val="15"/>
                <w:szCs w:val="15"/>
                <w:lang w:val="en-GB"/>
              </w:rPr>
              <w:t>6</w:t>
            </w:r>
          </w:p>
        </w:tc>
        <w:tc>
          <w:tcPr>
            <w:tcW w:w="759" w:type="dxa"/>
            <w:noWrap/>
            <w:hideMark/>
          </w:tcPr>
          <w:p w14:paraId="1EBA4AE6" w14:textId="17E6D339"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18</w:t>
            </w:r>
          </w:p>
        </w:tc>
        <w:tc>
          <w:tcPr>
            <w:tcW w:w="1360" w:type="dxa"/>
            <w:noWrap/>
            <w:hideMark/>
          </w:tcPr>
          <w:p w14:paraId="6BD80DED" w14:textId="2D9312C0" w:rsidR="007D5A9B" w:rsidRPr="00B45304" w:rsidRDefault="007D5A9B" w:rsidP="00B45304">
            <w:pPr>
              <w:spacing w:line="276" w:lineRule="auto"/>
              <w:ind w:right="471"/>
              <w:jc w:val="both"/>
              <w:rPr>
                <w:sz w:val="15"/>
                <w:szCs w:val="15"/>
                <w:lang w:val="en-GB"/>
              </w:rPr>
            </w:pPr>
            <w:r w:rsidRPr="00B45304">
              <w:rPr>
                <w:sz w:val="15"/>
                <w:szCs w:val="15"/>
                <w:lang w:val="en-GB"/>
              </w:rPr>
              <w:t>1</w:t>
            </w:r>
            <w:r w:rsidR="008A3DC4" w:rsidRPr="00B45304">
              <w:rPr>
                <w:sz w:val="15"/>
                <w:szCs w:val="15"/>
                <w:lang w:val="en-GB"/>
              </w:rPr>
              <w:t>,</w:t>
            </w:r>
            <w:r w:rsidRPr="00B45304">
              <w:rPr>
                <w:sz w:val="15"/>
                <w:szCs w:val="15"/>
                <w:lang w:val="en-GB"/>
              </w:rPr>
              <w:t>448</w:t>
            </w:r>
            <w:r w:rsidR="008A3DC4" w:rsidRPr="00B45304">
              <w:rPr>
                <w:sz w:val="15"/>
                <w:szCs w:val="15"/>
                <w:lang w:val="en-GB"/>
              </w:rPr>
              <w:t>.</w:t>
            </w:r>
            <w:r w:rsidRPr="00B45304">
              <w:rPr>
                <w:sz w:val="15"/>
                <w:szCs w:val="15"/>
                <w:lang w:val="en-GB"/>
              </w:rPr>
              <w:t>208</w:t>
            </w:r>
          </w:p>
        </w:tc>
        <w:tc>
          <w:tcPr>
            <w:tcW w:w="1129" w:type="dxa"/>
            <w:noWrap/>
            <w:hideMark/>
          </w:tcPr>
          <w:p w14:paraId="5A9B3C06" w14:textId="051B6FC9" w:rsidR="007D5A9B" w:rsidRPr="00B45304" w:rsidRDefault="007D5A9B" w:rsidP="00B45304">
            <w:pPr>
              <w:spacing w:line="276" w:lineRule="auto"/>
              <w:jc w:val="both"/>
              <w:rPr>
                <w:sz w:val="15"/>
                <w:szCs w:val="15"/>
                <w:lang w:val="en-GB"/>
              </w:rPr>
            </w:pPr>
            <w:r w:rsidRPr="00B45304">
              <w:rPr>
                <w:sz w:val="15"/>
                <w:szCs w:val="15"/>
                <w:lang w:val="en-GB"/>
              </w:rPr>
              <w:t>1</w:t>
            </w:r>
            <w:r w:rsidR="00714822" w:rsidRPr="00B45304">
              <w:rPr>
                <w:sz w:val="15"/>
                <w:szCs w:val="15"/>
                <w:lang w:val="en-GB"/>
              </w:rPr>
              <w:t>,</w:t>
            </w:r>
            <w:r w:rsidRPr="00B45304">
              <w:rPr>
                <w:sz w:val="15"/>
                <w:szCs w:val="15"/>
                <w:lang w:val="en-GB"/>
              </w:rPr>
              <w:t>461</w:t>
            </w:r>
            <w:r w:rsidR="00714822" w:rsidRPr="00B45304">
              <w:rPr>
                <w:sz w:val="15"/>
                <w:szCs w:val="15"/>
                <w:lang w:val="en-GB"/>
              </w:rPr>
              <w:t>.</w:t>
            </w:r>
            <w:r w:rsidRPr="00B45304">
              <w:rPr>
                <w:sz w:val="15"/>
                <w:szCs w:val="15"/>
                <w:lang w:val="en-GB"/>
              </w:rPr>
              <w:t>024</w:t>
            </w:r>
          </w:p>
        </w:tc>
        <w:tc>
          <w:tcPr>
            <w:tcW w:w="1134" w:type="dxa"/>
            <w:noWrap/>
            <w:hideMark/>
          </w:tcPr>
          <w:p w14:paraId="105AA6FF" w14:textId="50F03C9E" w:rsidR="007D5A9B" w:rsidRPr="00B45304" w:rsidRDefault="007D5A9B" w:rsidP="00B45304">
            <w:pPr>
              <w:spacing w:line="276" w:lineRule="auto"/>
              <w:jc w:val="both"/>
              <w:rPr>
                <w:sz w:val="15"/>
                <w:szCs w:val="15"/>
                <w:lang w:val="en-GB"/>
              </w:rPr>
            </w:pPr>
            <w:r w:rsidRPr="00B45304">
              <w:rPr>
                <w:sz w:val="15"/>
                <w:szCs w:val="15"/>
                <w:lang w:val="en-GB"/>
              </w:rPr>
              <w:t>1</w:t>
            </w:r>
            <w:r w:rsidR="00714822" w:rsidRPr="00B45304">
              <w:rPr>
                <w:sz w:val="15"/>
                <w:szCs w:val="15"/>
                <w:lang w:val="en-GB"/>
              </w:rPr>
              <w:t>,</w:t>
            </w:r>
            <w:r w:rsidRPr="00B45304">
              <w:rPr>
                <w:sz w:val="15"/>
                <w:szCs w:val="15"/>
                <w:lang w:val="en-GB"/>
              </w:rPr>
              <w:t>140</w:t>
            </w:r>
            <w:r w:rsidR="00714822" w:rsidRPr="00B45304">
              <w:rPr>
                <w:sz w:val="15"/>
                <w:szCs w:val="15"/>
                <w:lang w:val="en-GB"/>
              </w:rPr>
              <w:t>.</w:t>
            </w:r>
            <w:r w:rsidRPr="00B45304">
              <w:rPr>
                <w:sz w:val="15"/>
                <w:szCs w:val="15"/>
                <w:lang w:val="en-GB"/>
              </w:rPr>
              <w:t>624</w:t>
            </w:r>
          </w:p>
        </w:tc>
        <w:tc>
          <w:tcPr>
            <w:tcW w:w="1417" w:type="dxa"/>
            <w:noWrap/>
            <w:hideMark/>
          </w:tcPr>
          <w:p w14:paraId="00C53EEF" w14:textId="76E6C87A" w:rsidR="007D5A9B" w:rsidRPr="00B45304" w:rsidRDefault="007D5A9B" w:rsidP="00B45304">
            <w:pPr>
              <w:spacing w:line="276" w:lineRule="auto"/>
              <w:jc w:val="both"/>
              <w:rPr>
                <w:sz w:val="15"/>
                <w:szCs w:val="15"/>
                <w:lang w:val="en-GB"/>
              </w:rPr>
            </w:pPr>
            <w:r w:rsidRPr="00B45304">
              <w:rPr>
                <w:sz w:val="15"/>
                <w:szCs w:val="15"/>
                <w:lang w:val="en-GB"/>
              </w:rPr>
              <w:t>1</w:t>
            </w:r>
            <w:r w:rsidR="00714822" w:rsidRPr="00B45304">
              <w:rPr>
                <w:sz w:val="15"/>
                <w:szCs w:val="15"/>
                <w:lang w:val="en-GB"/>
              </w:rPr>
              <w:t>,</w:t>
            </w:r>
            <w:r w:rsidRPr="00B45304">
              <w:rPr>
                <w:sz w:val="15"/>
                <w:szCs w:val="15"/>
                <w:lang w:val="en-GB"/>
              </w:rPr>
              <w:t>537</w:t>
            </w:r>
            <w:r w:rsidR="00714822" w:rsidRPr="00B45304">
              <w:rPr>
                <w:sz w:val="15"/>
                <w:szCs w:val="15"/>
                <w:lang w:val="en-GB"/>
              </w:rPr>
              <w:t>.</w:t>
            </w:r>
            <w:r w:rsidRPr="00B45304">
              <w:rPr>
                <w:sz w:val="15"/>
                <w:szCs w:val="15"/>
                <w:lang w:val="en-GB"/>
              </w:rPr>
              <w:t>92</w:t>
            </w:r>
            <w:r w:rsidR="00714822" w:rsidRPr="00B45304">
              <w:rPr>
                <w:sz w:val="15"/>
                <w:szCs w:val="15"/>
                <w:lang w:val="en-GB"/>
              </w:rPr>
              <w:t>0</w:t>
            </w:r>
          </w:p>
        </w:tc>
      </w:tr>
      <w:tr w:rsidR="007D5A9B" w:rsidRPr="00B45304" w14:paraId="247D6E33" w14:textId="77777777" w:rsidTr="00714822">
        <w:trPr>
          <w:trHeight w:val="20"/>
        </w:trPr>
        <w:tc>
          <w:tcPr>
            <w:tcW w:w="950" w:type="dxa"/>
            <w:tcBorders>
              <w:bottom w:val="single" w:sz="4" w:space="0" w:color="auto"/>
            </w:tcBorders>
            <w:noWrap/>
            <w:hideMark/>
          </w:tcPr>
          <w:p w14:paraId="2CC5A8B2" w14:textId="77777777" w:rsidR="007D5A9B" w:rsidRPr="00B45304" w:rsidRDefault="007D5A9B" w:rsidP="00B45304">
            <w:pPr>
              <w:spacing w:line="276" w:lineRule="auto"/>
              <w:jc w:val="both"/>
              <w:rPr>
                <w:sz w:val="15"/>
                <w:szCs w:val="15"/>
                <w:lang w:val="en-GB"/>
              </w:rPr>
            </w:pPr>
            <w:r w:rsidRPr="00B45304">
              <w:rPr>
                <w:sz w:val="15"/>
                <w:szCs w:val="15"/>
                <w:lang w:val="en-GB"/>
              </w:rPr>
              <w:t>Lecce</w:t>
            </w:r>
          </w:p>
        </w:tc>
        <w:tc>
          <w:tcPr>
            <w:tcW w:w="759" w:type="dxa"/>
            <w:tcBorders>
              <w:bottom w:val="single" w:sz="4" w:space="0" w:color="auto"/>
            </w:tcBorders>
            <w:noWrap/>
            <w:hideMark/>
          </w:tcPr>
          <w:p w14:paraId="35E58A1F" w14:textId="4A22DD4F"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0</w:t>
            </w:r>
            <w:r w:rsidR="008A3DC4" w:rsidRPr="00B45304">
              <w:rPr>
                <w:sz w:val="15"/>
                <w:szCs w:val="15"/>
                <w:lang w:val="en-GB"/>
              </w:rPr>
              <w:t>.</w:t>
            </w:r>
            <w:r w:rsidR="007D5A9B" w:rsidRPr="00B45304">
              <w:rPr>
                <w:sz w:val="15"/>
                <w:szCs w:val="15"/>
                <w:lang w:val="en-GB"/>
              </w:rPr>
              <w:t>3</w:t>
            </w:r>
          </w:p>
        </w:tc>
        <w:tc>
          <w:tcPr>
            <w:tcW w:w="759" w:type="dxa"/>
            <w:tcBorders>
              <w:bottom w:val="single" w:sz="4" w:space="0" w:color="auto"/>
            </w:tcBorders>
            <w:noWrap/>
            <w:hideMark/>
          </w:tcPr>
          <w:p w14:paraId="41F0941A" w14:textId="69CF0B4C"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9</w:t>
            </w:r>
          </w:p>
        </w:tc>
        <w:tc>
          <w:tcPr>
            <w:tcW w:w="1360" w:type="dxa"/>
            <w:tcBorders>
              <w:bottom w:val="single" w:sz="4" w:space="0" w:color="auto"/>
            </w:tcBorders>
            <w:noWrap/>
            <w:hideMark/>
          </w:tcPr>
          <w:p w14:paraId="456E7A85" w14:textId="56A8ABB8" w:rsidR="007D5A9B" w:rsidRPr="00B45304" w:rsidRDefault="00714822" w:rsidP="00B45304">
            <w:pPr>
              <w:spacing w:line="276" w:lineRule="auto"/>
              <w:ind w:right="471"/>
              <w:jc w:val="both"/>
              <w:rPr>
                <w:sz w:val="15"/>
                <w:szCs w:val="15"/>
                <w:lang w:val="en-GB"/>
              </w:rPr>
            </w:pPr>
            <w:r w:rsidRPr="00B45304">
              <w:rPr>
                <w:sz w:val="15"/>
                <w:szCs w:val="15"/>
                <w:lang w:val="en-GB"/>
              </w:rPr>
              <w:t xml:space="preserve">   </w:t>
            </w:r>
            <w:r w:rsidR="007D5A9B" w:rsidRPr="00B45304">
              <w:rPr>
                <w:sz w:val="15"/>
                <w:szCs w:val="15"/>
                <w:lang w:val="en-GB"/>
              </w:rPr>
              <w:t>309</w:t>
            </w:r>
            <w:r w:rsidR="008A3DC4" w:rsidRPr="00B45304">
              <w:rPr>
                <w:sz w:val="15"/>
                <w:szCs w:val="15"/>
                <w:lang w:val="en-GB"/>
              </w:rPr>
              <w:t>.</w:t>
            </w:r>
            <w:r w:rsidR="007D5A9B" w:rsidRPr="00B45304">
              <w:rPr>
                <w:sz w:val="15"/>
                <w:szCs w:val="15"/>
                <w:lang w:val="en-GB"/>
              </w:rPr>
              <w:t>168</w:t>
            </w:r>
          </w:p>
        </w:tc>
        <w:tc>
          <w:tcPr>
            <w:tcW w:w="1129" w:type="dxa"/>
            <w:tcBorders>
              <w:bottom w:val="single" w:sz="4" w:space="0" w:color="auto"/>
            </w:tcBorders>
            <w:noWrap/>
            <w:hideMark/>
          </w:tcPr>
          <w:p w14:paraId="3A5F0853" w14:textId="076D3483"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311</w:t>
            </w:r>
            <w:r w:rsidRPr="00B45304">
              <w:rPr>
                <w:sz w:val="15"/>
                <w:szCs w:val="15"/>
                <w:lang w:val="en-GB"/>
              </w:rPr>
              <w:t>.</w:t>
            </w:r>
            <w:r w:rsidR="007D5A9B" w:rsidRPr="00B45304">
              <w:rPr>
                <w:sz w:val="15"/>
                <w:szCs w:val="15"/>
                <w:lang w:val="en-GB"/>
              </w:rPr>
              <w:t>904</w:t>
            </w:r>
          </w:p>
        </w:tc>
        <w:tc>
          <w:tcPr>
            <w:tcW w:w="1134" w:type="dxa"/>
            <w:tcBorders>
              <w:bottom w:val="single" w:sz="4" w:space="0" w:color="auto"/>
            </w:tcBorders>
            <w:noWrap/>
            <w:hideMark/>
          </w:tcPr>
          <w:p w14:paraId="6ACF20FB" w14:textId="3F3F6EDA"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243</w:t>
            </w:r>
            <w:r w:rsidRPr="00B45304">
              <w:rPr>
                <w:sz w:val="15"/>
                <w:szCs w:val="15"/>
                <w:lang w:val="en-GB"/>
              </w:rPr>
              <w:t>.</w:t>
            </w:r>
            <w:r w:rsidR="007D5A9B" w:rsidRPr="00B45304">
              <w:rPr>
                <w:sz w:val="15"/>
                <w:szCs w:val="15"/>
                <w:lang w:val="en-GB"/>
              </w:rPr>
              <w:t>504</w:t>
            </w:r>
          </w:p>
        </w:tc>
        <w:tc>
          <w:tcPr>
            <w:tcW w:w="1417" w:type="dxa"/>
            <w:tcBorders>
              <w:bottom w:val="single" w:sz="4" w:space="0" w:color="auto"/>
            </w:tcBorders>
            <w:noWrap/>
            <w:hideMark/>
          </w:tcPr>
          <w:p w14:paraId="27312C4E" w14:textId="0E04AA66" w:rsidR="007D5A9B" w:rsidRPr="00B45304" w:rsidRDefault="00714822" w:rsidP="00B45304">
            <w:pPr>
              <w:spacing w:line="276" w:lineRule="auto"/>
              <w:jc w:val="both"/>
              <w:rPr>
                <w:sz w:val="15"/>
                <w:szCs w:val="15"/>
                <w:lang w:val="en-GB"/>
              </w:rPr>
            </w:pPr>
            <w:r w:rsidRPr="00B45304">
              <w:rPr>
                <w:sz w:val="15"/>
                <w:szCs w:val="15"/>
                <w:lang w:val="en-GB"/>
              </w:rPr>
              <w:t xml:space="preserve">   </w:t>
            </w:r>
            <w:r w:rsidR="007D5A9B" w:rsidRPr="00B45304">
              <w:rPr>
                <w:sz w:val="15"/>
                <w:szCs w:val="15"/>
                <w:lang w:val="en-GB"/>
              </w:rPr>
              <w:t>328</w:t>
            </w:r>
            <w:r w:rsidRPr="00B45304">
              <w:rPr>
                <w:sz w:val="15"/>
                <w:szCs w:val="15"/>
                <w:lang w:val="en-GB"/>
              </w:rPr>
              <w:t>.</w:t>
            </w:r>
            <w:r w:rsidR="007D5A9B" w:rsidRPr="00B45304">
              <w:rPr>
                <w:sz w:val="15"/>
                <w:szCs w:val="15"/>
                <w:lang w:val="en-GB"/>
              </w:rPr>
              <w:t>32</w:t>
            </w:r>
            <w:r w:rsidRPr="00B45304">
              <w:rPr>
                <w:sz w:val="15"/>
                <w:szCs w:val="15"/>
                <w:lang w:val="en-GB"/>
              </w:rPr>
              <w:t>0</w:t>
            </w:r>
          </w:p>
        </w:tc>
      </w:tr>
    </w:tbl>
    <w:p w14:paraId="6FE8171E" w14:textId="1FC4B9BA" w:rsidR="00FC60B4" w:rsidRPr="00B45304" w:rsidRDefault="008A3DC4" w:rsidP="00B45304">
      <w:pPr>
        <w:spacing w:line="276" w:lineRule="auto"/>
        <w:jc w:val="both"/>
        <w:rPr>
          <w:sz w:val="18"/>
          <w:szCs w:val="18"/>
          <w:lang w:val="en-GB"/>
        </w:rPr>
      </w:pPr>
      <w:r w:rsidRPr="00B45304">
        <w:rPr>
          <w:sz w:val="18"/>
          <w:szCs w:val="18"/>
          <w:lang w:val="en-GB"/>
        </w:rPr>
        <w:t>Source: Authors’ elaboration</w:t>
      </w:r>
      <w:r w:rsidR="00115023" w:rsidRPr="00B45304">
        <w:rPr>
          <w:sz w:val="18"/>
          <w:szCs w:val="18"/>
          <w:lang w:val="en-GB"/>
        </w:rPr>
        <w:t xml:space="preserve"> on data </w:t>
      </w:r>
      <w:proofErr w:type="spellStart"/>
      <w:r w:rsidR="00115023" w:rsidRPr="00B45304">
        <w:rPr>
          <w:sz w:val="18"/>
          <w:szCs w:val="18"/>
          <w:lang w:val="en-GB"/>
        </w:rPr>
        <w:t>TerraUp</w:t>
      </w:r>
      <w:proofErr w:type="spellEnd"/>
      <w:r w:rsidR="00115023" w:rsidRPr="00B45304">
        <w:rPr>
          <w:sz w:val="18"/>
          <w:szCs w:val="18"/>
          <w:lang w:val="en-GB"/>
        </w:rPr>
        <w:t xml:space="preserve"> (2022). </w:t>
      </w:r>
    </w:p>
    <w:p w14:paraId="66F6DA93" w14:textId="272C260D" w:rsidR="00FC60B4" w:rsidRPr="00B45304" w:rsidRDefault="00FC60B4" w:rsidP="00B45304">
      <w:pPr>
        <w:spacing w:line="276" w:lineRule="auto"/>
        <w:jc w:val="both"/>
        <w:rPr>
          <w:i/>
          <w:lang w:val="en-GB"/>
        </w:rPr>
      </w:pPr>
    </w:p>
    <w:p w14:paraId="28D16D23" w14:textId="43394629" w:rsidR="00CD312D" w:rsidRPr="00B45304" w:rsidRDefault="00CD312D" w:rsidP="00B45304">
      <w:pPr>
        <w:spacing w:line="276" w:lineRule="auto"/>
        <w:jc w:val="both"/>
        <w:rPr>
          <w:lang w:val="en-GB"/>
        </w:rPr>
      </w:pPr>
      <w:proofErr w:type="spellStart"/>
      <w:r w:rsidRPr="00B45304">
        <w:rPr>
          <w:lang w:val="en-GB"/>
        </w:rPr>
        <w:t>Analyzing</w:t>
      </w:r>
      <w:proofErr w:type="spellEnd"/>
      <w:r w:rsidRPr="00B45304">
        <w:rPr>
          <w:lang w:val="en-GB"/>
        </w:rPr>
        <w:t xml:space="preserve"> the kind of power supply for the city car, the more sustainable is represented by the hybrid power supply; conversely, the most polluting is the </w:t>
      </w:r>
      <w:r w:rsidR="00851D77" w:rsidRPr="00B45304">
        <w:rPr>
          <w:lang w:val="en-GB"/>
        </w:rPr>
        <w:t>LNG</w:t>
      </w:r>
      <w:r w:rsidRPr="00B45304">
        <w:rPr>
          <w:lang w:val="en-GB"/>
        </w:rPr>
        <w:t xml:space="preserve"> as it is not suitable for short distances. </w:t>
      </w:r>
    </w:p>
    <w:p w14:paraId="599F03FA" w14:textId="76501F1A" w:rsidR="004E189E" w:rsidRPr="00B45304" w:rsidRDefault="004E189E" w:rsidP="00B45304">
      <w:pPr>
        <w:spacing w:line="276" w:lineRule="auto"/>
        <w:jc w:val="both"/>
        <w:rPr>
          <w:lang w:val="en-GB"/>
        </w:rPr>
      </w:pPr>
    </w:p>
    <w:p w14:paraId="7B911C25" w14:textId="3B1CF0F1" w:rsidR="00E40E87" w:rsidRPr="00B45304" w:rsidRDefault="00E40E87" w:rsidP="00B45304">
      <w:pPr>
        <w:spacing w:line="276" w:lineRule="auto"/>
        <w:jc w:val="both"/>
        <w:rPr>
          <w:b/>
          <w:lang w:val="en-GB"/>
        </w:rPr>
      </w:pPr>
      <w:r w:rsidRPr="00B45304">
        <w:rPr>
          <w:b/>
          <w:lang w:val="en-GB"/>
        </w:rPr>
        <w:t>1.5 Conclusion and future perspectives</w:t>
      </w:r>
    </w:p>
    <w:p w14:paraId="3DF31494" w14:textId="590D5128" w:rsidR="004A1DCB" w:rsidRPr="00B45304" w:rsidRDefault="00B12350" w:rsidP="00B45304">
      <w:pPr>
        <w:spacing w:line="276" w:lineRule="auto"/>
        <w:jc w:val="both"/>
        <w:rPr>
          <w:lang w:val="en-GB"/>
        </w:rPr>
      </w:pPr>
      <w:r w:rsidRPr="00B45304">
        <w:rPr>
          <w:lang w:val="en-GB"/>
        </w:rPr>
        <w:t xml:space="preserve">The main outcomes of the questionnaire showed that students mainly use </w:t>
      </w:r>
      <w:r w:rsidR="00115023" w:rsidRPr="00B45304">
        <w:rPr>
          <w:lang w:val="en-GB"/>
        </w:rPr>
        <w:t>private</w:t>
      </w:r>
      <w:r w:rsidRPr="00B45304">
        <w:rPr>
          <w:lang w:val="en-GB"/>
        </w:rPr>
        <w:t xml:space="preserve"> transport (72.8%)</w:t>
      </w:r>
      <w:r w:rsidR="00115023" w:rsidRPr="00B45304">
        <w:rPr>
          <w:lang w:val="en-GB"/>
        </w:rPr>
        <w:t xml:space="preserve"> and </w:t>
      </w:r>
      <w:r w:rsidR="001F764C" w:rsidRPr="00B45304">
        <w:rPr>
          <w:lang w:val="en-GB"/>
        </w:rPr>
        <w:t>most of them live in the metropolitan area as the campus is located (69.6%)</w:t>
      </w:r>
      <w:r w:rsidRPr="00B45304">
        <w:rPr>
          <w:lang w:val="en-GB"/>
        </w:rPr>
        <w:t>.</w:t>
      </w:r>
      <w:r w:rsidR="00115023" w:rsidRPr="00B45304">
        <w:rPr>
          <w:lang w:val="en-GB"/>
        </w:rPr>
        <w:t xml:space="preserve"> </w:t>
      </w:r>
      <w:r w:rsidRPr="00B45304">
        <w:rPr>
          <w:lang w:val="en-GB"/>
        </w:rPr>
        <w:t>However, t</w:t>
      </w:r>
      <w:r w:rsidR="001F53EA" w:rsidRPr="00B45304">
        <w:rPr>
          <w:lang w:val="en-GB"/>
        </w:rPr>
        <w:t>he results suggest</w:t>
      </w:r>
      <w:r w:rsidR="00851D77" w:rsidRPr="00B45304">
        <w:rPr>
          <w:lang w:val="en-GB"/>
        </w:rPr>
        <w:t>ed</w:t>
      </w:r>
      <w:r w:rsidR="001F53EA" w:rsidRPr="00B45304">
        <w:rPr>
          <w:lang w:val="en-GB"/>
        </w:rPr>
        <w:t xml:space="preserve"> that university students </w:t>
      </w:r>
      <w:r w:rsidR="00851D77" w:rsidRPr="00B45304">
        <w:rPr>
          <w:lang w:val="en-GB"/>
        </w:rPr>
        <w:t xml:space="preserve">that </w:t>
      </w:r>
      <w:r w:rsidR="001F53EA" w:rsidRPr="00B45304">
        <w:rPr>
          <w:lang w:val="en-GB"/>
        </w:rPr>
        <w:t>attending the Bari Economics campus are willing to purchase alternative means provided that infrastructure is improved and economic incentives are provided</w:t>
      </w:r>
      <w:r w:rsidR="00A95D5E" w:rsidRPr="00B45304">
        <w:rPr>
          <w:lang w:val="en-GB"/>
        </w:rPr>
        <w:t xml:space="preserve">. </w:t>
      </w:r>
      <w:r w:rsidR="00115023" w:rsidRPr="00B45304">
        <w:rPr>
          <w:lang w:val="en-GB"/>
        </w:rPr>
        <w:t>In order to provide more sustainable alternatives that must be implemented for the student community</w:t>
      </w:r>
      <w:r w:rsidR="001F764C" w:rsidRPr="00B45304">
        <w:rPr>
          <w:lang w:val="en-GB"/>
        </w:rPr>
        <w:t xml:space="preserve"> by public and private administration</w:t>
      </w:r>
      <w:r w:rsidR="00115023" w:rsidRPr="00B45304">
        <w:rPr>
          <w:lang w:val="en-GB"/>
        </w:rPr>
        <w:t>, considering th</w:t>
      </w:r>
      <w:r w:rsidR="001F764C" w:rsidRPr="00B45304">
        <w:rPr>
          <w:lang w:val="en-GB"/>
        </w:rPr>
        <w:t>at</w:t>
      </w:r>
      <w:r w:rsidR="00115023" w:rsidRPr="00B45304">
        <w:rPr>
          <w:lang w:val="en-GB"/>
        </w:rPr>
        <w:t xml:space="preserve"> m</w:t>
      </w:r>
      <w:r w:rsidR="001F764C" w:rsidRPr="00B45304">
        <w:rPr>
          <w:lang w:val="en-GB"/>
        </w:rPr>
        <w:t>ost of them</w:t>
      </w:r>
      <w:r w:rsidR="00115023" w:rsidRPr="00B45304">
        <w:rPr>
          <w:lang w:val="en-GB"/>
        </w:rPr>
        <w:t xml:space="preserve"> </w:t>
      </w:r>
      <w:r w:rsidR="001F764C" w:rsidRPr="00B45304">
        <w:rPr>
          <w:lang w:val="en-GB"/>
        </w:rPr>
        <w:t xml:space="preserve">lives in the metropolitan area of Bari </w:t>
      </w:r>
      <w:r w:rsidR="00115023" w:rsidRPr="00B45304">
        <w:rPr>
          <w:lang w:val="en-GB"/>
        </w:rPr>
        <w:t xml:space="preserve">(about 70% of students), it is essential to increase the number of cycle paths, increase the city bus rides that connect all the </w:t>
      </w:r>
      <w:r w:rsidR="001447ED" w:rsidRPr="00B45304">
        <w:rPr>
          <w:lang w:val="en-GB"/>
        </w:rPr>
        <w:t>neighbourhoods</w:t>
      </w:r>
      <w:r w:rsidR="001F764C" w:rsidRPr="00B45304">
        <w:rPr>
          <w:lang w:val="en-GB"/>
        </w:rPr>
        <w:t xml:space="preserve"> </w:t>
      </w:r>
      <w:r w:rsidR="00115023" w:rsidRPr="00B45304">
        <w:rPr>
          <w:lang w:val="en-GB"/>
        </w:rPr>
        <w:t xml:space="preserve">and discourage the use of the car to cover a few </w:t>
      </w:r>
      <w:r w:rsidR="00E13A4D" w:rsidRPr="00B45304">
        <w:rPr>
          <w:lang w:val="en-GB"/>
        </w:rPr>
        <w:t>kilometres</w:t>
      </w:r>
      <w:bookmarkStart w:id="0" w:name="_GoBack"/>
      <w:bookmarkEnd w:id="0"/>
      <w:r w:rsidR="00115023" w:rsidRPr="00B45304">
        <w:rPr>
          <w:lang w:val="en-GB"/>
        </w:rPr>
        <w:t xml:space="preserve"> to</w:t>
      </w:r>
      <w:r w:rsidR="001F764C" w:rsidRPr="00B45304">
        <w:rPr>
          <w:lang w:val="en-GB"/>
        </w:rPr>
        <w:t>/</w:t>
      </w:r>
      <w:r w:rsidR="00115023" w:rsidRPr="00B45304">
        <w:rPr>
          <w:lang w:val="en-GB"/>
        </w:rPr>
        <w:t>from the Economics Campus</w:t>
      </w:r>
      <w:r w:rsidR="001F764C" w:rsidRPr="00B45304">
        <w:rPr>
          <w:lang w:val="en-GB"/>
        </w:rPr>
        <w:t>.</w:t>
      </w:r>
      <w:r w:rsidR="00A95D5E" w:rsidRPr="00B45304">
        <w:rPr>
          <w:lang w:val="en-GB"/>
        </w:rPr>
        <w:t xml:space="preserve"> </w:t>
      </w:r>
      <w:r w:rsidR="00445695" w:rsidRPr="00B45304">
        <w:rPr>
          <w:lang w:val="en-GB"/>
        </w:rPr>
        <w:t xml:space="preserve">The future </w:t>
      </w:r>
      <w:r w:rsidR="00115023" w:rsidRPr="00B45304">
        <w:rPr>
          <w:lang w:val="en-GB"/>
        </w:rPr>
        <w:t>perspectives of this research consists</w:t>
      </w:r>
      <w:r w:rsidR="001447ED">
        <w:rPr>
          <w:lang w:val="en-GB"/>
        </w:rPr>
        <w:t xml:space="preserve"> of an enlargements of the sample investigated, of</w:t>
      </w:r>
      <w:r w:rsidR="00115023" w:rsidRPr="00B45304">
        <w:rPr>
          <w:lang w:val="en-GB"/>
        </w:rPr>
        <w:t xml:space="preserve"> quantifying the greenhouse gas emissions associated with other public and private transport</w:t>
      </w:r>
      <w:r w:rsidR="004B4BF4">
        <w:rPr>
          <w:lang w:val="en-GB"/>
        </w:rPr>
        <w:t>s</w:t>
      </w:r>
      <w:r w:rsidR="00115023" w:rsidRPr="00B45304">
        <w:rPr>
          <w:lang w:val="en-GB"/>
        </w:rPr>
        <w:t>, with the aim of presenting a complete overview to the stakeholders involved in urban mobility.</w:t>
      </w:r>
      <w:bookmarkStart w:id="1" w:name="_Toc75162077"/>
      <w:bookmarkStart w:id="2" w:name="_Toc142104141"/>
      <w:r w:rsidR="004B4BF4">
        <w:rPr>
          <w:lang w:val="en-GB"/>
        </w:rPr>
        <w:t xml:space="preserve"> Furthermore</w:t>
      </w:r>
      <w:r w:rsidR="002265DB">
        <w:rPr>
          <w:lang w:val="en-GB"/>
        </w:rPr>
        <w:t>,</w:t>
      </w:r>
      <w:r w:rsidR="004B4BF4">
        <w:rPr>
          <w:lang w:val="en-GB"/>
        </w:rPr>
        <w:t xml:space="preserve"> on the basis of the critical hotspots identified, environmental improvements will be provided.</w:t>
      </w:r>
    </w:p>
    <w:p w14:paraId="306680E5" w14:textId="77777777" w:rsidR="004A1DCB" w:rsidRPr="00B45304" w:rsidRDefault="004A1DCB" w:rsidP="00B45304">
      <w:pPr>
        <w:spacing w:line="276" w:lineRule="auto"/>
        <w:jc w:val="both"/>
        <w:rPr>
          <w:lang w:val="en-GB"/>
        </w:rPr>
      </w:pPr>
    </w:p>
    <w:p w14:paraId="623D2D0E" w14:textId="31695173" w:rsidR="002F7330" w:rsidRPr="00B45304" w:rsidRDefault="002F7330" w:rsidP="00B45304">
      <w:pPr>
        <w:spacing w:line="276" w:lineRule="auto"/>
        <w:jc w:val="both"/>
        <w:rPr>
          <w:b/>
          <w:sz w:val="22"/>
          <w:szCs w:val="22"/>
          <w:highlight w:val="yellow"/>
          <w:lang w:val="en-GB"/>
        </w:rPr>
      </w:pPr>
      <w:r w:rsidRPr="00B45304">
        <w:rPr>
          <w:b/>
          <w:sz w:val="22"/>
          <w:szCs w:val="22"/>
          <w:lang w:val="en-GB"/>
        </w:rPr>
        <w:t>References</w:t>
      </w:r>
      <w:bookmarkEnd w:id="1"/>
      <w:bookmarkEnd w:id="2"/>
      <w:r w:rsidRPr="00B45304">
        <w:rPr>
          <w:b/>
          <w:sz w:val="22"/>
          <w:szCs w:val="22"/>
          <w:lang w:val="en-GB"/>
        </w:rPr>
        <w:t xml:space="preserve"> </w:t>
      </w:r>
    </w:p>
    <w:p w14:paraId="677CA351" w14:textId="708BEC80" w:rsidR="00A95D5E" w:rsidRPr="00B45304" w:rsidRDefault="00A95D5E" w:rsidP="00481A31">
      <w:pPr>
        <w:jc w:val="both"/>
        <w:rPr>
          <w:sz w:val="22"/>
          <w:szCs w:val="22"/>
          <w:lang w:val="en-GB"/>
        </w:rPr>
      </w:pPr>
      <w:proofErr w:type="spellStart"/>
      <w:r w:rsidRPr="00B45304">
        <w:rPr>
          <w:sz w:val="22"/>
          <w:szCs w:val="22"/>
          <w:lang w:val="en-GB"/>
        </w:rPr>
        <w:lastRenderedPageBreak/>
        <w:t>Alshuwaikhat</w:t>
      </w:r>
      <w:proofErr w:type="spellEnd"/>
      <w:r w:rsidRPr="00B45304">
        <w:rPr>
          <w:sz w:val="22"/>
          <w:szCs w:val="22"/>
          <w:lang w:val="en-GB"/>
        </w:rPr>
        <w:t>, HM, Abubakar, I (2008) An integrated approach to achieving campus sustainability: assessment of the current campus environmental management practices. J. Clean. Prod 16: 1777-1785</w:t>
      </w:r>
    </w:p>
    <w:p w14:paraId="339237DD" w14:textId="7B0FB535" w:rsidR="00A95D5E" w:rsidRPr="00B45304" w:rsidRDefault="00A95D5E" w:rsidP="00481A31">
      <w:pPr>
        <w:jc w:val="both"/>
        <w:rPr>
          <w:sz w:val="22"/>
          <w:szCs w:val="22"/>
          <w:lang w:val="en-GB"/>
        </w:rPr>
      </w:pPr>
      <w:proofErr w:type="spellStart"/>
      <w:r w:rsidRPr="00B45304">
        <w:rPr>
          <w:sz w:val="22"/>
          <w:szCs w:val="22"/>
          <w:lang w:val="en-GB"/>
        </w:rPr>
        <w:t>Bayas</w:t>
      </w:r>
      <w:proofErr w:type="spellEnd"/>
      <w:r w:rsidRPr="00B45304">
        <w:rPr>
          <w:sz w:val="22"/>
          <w:szCs w:val="22"/>
          <w:lang w:val="en-GB"/>
        </w:rPr>
        <w:t xml:space="preserve"> </w:t>
      </w:r>
      <w:proofErr w:type="spellStart"/>
      <w:r w:rsidRPr="00B45304">
        <w:rPr>
          <w:sz w:val="22"/>
          <w:szCs w:val="22"/>
          <w:lang w:val="en-GB"/>
        </w:rPr>
        <w:t>Aldaza</w:t>
      </w:r>
      <w:proofErr w:type="spellEnd"/>
      <w:r w:rsidRPr="00B45304">
        <w:rPr>
          <w:sz w:val="22"/>
          <w:szCs w:val="22"/>
          <w:lang w:val="en-GB"/>
        </w:rPr>
        <w:t xml:space="preserve">, CE, Sandoval </w:t>
      </w:r>
      <w:proofErr w:type="spellStart"/>
      <w:r w:rsidRPr="00B45304">
        <w:rPr>
          <w:sz w:val="22"/>
          <w:szCs w:val="22"/>
          <w:lang w:val="en-GB"/>
        </w:rPr>
        <w:t>Hamón</w:t>
      </w:r>
      <w:proofErr w:type="spellEnd"/>
      <w:r w:rsidRPr="00B45304">
        <w:rPr>
          <w:sz w:val="22"/>
          <w:szCs w:val="22"/>
          <w:lang w:val="en-GB"/>
        </w:rPr>
        <w:t>, LE (2019) Perceptions of Students’ representatives towards sustainable mobility on Spanish university campus. Transp</w:t>
      </w:r>
      <w:r w:rsidR="00055CE4">
        <w:rPr>
          <w:sz w:val="22"/>
          <w:szCs w:val="22"/>
          <w:lang w:val="en-GB"/>
        </w:rPr>
        <w:t>ort</w:t>
      </w:r>
      <w:r w:rsidRPr="00B45304">
        <w:rPr>
          <w:sz w:val="22"/>
          <w:szCs w:val="22"/>
          <w:lang w:val="en-GB"/>
        </w:rPr>
        <w:t xml:space="preserve"> Res Proc 41: 70-72.</w:t>
      </w:r>
      <w:r w:rsidR="00813FA2" w:rsidRPr="00F45CAC">
        <w:rPr>
          <w:lang w:val="en-US"/>
        </w:rPr>
        <w:t xml:space="preserve"> </w:t>
      </w:r>
      <w:hyperlink r:id="rId11" w:history="1">
        <w:r w:rsidR="00813FA2" w:rsidRPr="009F71F9">
          <w:rPr>
            <w:rStyle w:val="Collegamentoipertestuale"/>
            <w:sz w:val="22"/>
            <w:szCs w:val="22"/>
            <w:lang w:val="en-GB"/>
          </w:rPr>
          <w:t>https://doi.org/10.10</w:t>
        </w:r>
        <w:r w:rsidR="00813FA2" w:rsidRPr="009F71F9">
          <w:rPr>
            <w:rStyle w:val="Collegamentoipertestuale"/>
            <w:sz w:val="22"/>
            <w:szCs w:val="22"/>
            <w:lang w:val="en-GB"/>
          </w:rPr>
          <w:t>1</w:t>
        </w:r>
        <w:r w:rsidR="00813FA2" w:rsidRPr="009F71F9">
          <w:rPr>
            <w:rStyle w:val="Collegamentoipertestuale"/>
            <w:sz w:val="22"/>
            <w:szCs w:val="22"/>
            <w:lang w:val="en-GB"/>
          </w:rPr>
          <w:t>6/j.trpro.2019.09.015</w:t>
        </w:r>
      </w:hyperlink>
    </w:p>
    <w:p w14:paraId="0B75E02C" w14:textId="7C73313B" w:rsidR="00A95D5E" w:rsidRPr="00B45304" w:rsidRDefault="00A95D5E" w:rsidP="00481A31">
      <w:pPr>
        <w:jc w:val="both"/>
        <w:rPr>
          <w:sz w:val="22"/>
          <w:szCs w:val="22"/>
          <w:lang w:val="en-GB"/>
        </w:rPr>
      </w:pPr>
      <w:r w:rsidRPr="00B45304">
        <w:rPr>
          <w:sz w:val="22"/>
          <w:szCs w:val="22"/>
          <w:lang w:val="en-GB"/>
        </w:rPr>
        <w:t xml:space="preserve">Eurobarometer, 2014 Attitudes of European citizens towards the environment (No. Special Eurobarometer 416). </w:t>
      </w:r>
      <w:hyperlink r:id="rId12" w:history="1">
        <w:r w:rsidRPr="00A336A3">
          <w:rPr>
            <w:rStyle w:val="Collegamentoipertestuale"/>
            <w:sz w:val="22"/>
            <w:szCs w:val="22"/>
          </w:rPr>
          <w:t>https://op.europa.eu/it/publication-detail/-/publication/c138fd8e-d160-4218-bbd5-ecd2e0305d29/language-en</w:t>
        </w:r>
      </w:hyperlink>
      <w:r w:rsidR="00A336A3" w:rsidRPr="00A336A3">
        <w:rPr>
          <w:rStyle w:val="Collegamentoipertestuale"/>
          <w:sz w:val="22"/>
          <w:szCs w:val="22"/>
        </w:rPr>
        <w:t>.</w:t>
      </w:r>
      <w:r w:rsidRPr="00A336A3">
        <w:rPr>
          <w:sz w:val="22"/>
          <w:szCs w:val="22"/>
        </w:rPr>
        <w:t xml:space="preserve"> </w:t>
      </w:r>
      <w:r w:rsidR="00A336A3">
        <w:rPr>
          <w:sz w:val="22"/>
          <w:szCs w:val="22"/>
          <w:lang w:val="en-GB"/>
        </w:rPr>
        <w:t xml:space="preserve">Accessed </w:t>
      </w:r>
      <w:r w:rsidRPr="00B45304">
        <w:rPr>
          <w:sz w:val="22"/>
          <w:szCs w:val="22"/>
          <w:lang w:val="en-GB"/>
        </w:rPr>
        <w:t>23 Jun 2022</w:t>
      </w:r>
    </w:p>
    <w:p w14:paraId="4425A504" w14:textId="4F0EB47E" w:rsidR="00A95D5E" w:rsidRPr="00B45304" w:rsidRDefault="00A95D5E" w:rsidP="00481A31">
      <w:pPr>
        <w:jc w:val="both"/>
        <w:rPr>
          <w:sz w:val="22"/>
          <w:szCs w:val="22"/>
          <w:lang w:val="en-GB"/>
        </w:rPr>
      </w:pPr>
      <w:r w:rsidRPr="00B45304">
        <w:rPr>
          <w:sz w:val="22"/>
          <w:szCs w:val="22"/>
          <w:lang w:val="en-GB"/>
        </w:rPr>
        <w:t xml:space="preserve">Hair Jr, JF, Black, WC, </w:t>
      </w:r>
      <w:proofErr w:type="spellStart"/>
      <w:r w:rsidRPr="00B45304">
        <w:rPr>
          <w:sz w:val="22"/>
          <w:szCs w:val="22"/>
          <w:lang w:val="en-GB"/>
        </w:rPr>
        <w:t>Babin</w:t>
      </w:r>
      <w:proofErr w:type="spellEnd"/>
      <w:r w:rsidRPr="00B45304">
        <w:rPr>
          <w:sz w:val="22"/>
          <w:szCs w:val="22"/>
          <w:lang w:val="en-GB"/>
        </w:rPr>
        <w:t>, BJ et al (2014) Multivariate Data Analysis, 7th ed., Vol. 739, Pearson New International Edition, New York</w:t>
      </w:r>
    </w:p>
    <w:p w14:paraId="73386AA9" w14:textId="022F1726" w:rsidR="00A95D5E" w:rsidRPr="00B45304" w:rsidRDefault="00A95D5E" w:rsidP="00481A31">
      <w:pPr>
        <w:jc w:val="both"/>
        <w:rPr>
          <w:sz w:val="22"/>
          <w:szCs w:val="22"/>
          <w:lang w:val="en-GB"/>
        </w:rPr>
      </w:pPr>
      <w:proofErr w:type="spellStart"/>
      <w:r w:rsidRPr="00B45304">
        <w:rPr>
          <w:sz w:val="22"/>
          <w:szCs w:val="22"/>
          <w:lang w:val="en-GB"/>
        </w:rPr>
        <w:t>Larran</w:t>
      </w:r>
      <w:proofErr w:type="spellEnd"/>
      <w:r w:rsidRPr="00B45304">
        <w:rPr>
          <w:sz w:val="22"/>
          <w:szCs w:val="22"/>
          <w:lang w:val="en-GB"/>
        </w:rPr>
        <w:t xml:space="preserve">, M, </w:t>
      </w:r>
      <w:proofErr w:type="spellStart"/>
      <w:r w:rsidRPr="00B45304">
        <w:rPr>
          <w:sz w:val="22"/>
          <w:szCs w:val="22"/>
          <w:lang w:val="en-GB"/>
        </w:rPr>
        <w:t>Andrades</w:t>
      </w:r>
      <w:proofErr w:type="spellEnd"/>
      <w:r w:rsidRPr="00B45304">
        <w:rPr>
          <w:sz w:val="22"/>
          <w:szCs w:val="22"/>
          <w:lang w:val="en-GB"/>
        </w:rPr>
        <w:t xml:space="preserve">, J, 2015 Determining factors of environmental education in Spanish universities. Int. J. Sustain. High. Educ. 16: 251-271. </w:t>
      </w:r>
      <w:hyperlink r:id="rId13" w:history="1">
        <w:r w:rsidRPr="00B45304">
          <w:rPr>
            <w:rStyle w:val="Collegamentoipertestuale"/>
            <w:sz w:val="22"/>
            <w:szCs w:val="22"/>
            <w:lang w:val="en-GB"/>
          </w:rPr>
          <w:t>https://doi.org/10.1108/IJSHE-01-2013-0003</w:t>
        </w:r>
      </w:hyperlink>
    </w:p>
    <w:p w14:paraId="5660B7ED" w14:textId="06644ABA" w:rsidR="00A95D5E" w:rsidRPr="00B45304" w:rsidRDefault="00A95D5E" w:rsidP="00481A31">
      <w:pPr>
        <w:jc w:val="both"/>
        <w:rPr>
          <w:sz w:val="22"/>
          <w:szCs w:val="22"/>
          <w:lang w:val="en-GB"/>
        </w:rPr>
      </w:pPr>
      <w:r w:rsidRPr="00B45304">
        <w:rPr>
          <w:sz w:val="22"/>
          <w:szCs w:val="22"/>
          <w:lang w:val="en-GB"/>
        </w:rPr>
        <w:t xml:space="preserve">Longo, G, </w:t>
      </w:r>
      <w:proofErr w:type="spellStart"/>
      <w:r w:rsidRPr="00B45304">
        <w:rPr>
          <w:sz w:val="22"/>
          <w:szCs w:val="22"/>
          <w:lang w:val="en-GB"/>
        </w:rPr>
        <w:t>Medeossi</w:t>
      </w:r>
      <w:proofErr w:type="spellEnd"/>
      <w:r w:rsidRPr="00B45304">
        <w:rPr>
          <w:sz w:val="22"/>
          <w:szCs w:val="22"/>
          <w:lang w:val="en-GB"/>
        </w:rPr>
        <w:t xml:space="preserve">, G, </w:t>
      </w:r>
      <w:proofErr w:type="spellStart"/>
      <w:r w:rsidRPr="00B45304">
        <w:rPr>
          <w:sz w:val="22"/>
          <w:szCs w:val="22"/>
          <w:lang w:val="en-GB"/>
        </w:rPr>
        <w:t>Padoano</w:t>
      </w:r>
      <w:proofErr w:type="spellEnd"/>
      <w:r w:rsidRPr="00B45304">
        <w:rPr>
          <w:sz w:val="22"/>
          <w:szCs w:val="22"/>
          <w:lang w:val="en-GB"/>
        </w:rPr>
        <w:t>, E (2015) Multi-Criteria analysis to support mobility management at a university campus, in</w:t>
      </w:r>
      <w:r w:rsidR="00481A31">
        <w:rPr>
          <w:sz w:val="22"/>
          <w:szCs w:val="22"/>
          <w:lang w:val="en-GB"/>
        </w:rPr>
        <w:t>:</w:t>
      </w:r>
      <w:r w:rsidRPr="00B45304">
        <w:rPr>
          <w:sz w:val="22"/>
          <w:szCs w:val="22"/>
          <w:lang w:val="en-GB"/>
        </w:rPr>
        <w:t xml:space="preserve"> </w:t>
      </w:r>
      <w:proofErr w:type="spellStart"/>
      <w:r w:rsidRPr="00B45304">
        <w:rPr>
          <w:sz w:val="22"/>
          <w:szCs w:val="22"/>
          <w:lang w:val="en-GB"/>
        </w:rPr>
        <w:t>Musso</w:t>
      </w:r>
      <w:proofErr w:type="spellEnd"/>
      <w:r w:rsidRPr="00B45304">
        <w:rPr>
          <w:sz w:val="22"/>
          <w:szCs w:val="22"/>
          <w:lang w:val="en-GB"/>
        </w:rPr>
        <w:t xml:space="preserve">, A, </w:t>
      </w:r>
      <w:proofErr w:type="spellStart"/>
      <w:r w:rsidRPr="00B45304">
        <w:rPr>
          <w:sz w:val="22"/>
          <w:szCs w:val="22"/>
          <w:lang w:val="en-GB"/>
        </w:rPr>
        <w:t>Nuzzolo</w:t>
      </w:r>
      <w:proofErr w:type="spellEnd"/>
      <w:r w:rsidRPr="00B45304">
        <w:rPr>
          <w:sz w:val="22"/>
          <w:szCs w:val="22"/>
          <w:lang w:val="en-GB"/>
        </w:rPr>
        <w:t xml:space="preserve">, A, </w:t>
      </w:r>
      <w:proofErr w:type="spellStart"/>
      <w:r w:rsidRPr="00B45304">
        <w:rPr>
          <w:sz w:val="22"/>
          <w:szCs w:val="22"/>
          <w:lang w:val="en-GB"/>
        </w:rPr>
        <w:t>Crisalli</w:t>
      </w:r>
      <w:proofErr w:type="spellEnd"/>
      <w:r w:rsidRPr="00B45304">
        <w:rPr>
          <w:sz w:val="22"/>
          <w:szCs w:val="22"/>
          <w:lang w:val="en-GB"/>
        </w:rPr>
        <w:t xml:space="preserve">, </w:t>
      </w:r>
      <w:r w:rsidR="00481A31">
        <w:rPr>
          <w:sz w:val="22"/>
          <w:szCs w:val="22"/>
          <w:lang w:val="en-GB"/>
        </w:rPr>
        <w:t>et al (Ed)</w:t>
      </w:r>
      <w:r w:rsidRPr="00B45304">
        <w:rPr>
          <w:sz w:val="22"/>
          <w:szCs w:val="22"/>
          <w:lang w:val="en-GB"/>
        </w:rPr>
        <w:t xml:space="preserve"> </w:t>
      </w:r>
      <w:proofErr w:type="spellStart"/>
      <w:r w:rsidRPr="00B45304">
        <w:rPr>
          <w:sz w:val="22"/>
          <w:szCs w:val="22"/>
          <w:lang w:val="en-GB"/>
        </w:rPr>
        <w:t>Sidt</w:t>
      </w:r>
      <w:proofErr w:type="spellEnd"/>
      <w:r w:rsidRPr="00B45304">
        <w:rPr>
          <w:sz w:val="22"/>
          <w:szCs w:val="22"/>
          <w:lang w:val="en-GB"/>
        </w:rPr>
        <w:t xml:space="preserve"> Scientific Seminar 2013. Elsevier Science </w:t>
      </w:r>
      <w:proofErr w:type="spellStart"/>
      <w:r w:rsidRPr="00B45304">
        <w:rPr>
          <w:sz w:val="22"/>
          <w:szCs w:val="22"/>
          <w:lang w:val="en-GB"/>
        </w:rPr>
        <w:t>Bv</w:t>
      </w:r>
      <w:proofErr w:type="spellEnd"/>
      <w:r w:rsidRPr="00B45304">
        <w:rPr>
          <w:sz w:val="22"/>
          <w:szCs w:val="22"/>
          <w:lang w:val="en-GB"/>
        </w:rPr>
        <w:t xml:space="preserve">, Amsterdam, </w:t>
      </w:r>
      <w:r w:rsidR="00481A31">
        <w:rPr>
          <w:sz w:val="22"/>
          <w:szCs w:val="22"/>
          <w:lang w:val="en-GB"/>
        </w:rPr>
        <w:t xml:space="preserve">pp </w:t>
      </w:r>
      <w:r w:rsidRPr="00B45304">
        <w:rPr>
          <w:sz w:val="22"/>
          <w:szCs w:val="22"/>
          <w:lang w:val="en-GB"/>
        </w:rPr>
        <w:t>175-185</w:t>
      </w:r>
    </w:p>
    <w:p w14:paraId="577CD38A" w14:textId="51398A80" w:rsidR="00A95D5E" w:rsidRPr="00B45304" w:rsidRDefault="00A95D5E" w:rsidP="00481A31">
      <w:pPr>
        <w:jc w:val="both"/>
        <w:rPr>
          <w:sz w:val="22"/>
          <w:szCs w:val="22"/>
          <w:lang w:val="en-GB"/>
        </w:rPr>
      </w:pPr>
      <w:proofErr w:type="spellStart"/>
      <w:r w:rsidRPr="00B45304">
        <w:rPr>
          <w:sz w:val="22"/>
          <w:szCs w:val="22"/>
          <w:lang w:val="en-GB"/>
        </w:rPr>
        <w:t>Niglio</w:t>
      </w:r>
      <w:proofErr w:type="spellEnd"/>
      <w:r w:rsidRPr="00B45304">
        <w:rPr>
          <w:sz w:val="22"/>
          <w:szCs w:val="22"/>
          <w:lang w:val="en-GB"/>
        </w:rPr>
        <w:t xml:space="preserve">, R, </w:t>
      </w:r>
      <w:proofErr w:type="spellStart"/>
      <w:r w:rsidRPr="00B45304">
        <w:rPr>
          <w:sz w:val="22"/>
          <w:szCs w:val="22"/>
          <w:lang w:val="en-GB"/>
        </w:rPr>
        <w:t>Comitale</w:t>
      </w:r>
      <w:proofErr w:type="spellEnd"/>
      <w:r w:rsidRPr="00B45304">
        <w:rPr>
          <w:sz w:val="22"/>
          <w:szCs w:val="22"/>
          <w:lang w:val="en-GB"/>
        </w:rPr>
        <w:t xml:space="preserve"> PP (2015) Sustainable urban mobility towards smart mobility: the case study of Bari area, Italy. </w:t>
      </w:r>
      <w:proofErr w:type="spellStart"/>
      <w:r w:rsidRPr="00B45304">
        <w:rPr>
          <w:sz w:val="22"/>
          <w:szCs w:val="22"/>
          <w:lang w:val="en-GB"/>
        </w:rPr>
        <w:t>Tema</w:t>
      </w:r>
      <w:proofErr w:type="spellEnd"/>
      <w:r w:rsidRPr="00B45304">
        <w:rPr>
          <w:sz w:val="22"/>
          <w:szCs w:val="22"/>
          <w:lang w:val="en-GB"/>
        </w:rPr>
        <w:t>. J</w:t>
      </w:r>
      <w:r w:rsidR="00A336A3">
        <w:rPr>
          <w:sz w:val="22"/>
          <w:szCs w:val="22"/>
          <w:lang w:val="en-GB"/>
        </w:rPr>
        <w:t xml:space="preserve"> </w:t>
      </w:r>
      <w:r w:rsidRPr="00B45304">
        <w:rPr>
          <w:sz w:val="22"/>
          <w:szCs w:val="22"/>
          <w:lang w:val="en-GB"/>
        </w:rPr>
        <w:t xml:space="preserve">Land Use, Mob and Environ, 8 (2): 219-243. </w:t>
      </w:r>
      <w:proofErr w:type="spellStart"/>
      <w:r w:rsidRPr="00B45304">
        <w:rPr>
          <w:sz w:val="22"/>
          <w:szCs w:val="22"/>
          <w:lang w:val="en-GB"/>
        </w:rPr>
        <w:t>doi</w:t>
      </w:r>
      <w:proofErr w:type="spellEnd"/>
      <w:r w:rsidRPr="00B45304">
        <w:rPr>
          <w:sz w:val="22"/>
          <w:szCs w:val="22"/>
          <w:lang w:val="en-GB"/>
        </w:rPr>
        <w:t xml:space="preserve">: </w:t>
      </w:r>
      <w:hyperlink r:id="rId14" w:history="1">
        <w:r w:rsidRPr="00B45304">
          <w:rPr>
            <w:rStyle w:val="Collegamentoipertestuale"/>
            <w:sz w:val="22"/>
            <w:szCs w:val="22"/>
            <w:lang w:val="en-GB"/>
          </w:rPr>
          <w:t>http://dx.doi.org/10.6092/1970-9870/3009</w:t>
        </w:r>
      </w:hyperlink>
    </w:p>
    <w:p w14:paraId="6ACC4A2B" w14:textId="278331C2" w:rsidR="00A95D5E" w:rsidRPr="007478FC" w:rsidRDefault="00A95D5E" w:rsidP="00481A31">
      <w:pPr>
        <w:jc w:val="both"/>
        <w:rPr>
          <w:sz w:val="22"/>
          <w:szCs w:val="22"/>
        </w:rPr>
      </w:pPr>
      <w:r w:rsidRPr="007478FC">
        <w:rPr>
          <w:sz w:val="22"/>
          <w:szCs w:val="22"/>
        </w:rPr>
        <w:t xml:space="preserve">Orchi, </w:t>
      </w:r>
      <w:proofErr w:type="spellStart"/>
      <w:r w:rsidRPr="007478FC">
        <w:rPr>
          <w:sz w:val="22"/>
          <w:szCs w:val="22"/>
        </w:rPr>
        <w:t>S,Valentini</w:t>
      </w:r>
      <w:proofErr w:type="spellEnd"/>
      <w:r w:rsidRPr="007478FC">
        <w:rPr>
          <w:sz w:val="22"/>
          <w:szCs w:val="22"/>
        </w:rPr>
        <w:t xml:space="preserve">, MP (2014) Il ruolo strategico dei Piani Urbani della Mobilità Sostenibile in Europa e in Italia. Energia, Ambiente e </w:t>
      </w:r>
      <w:proofErr w:type="spellStart"/>
      <w:r w:rsidRPr="007478FC">
        <w:rPr>
          <w:sz w:val="22"/>
          <w:szCs w:val="22"/>
        </w:rPr>
        <w:t>Innov</w:t>
      </w:r>
      <w:proofErr w:type="spellEnd"/>
      <w:r w:rsidRPr="007478FC">
        <w:rPr>
          <w:sz w:val="22"/>
          <w:szCs w:val="22"/>
        </w:rPr>
        <w:t xml:space="preserve">, 2-3. </w:t>
      </w:r>
      <w:proofErr w:type="spellStart"/>
      <w:r w:rsidRPr="007478FC">
        <w:rPr>
          <w:sz w:val="22"/>
          <w:szCs w:val="22"/>
        </w:rPr>
        <w:t>doi</w:t>
      </w:r>
      <w:proofErr w:type="spellEnd"/>
      <w:r w:rsidRPr="007478FC">
        <w:rPr>
          <w:sz w:val="22"/>
          <w:szCs w:val="22"/>
        </w:rPr>
        <w:t>: 10.12910/EAI2014-60</w:t>
      </w:r>
    </w:p>
    <w:p w14:paraId="3A46492F" w14:textId="6F18B079" w:rsidR="00A95D5E" w:rsidRPr="007478FC" w:rsidRDefault="00A95D5E" w:rsidP="00481A31">
      <w:pPr>
        <w:jc w:val="both"/>
        <w:rPr>
          <w:sz w:val="22"/>
          <w:szCs w:val="22"/>
        </w:rPr>
      </w:pPr>
      <w:r w:rsidRPr="007478FC">
        <w:rPr>
          <w:sz w:val="22"/>
          <w:szCs w:val="22"/>
        </w:rPr>
        <w:t xml:space="preserve">Sgarra V et al (2022). </w:t>
      </w:r>
      <w:r w:rsidRPr="00B45304">
        <w:rPr>
          <w:sz w:val="22"/>
          <w:szCs w:val="22"/>
          <w:lang w:val="en-GB"/>
        </w:rPr>
        <w:t xml:space="preserve">Improving sustainable mobility in university campuses: the case study of Sapienza University. In: XXV International Conference Living and Walking in Cities - New scenarios for safe mobility in urban areas (LWC 2021), Trans Research Proc, 60: 108-115. </w:t>
      </w:r>
      <w:r w:rsidRPr="007478FC">
        <w:rPr>
          <w:sz w:val="22"/>
          <w:szCs w:val="22"/>
        </w:rPr>
        <w:t>10.1016/j.trpro.2021.12.015</w:t>
      </w:r>
    </w:p>
    <w:p w14:paraId="357269C4" w14:textId="7CE0F3DB" w:rsidR="00A95D5E" w:rsidRPr="007478FC" w:rsidRDefault="00A95D5E" w:rsidP="00481A31">
      <w:pPr>
        <w:jc w:val="both"/>
        <w:rPr>
          <w:sz w:val="22"/>
          <w:szCs w:val="22"/>
        </w:rPr>
      </w:pPr>
      <w:proofErr w:type="spellStart"/>
      <w:r w:rsidRPr="007478FC">
        <w:rPr>
          <w:sz w:val="22"/>
          <w:szCs w:val="22"/>
        </w:rPr>
        <w:t>TerraUp</w:t>
      </w:r>
      <w:proofErr w:type="spellEnd"/>
      <w:r w:rsidRPr="007478FC">
        <w:rPr>
          <w:sz w:val="22"/>
          <w:szCs w:val="22"/>
        </w:rPr>
        <w:t xml:space="preserve"> (2022) Misura le tue </w:t>
      </w:r>
      <w:proofErr w:type="spellStart"/>
      <w:r w:rsidRPr="007478FC">
        <w:rPr>
          <w:sz w:val="22"/>
          <w:szCs w:val="22"/>
        </w:rPr>
        <w:t>emission</w:t>
      </w:r>
      <w:proofErr w:type="spellEnd"/>
      <w:r w:rsidRPr="007478FC">
        <w:rPr>
          <w:sz w:val="22"/>
          <w:szCs w:val="22"/>
        </w:rPr>
        <w:t xml:space="preserve">. </w:t>
      </w:r>
      <w:hyperlink r:id="rId15" w:history="1">
        <w:r w:rsidRPr="007478FC">
          <w:rPr>
            <w:rStyle w:val="Collegamentoipertestuale"/>
            <w:sz w:val="22"/>
            <w:szCs w:val="22"/>
          </w:rPr>
          <w:t>https://www.terraup.it/</w:t>
        </w:r>
      </w:hyperlink>
      <w:r w:rsidR="00A336A3">
        <w:rPr>
          <w:sz w:val="22"/>
          <w:szCs w:val="22"/>
        </w:rPr>
        <w:t xml:space="preserve">. Accessed </w:t>
      </w:r>
      <w:r w:rsidRPr="007478FC">
        <w:rPr>
          <w:sz w:val="22"/>
          <w:szCs w:val="22"/>
        </w:rPr>
        <w:t xml:space="preserve">23 </w:t>
      </w:r>
      <w:proofErr w:type="spellStart"/>
      <w:r w:rsidRPr="007478FC">
        <w:rPr>
          <w:sz w:val="22"/>
          <w:szCs w:val="22"/>
        </w:rPr>
        <w:t>Jun</w:t>
      </w:r>
      <w:proofErr w:type="spellEnd"/>
      <w:r w:rsidRPr="007478FC">
        <w:rPr>
          <w:sz w:val="22"/>
          <w:szCs w:val="22"/>
        </w:rPr>
        <w:t xml:space="preserve"> 202</w:t>
      </w:r>
      <w:r w:rsidR="00A336A3">
        <w:rPr>
          <w:sz w:val="22"/>
          <w:szCs w:val="22"/>
        </w:rPr>
        <w:t>2</w:t>
      </w:r>
    </w:p>
    <w:p w14:paraId="015047F1" w14:textId="55090B5F" w:rsidR="00A95D5E" w:rsidRPr="00B45304" w:rsidRDefault="00A95D5E" w:rsidP="00481A31">
      <w:pPr>
        <w:jc w:val="both"/>
        <w:rPr>
          <w:sz w:val="22"/>
          <w:szCs w:val="22"/>
          <w:lang w:val="en-GB"/>
        </w:rPr>
      </w:pPr>
      <w:proofErr w:type="spellStart"/>
      <w:r w:rsidRPr="007478FC">
        <w:rPr>
          <w:sz w:val="22"/>
          <w:szCs w:val="22"/>
        </w:rPr>
        <w:t>Velazquez</w:t>
      </w:r>
      <w:proofErr w:type="spellEnd"/>
      <w:r w:rsidRPr="007478FC">
        <w:rPr>
          <w:sz w:val="22"/>
          <w:szCs w:val="22"/>
        </w:rPr>
        <w:t xml:space="preserve">, L, </w:t>
      </w:r>
      <w:proofErr w:type="spellStart"/>
      <w:r w:rsidRPr="007478FC">
        <w:rPr>
          <w:sz w:val="22"/>
          <w:szCs w:val="22"/>
        </w:rPr>
        <w:t>Munguia</w:t>
      </w:r>
      <w:proofErr w:type="spellEnd"/>
      <w:r w:rsidRPr="007478FC">
        <w:rPr>
          <w:sz w:val="22"/>
          <w:szCs w:val="22"/>
        </w:rPr>
        <w:t xml:space="preserve">, N, Platt et al (2006). </w:t>
      </w:r>
      <w:r w:rsidRPr="00B45304">
        <w:rPr>
          <w:sz w:val="22"/>
          <w:szCs w:val="22"/>
          <w:lang w:val="en-GB"/>
        </w:rPr>
        <w:t>Sustainable university: what can be the matter? J. Clean. Prod 14:810819</w:t>
      </w:r>
    </w:p>
    <w:p w14:paraId="1E7C380B" w14:textId="658F4979" w:rsidR="000E13B8" w:rsidRPr="00B45304" w:rsidRDefault="000E13B8" w:rsidP="00B45304">
      <w:pPr>
        <w:jc w:val="both"/>
        <w:rPr>
          <w:sz w:val="22"/>
          <w:szCs w:val="22"/>
          <w:lang w:val="en-GB"/>
        </w:rPr>
      </w:pPr>
    </w:p>
    <w:p w14:paraId="05F7B442" w14:textId="77777777" w:rsidR="00AE5914" w:rsidRPr="00B45304" w:rsidRDefault="00AE5914" w:rsidP="00B45304">
      <w:pPr>
        <w:jc w:val="both"/>
        <w:rPr>
          <w:b/>
          <w:sz w:val="22"/>
          <w:szCs w:val="22"/>
          <w:lang w:val="en-GB"/>
        </w:rPr>
      </w:pPr>
      <w:proofErr w:type="spellStart"/>
      <w:r w:rsidRPr="00B45304">
        <w:rPr>
          <w:b/>
          <w:sz w:val="22"/>
          <w:szCs w:val="22"/>
          <w:lang w:val="en-GB"/>
        </w:rPr>
        <w:t>CRediT</w:t>
      </w:r>
      <w:proofErr w:type="spellEnd"/>
      <w:r w:rsidRPr="00B45304">
        <w:rPr>
          <w:b/>
          <w:sz w:val="22"/>
          <w:szCs w:val="22"/>
          <w:lang w:val="en-GB"/>
        </w:rPr>
        <w:t xml:space="preserve"> author statement</w:t>
      </w:r>
    </w:p>
    <w:p w14:paraId="2463022F" w14:textId="34AC1BCC" w:rsidR="00994A05" w:rsidRPr="00B45304" w:rsidRDefault="008C6983" w:rsidP="00B45304">
      <w:pPr>
        <w:jc w:val="both"/>
        <w:rPr>
          <w:sz w:val="22"/>
          <w:szCs w:val="22"/>
          <w:lang w:val="en-GB"/>
        </w:rPr>
      </w:pPr>
      <w:r w:rsidRPr="00B45304">
        <w:rPr>
          <w:sz w:val="22"/>
          <w:szCs w:val="22"/>
          <w:lang w:val="en-GB"/>
        </w:rPr>
        <w:t>T</w:t>
      </w:r>
      <w:r w:rsidR="00AE5914" w:rsidRPr="00B45304">
        <w:rPr>
          <w:sz w:val="22"/>
          <w:szCs w:val="22"/>
          <w:lang w:val="en-GB"/>
        </w:rPr>
        <w:t xml:space="preserve">. </w:t>
      </w:r>
      <w:r w:rsidRPr="00B45304">
        <w:rPr>
          <w:sz w:val="22"/>
          <w:szCs w:val="22"/>
          <w:lang w:val="en-GB"/>
        </w:rPr>
        <w:t>Crovella contributed in software, data curation, validation, methodology</w:t>
      </w:r>
      <w:r w:rsidR="00AE5914" w:rsidRPr="00B45304">
        <w:rPr>
          <w:sz w:val="22"/>
          <w:szCs w:val="22"/>
          <w:lang w:val="en-GB"/>
        </w:rPr>
        <w:t xml:space="preserve">, </w:t>
      </w:r>
      <w:r w:rsidRPr="00B45304">
        <w:rPr>
          <w:sz w:val="22"/>
          <w:szCs w:val="22"/>
          <w:lang w:val="en-GB"/>
        </w:rPr>
        <w:t>writing-original draft and supervision. S</w:t>
      </w:r>
      <w:r w:rsidR="00AE5914" w:rsidRPr="00B45304">
        <w:rPr>
          <w:sz w:val="22"/>
          <w:szCs w:val="22"/>
          <w:lang w:val="en-GB"/>
        </w:rPr>
        <w:t xml:space="preserve">. </w:t>
      </w:r>
      <w:proofErr w:type="spellStart"/>
      <w:r w:rsidRPr="00B45304">
        <w:rPr>
          <w:sz w:val="22"/>
          <w:szCs w:val="22"/>
          <w:lang w:val="en-GB"/>
        </w:rPr>
        <w:t>Burdi</w:t>
      </w:r>
      <w:proofErr w:type="spellEnd"/>
      <w:r w:rsidRPr="00B45304">
        <w:rPr>
          <w:sz w:val="22"/>
          <w:szCs w:val="22"/>
          <w:lang w:val="en-GB"/>
        </w:rPr>
        <w:t xml:space="preserve"> contributed in </w:t>
      </w:r>
      <w:r w:rsidR="00064C05">
        <w:rPr>
          <w:sz w:val="22"/>
          <w:szCs w:val="22"/>
          <w:lang w:val="en-GB"/>
        </w:rPr>
        <w:t xml:space="preserve">review </w:t>
      </w:r>
      <w:r w:rsidRPr="00B45304">
        <w:rPr>
          <w:sz w:val="22"/>
          <w:szCs w:val="22"/>
          <w:lang w:val="en-GB"/>
        </w:rPr>
        <w:t>editing.</w:t>
      </w:r>
      <w:r w:rsidR="00AE5914" w:rsidRPr="00B45304">
        <w:rPr>
          <w:sz w:val="22"/>
          <w:szCs w:val="22"/>
          <w:lang w:val="en-GB"/>
        </w:rPr>
        <w:t xml:space="preserve"> </w:t>
      </w:r>
      <w:r w:rsidRPr="00B45304">
        <w:rPr>
          <w:sz w:val="22"/>
          <w:szCs w:val="22"/>
          <w:lang w:val="en-GB"/>
        </w:rPr>
        <w:t>A</w:t>
      </w:r>
      <w:r w:rsidR="00AE5914" w:rsidRPr="00B45304">
        <w:rPr>
          <w:sz w:val="22"/>
          <w:szCs w:val="22"/>
          <w:lang w:val="en-GB"/>
        </w:rPr>
        <w:t xml:space="preserve">. </w:t>
      </w:r>
      <w:proofErr w:type="spellStart"/>
      <w:r w:rsidRPr="00B45304">
        <w:rPr>
          <w:sz w:val="22"/>
          <w:szCs w:val="22"/>
          <w:lang w:val="en-GB"/>
        </w:rPr>
        <w:t>Pontrandolfo</w:t>
      </w:r>
      <w:proofErr w:type="spellEnd"/>
      <w:r w:rsidRPr="00B45304">
        <w:rPr>
          <w:sz w:val="22"/>
          <w:szCs w:val="22"/>
          <w:lang w:val="en-GB"/>
        </w:rPr>
        <w:t xml:space="preserve"> contributed in methodology</w:t>
      </w:r>
      <w:r w:rsidR="00AE5914" w:rsidRPr="00B45304">
        <w:rPr>
          <w:sz w:val="22"/>
          <w:szCs w:val="22"/>
          <w:lang w:val="en-GB"/>
        </w:rPr>
        <w:t xml:space="preserve">. A. </w:t>
      </w:r>
      <w:proofErr w:type="spellStart"/>
      <w:r w:rsidR="00AE5914" w:rsidRPr="00B45304">
        <w:rPr>
          <w:sz w:val="22"/>
          <w:szCs w:val="22"/>
          <w:lang w:val="en-GB"/>
        </w:rPr>
        <w:t>Paiano</w:t>
      </w:r>
      <w:proofErr w:type="spellEnd"/>
      <w:r w:rsidR="00AE5914" w:rsidRPr="00B45304">
        <w:rPr>
          <w:sz w:val="22"/>
          <w:szCs w:val="22"/>
          <w:lang w:val="en-GB"/>
        </w:rPr>
        <w:t xml:space="preserve"> contributed in </w:t>
      </w:r>
      <w:r w:rsidR="008503F8">
        <w:rPr>
          <w:sz w:val="22"/>
          <w:szCs w:val="22"/>
          <w:lang w:val="en-GB"/>
        </w:rPr>
        <w:t>conceptualisation, writing original draft</w:t>
      </w:r>
      <w:r w:rsidRPr="00B45304">
        <w:rPr>
          <w:sz w:val="22"/>
          <w:szCs w:val="22"/>
          <w:lang w:val="en-GB"/>
        </w:rPr>
        <w:t xml:space="preserve"> and </w:t>
      </w:r>
      <w:r w:rsidR="00AE5914" w:rsidRPr="00B45304">
        <w:rPr>
          <w:sz w:val="22"/>
          <w:szCs w:val="22"/>
          <w:lang w:val="en-GB"/>
        </w:rPr>
        <w:t>supervision.</w:t>
      </w:r>
    </w:p>
    <w:sectPr w:rsidR="00994A05" w:rsidRPr="00B45304" w:rsidSect="00E43F28">
      <w:headerReference w:type="even" r:id="rId16"/>
      <w:headerReference w:type="default" r:id="rId17"/>
      <w:headerReference w:type="first" r:id="rId18"/>
      <w:footerReference w:type="first" r:id="rId19"/>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C715" w14:textId="77777777" w:rsidR="00892C3E" w:rsidRDefault="00892C3E">
      <w:r>
        <w:separator/>
      </w:r>
    </w:p>
  </w:endnote>
  <w:endnote w:type="continuationSeparator" w:id="0">
    <w:p w14:paraId="268BEC7B" w14:textId="77777777" w:rsidR="00892C3E" w:rsidRDefault="0089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A2A4" w14:textId="77777777" w:rsidR="00116FB9" w:rsidRPr="000343A6" w:rsidRDefault="00116FB9">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0CD1" w14:textId="77777777" w:rsidR="00892C3E" w:rsidRDefault="00892C3E">
      <w:r>
        <w:separator/>
      </w:r>
    </w:p>
  </w:footnote>
  <w:footnote w:type="continuationSeparator" w:id="0">
    <w:p w14:paraId="3E5BAAE1" w14:textId="77777777" w:rsidR="00892C3E" w:rsidRDefault="0089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5314" w14:textId="5E71B668" w:rsidR="00116FB9" w:rsidRPr="00B942F1" w:rsidRDefault="00116FB9" w:rsidP="00A17B32">
    <w:pPr>
      <w:pStyle w:val="Intestazione"/>
      <w:tabs>
        <w:tab w:val="clear" w:pos="4320"/>
        <w:tab w:val="center" w:pos="3600"/>
      </w:tabs>
      <w:spacing w:after="280" w:line="180" w:lineRule="exact"/>
      <w:rPr>
        <w:i/>
        <w:sz w:val="18"/>
      </w:rPr>
    </w:pPr>
    <w:r>
      <w:rPr>
        <w:noProof/>
        <w:sz w:val="18"/>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Pr="000E2F27">
      <w:rPr>
        <w:rStyle w:val="Numeropagina"/>
        <w:sz w:val="18"/>
      </w:rPr>
      <w:fldChar w:fldCharType="begin"/>
    </w:r>
    <w:r w:rsidRPr="00B942F1">
      <w:rPr>
        <w:rStyle w:val="Numeropagina"/>
        <w:sz w:val="18"/>
      </w:rPr>
      <w:instrText xml:space="preserve">PAGE  </w:instrText>
    </w:r>
    <w:r w:rsidRPr="000E2F27">
      <w:rPr>
        <w:rStyle w:val="Numeropagina"/>
        <w:sz w:val="18"/>
      </w:rPr>
      <w:fldChar w:fldCharType="separate"/>
    </w:r>
    <w:r w:rsidRPr="00B942F1">
      <w:rPr>
        <w:rStyle w:val="Numeropagina"/>
        <w:noProof/>
        <w:sz w:val="18"/>
      </w:rPr>
      <w:t>4</w:t>
    </w:r>
    <w:r w:rsidRPr="000E2F27">
      <w:rPr>
        <w:rStyle w:val="Numeropagina"/>
        <w:sz w:val="18"/>
      </w:rPr>
      <w:fldChar w:fldCharType="end"/>
    </w:r>
    <w:r w:rsidRPr="00B942F1">
      <w:rPr>
        <w:rStyle w:val="Numeropagina"/>
        <w:sz w:val="18"/>
      </w:rPr>
      <w:tab/>
    </w:r>
    <w:r w:rsidRPr="00B942F1">
      <w:rPr>
        <w:i/>
        <w:sz w:val="18"/>
      </w:rPr>
      <w:t xml:space="preserve">T. Crovella et 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3CC7" w14:textId="5408CDC8" w:rsidR="00116FB9" w:rsidRPr="007478FC" w:rsidRDefault="00116FB9" w:rsidP="00A17B32">
    <w:pPr>
      <w:pStyle w:val="Intestazione"/>
      <w:tabs>
        <w:tab w:val="clear" w:pos="4320"/>
        <w:tab w:val="clear" w:pos="8640"/>
        <w:tab w:val="center" w:pos="3600"/>
        <w:tab w:val="right" w:pos="7200"/>
      </w:tabs>
      <w:spacing w:after="280" w:line="180" w:lineRule="exact"/>
      <w:rPr>
        <w:rStyle w:val="Numeropagina"/>
        <w:sz w:val="18"/>
        <w:lang w:val="en-GB"/>
      </w:rPr>
    </w:pPr>
    <w:r>
      <w:rPr>
        <w:noProof/>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Pr="007478FC">
      <w:rPr>
        <w:lang w:val="en-GB"/>
      </w:rPr>
      <w:tab/>
    </w:r>
    <w:r w:rsidRPr="00B942F1">
      <w:rPr>
        <w:i/>
        <w:noProof/>
        <w:sz w:val="18"/>
        <w:lang w:val="en-SG" w:eastAsia="en-SG"/>
      </w:rPr>
      <w:t>University students and mobility. A sustainability analysis</w:t>
    </w:r>
    <w:r w:rsidRPr="000E2F27">
      <w:rPr>
        <w:i/>
        <w:noProof/>
        <w:sz w:val="18"/>
        <w:lang w:val="en-SG" w:eastAsia="en-SG"/>
      </w:rPr>
      <w:tab/>
    </w:r>
    <w:r w:rsidRPr="000E2F27">
      <w:rPr>
        <w:rStyle w:val="Numeropagina"/>
        <w:sz w:val="18"/>
      </w:rPr>
      <w:fldChar w:fldCharType="begin"/>
    </w:r>
    <w:r w:rsidRPr="007478FC">
      <w:rPr>
        <w:rStyle w:val="Numeropagina"/>
        <w:sz w:val="18"/>
        <w:lang w:val="en-GB"/>
      </w:rPr>
      <w:instrText xml:space="preserve">PAGE  </w:instrText>
    </w:r>
    <w:r w:rsidRPr="000E2F27">
      <w:rPr>
        <w:rStyle w:val="Numeropagina"/>
        <w:sz w:val="18"/>
      </w:rPr>
      <w:fldChar w:fldCharType="separate"/>
    </w:r>
    <w:r w:rsidRPr="007478FC">
      <w:rPr>
        <w:rStyle w:val="Numeropagina"/>
        <w:noProof/>
        <w:sz w:val="18"/>
        <w:lang w:val="en-GB"/>
      </w:rPr>
      <w:t>5</w:t>
    </w:r>
    <w:r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8310" w14:textId="77777777" w:rsidR="00116FB9" w:rsidRDefault="00116FB9">
    <w:pPr>
      <w:pStyle w:val="Intestazione"/>
    </w:pPr>
    <w:r>
      <w:rPr>
        <w:noProof/>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1BB7764D"/>
    <w:multiLevelType w:val="multilevel"/>
    <w:tmpl w:val="8D0EB2D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12512E"/>
    <w:multiLevelType w:val="hybridMultilevel"/>
    <w:tmpl w:val="0E0C4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2013E39"/>
    <w:multiLevelType w:val="multilevel"/>
    <w:tmpl w:val="C55E240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6"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7"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9" w15:restartNumberingAfterBreak="0">
    <w:nsid w:val="46236D90"/>
    <w:multiLevelType w:val="hybridMultilevel"/>
    <w:tmpl w:val="F69EB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9F19EA"/>
    <w:multiLevelType w:val="multilevel"/>
    <w:tmpl w:val="DA1C22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22" w15:restartNumberingAfterBreak="0">
    <w:nsid w:val="53AE7E40"/>
    <w:multiLevelType w:val="multilevel"/>
    <w:tmpl w:val="5AA4C72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4"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6592524D"/>
    <w:multiLevelType w:val="multilevel"/>
    <w:tmpl w:val="1234C33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7"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8"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7"/>
  </w:num>
  <w:num w:numId="2">
    <w:abstractNumId w:val="23"/>
  </w:num>
  <w:num w:numId="3">
    <w:abstractNumId w:val="21"/>
  </w:num>
  <w:num w:numId="4">
    <w:abstractNumId w:val="9"/>
  </w:num>
  <w:num w:numId="5">
    <w:abstractNumId w:val="28"/>
  </w:num>
  <w:num w:numId="6">
    <w:abstractNumId w:val="12"/>
  </w:num>
  <w:num w:numId="7">
    <w:abstractNumId w:val="5"/>
  </w:num>
  <w:num w:numId="8">
    <w:abstractNumId w:val="14"/>
  </w:num>
  <w:num w:numId="9">
    <w:abstractNumId w:val="15"/>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num>
  <w:num w:numId="21">
    <w:abstractNumId w:val="24"/>
  </w:num>
  <w:num w:numId="22">
    <w:abstractNumId w:val="12"/>
  </w:num>
  <w:num w:numId="23">
    <w:abstractNumId w:val="12"/>
  </w:num>
  <w:num w:numId="24">
    <w:abstractNumId w:val="0"/>
  </w:num>
  <w:num w:numId="25">
    <w:abstractNumId w:val="6"/>
  </w:num>
  <w:num w:numId="26">
    <w:abstractNumId w:val="3"/>
  </w:num>
  <w:num w:numId="27">
    <w:abstractNumId w:val="17"/>
  </w:num>
  <w:num w:numId="28">
    <w:abstractNumId w:val="2"/>
  </w:num>
  <w:num w:numId="29">
    <w:abstractNumId w:val="8"/>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lvlOverride w:ilvl="0">
      <w:startOverride w:val="1"/>
    </w:lvlOverride>
  </w:num>
  <w:num w:numId="39">
    <w:abstractNumId w:val="7"/>
  </w:num>
  <w:num w:numId="40">
    <w:abstractNumId w:val="12"/>
  </w:num>
  <w:num w:numId="41">
    <w:abstractNumId w:val="12"/>
  </w:num>
  <w:num w:numId="42">
    <w:abstractNumId w:val="12"/>
  </w:num>
  <w:num w:numId="43">
    <w:abstractNumId w:val="11"/>
  </w:num>
  <w:num w:numId="44">
    <w:abstractNumId w:val="19"/>
  </w:num>
  <w:num w:numId="45">
    <w:abstractNumId w:val="13"/>
  </w:num>
  <w:num w:numId="46">
    <w:abstractNumId w:val="25"/>
  </w:num>
  <w:num w:numId="47">
    <w:abstractNumId w:val="10"/>
  </w:num>
  <w:num w:numId="48">
    <w:abstractNumId w:val="22"/>
  </w:num>
  <w:num w:numId="4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lignBordersAndEdges/>
  <w:bordersDoNotSurroundFooter/>
  <w:activeWritingStyle w:appName="MSWord" w:lang="en-US" w:vendorID="8" w:dllVersion="513" w:checkStyle="1"/>
  <w:proofState w:spelling="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232E3"/>
    <w:rsid w:val="0002769C"/>
    <w:rsid w:val="00034334"/>
    <w:rsid w:val="000343A6"/>
    <w:rsid w:val="000358C0"/>
    <w:rsid w:val="00035F8B"/>
    <w:rsid w:val="00041C51"/>
    <w:rsid w:val="00054B55"/>
    <w:rsid w:val="0005513A"/>
    <w:rsid w:val="00055617"/>
    <w:rsid w:val="00055CE4"/>
    <w:rsid w:val="00062998"/>
    <w:rsid w:val="00064C05"/>
    <w:rsid w:val="0007387C"/>
    <w:rsid w:val="0007584D"/>
    <w:rsid w:val="000771BE"/>
    <w:rsid w:val="00096B47"/>
    <w:rsid w:val="000A0084"/>
    <w:rsid w:val="000A596C"/>
    <w:rsid w:val="000A7957"/>
    <w:rsid w:val="000B0B08"/>
    <w:rsid w:val="000C44AE"/>
    <w:rsid w:val="000D5C93"/>
    <w:rsid w:val="000E13B8"/>
    <w:rsid w:val="000E2F27"/>
    <w:rsid w:val="000F254D"/>
    <w:rsid w:val="000F5341"/>
    <w:rsid w:val="001002D8"/>
    <w:rsid w:val="00107A8A"/>
    <w:rsid w:val="00115023"/>
    <w:rsid w:val="00115B90"/>
    <w:rsid w:val="00115F12"/>
    <w:rsid w:val="00116FB9"/>
    <w:rsid w:val="00122983"/>
    <w:rsid w:val="00125DB4"/>
    <w:rsid w:val="00132754"/>
    <w:rsid w:val="001334DD"/>
    <w:rsid w:val="00133705"/>
    <w:rsid w:val="00136CEF"/>
    <w:rsid w:val="001429F4"/>
    <w:rsid w:val="0014331D"/>
    <w:rsid w:val="001447ED"/>
    <w:rsid w:val="00151DC5"/>
    <w:rsid w:val="001540CF"/>
    <w:rsid w:val="001646F6"/>
    <w:rsid w:val="00180BB3"/>
    <w:rsid w:val="00190EA9"/>
    <w:rsid w:val="00194854"/>
    <w:rsid w:val="00197107"/>
    <w:rsid w:val="00197312"/>
    <w:rsid w:val="001A0F8A"/>
    <w:rsid w:val="001A52A5"/>
    <w:rsid w:val="001B1B69"/>
    <w:rsid w:val="001B43AB"/>
    <w:rsid w:val="001C0901"/>
    <w:rsid w:val="001C330D"/>
    <w:rsid w:val="001C41D2"/>
    <w:rsid w:val="001D184B"/>
    <w:rsid w:val="001D1E8B"/>
    <w:rsid w:val="001D480B"/>
    <w:rsid w:val="001E38A2"/>
    <w:rsid w:val="001E44C7"/>
    <w:rsid w:val="001E6231"/>
    <w:rsid w:val="001F53EA"/>
    <w:rsid w:val="001F764C"/>
    <w:rsid w:val="00200467"/>
    <w:rsid w:val="00201FCF"/>
    <w:rsid w:val="00202EA8"/>
    <w:rsid w:val="00205C1E"/>
    <w:rsid w:val="0020681C"/>
    <w:rsid w:val="00214440"/>
    <w:rsid w:val="00215D25"/>
    <w:rsid w:val="0022118E"/>
    <w:rsid w:val="00224BCF"/>
    <w:rsid w:val="002265DB"/>
    <w:rsid w:val="00227787"/>
    <w:rsid w:val="00231470"/>
    <w:rsid w:val="002415C4"/>
    <w:rsid w:val="00246845"/>
    <w:rsid w:val="00247384"/>
    <w:rsid w:val="00251C05"/>
    <w:rsid w:val="002524D4"/>
    <w:rsid w:val="00256E13"/>
    <w:rsid w:val="0026025E"/>
    <w:rsid w:val="00260E25"/>
    <w:rsid w:val="00260E32"/>
    <w:rsid w:val="0026349E"/>
    <w:rsid w:val="0026472F"/>
    <w:rsid w:val="00265B71"/>
    <w:rsid w:val="002660BC"/>
    <w:rsid w:val="00267771"/>
    <w:rsid w:val="00276C2E"/>
    <w:rsid w:val="00280089"/>
    <w:rsid w:val="00280359"/>
    <w:rsid w:val="002807E5"/>
    <w:rsid w:val="002808D8"/>
    <w:rsid w:val="00281505"/>
    <w:rsid w:val="00281F6D"/>
    <w:rsid w:val="00282157"/>
    <w:rsid w:val="00287F3D"/>
    <w:rsid w:val="00290AB0"/>
    <w:rsid w:val="002946A4"/>
    <w:rsid w:val="00296ECD"/>
    <w:rsid w:val="002A2910"/>
    <w:rsid w:val="002A45C3"/>
    <w:rsid w:val="002A757F"/>
    <w:rsid w:val="002B3DE6"/>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843C7"/>
    <w:rsid w:val="00393396"/>
    <w:rsid w:val="003A4089"/>
    <w:rsid w:val="003A42BC"/>
    <w:rsid w:val="003B2BC3"/>
    <w:rsid w:val="003B392B"/>
    <w:rsid w:val="003D09C3"/>
    <w:rsid w:val="003E156F"/>
    <w:rsid w:val="003F21E5"/>
    <w:rsid w:val="00400544"/>
    <w:rsid w:val="00402E4D"/>
    <w:rsid w:val="00412D22"/>
    <w:rsid w:val="004136C5"/>
    <w:rsid w:val="00416BA3"/>
    <w:rsid w:val="00417671"/>
    <w:rsid w:val="004178FA"/>
    <w:rsid w:val="00417DA2"/>
    <w:rsid w:val="004225DE"/>
    <w:rsid w:val="004226E9"/>
    <w:rsid w:val="00425A66"/>
    <w:rsid w:val="00430738"/>
    <w:rsid w:val="00445695"/>
    <w:rsid w:val="00445735"/>
    <w:rsid w:val="004479AA"/>
    <w:rsid w:val="00452DE7"/>
    <w:rsid w:val="00453F74"/>
    <w:rsid w:val="004554B8"/>
    <w:rsid w:val="00456631"/>
    <w:rsid w:val="00460D9D"/>
    <w:rsid w:val="00460FC7"/>
    <w:rsid w:val="004618CA"/>
    <w:rsid w:val="00462CBA"/>
    <w:rsid w:val="00464BF3"/>
    <w:rsid w:val="00466742"/>
    <w:rsid w:val="00474C6A"/>
    <w:rsid w:val="00476E8C"/>
    <w:rsid w:val="00481A31"/>
    <w:rsid w:val="0048706B"/>
    <w:rsid w:val="00496A75"/>
    <w:rsid w:val="004A1DCB"/>
    <w:rsid w:val="004A6ABE"/>
    <w:rsid w:val="004B4BF4"/>
    <w:rsid w:val="004C0B1B"/>
    <w:rsid w:val="004C7AE9"/>
    <w:rsid w:val="004D03EE"/>
    <w:rsid w:val="004D7CBE"/>
    <w:rsid w:val="004E189E"/>
    <w:rsid w:val="004E54C3"/>
    <w:rsid w:val="004E69E3"/>
    <w:rsid w:val="004E6B08"/>
    <w:rsid w:val="004F3F3C"/>
    <w:rsid w:val="004F6371"/>
    <w:rsid w:val="005052EC"/>
    <w:rsid w:val="0050550F"/>
    <w:rsid w:val="00513A36"/>
    <w:rsid w:val="00513D7B"/>
    <w:rsid w:val="00516571"/>
    <w:rsid w:val="005275B0"/>
    <w:rsid w:val="005308EB"/>
    <w:rsid w:val="005327E5"/>
    <w:rsid w:val="00536D82"/>
    <w:rsid w:val="005501B1"/>
    <w:rsid w:val="00553BA1"/>
    <w:rsid w:val="005567E0"/>
    <w:rsid w:val="00561729"/>
    <w:rsid w:val="0056238C"/>
    <w:rsid w:val="00566851"/>
    <w:rsid w:val="00577E65"/>
    <w:rsid w:val="00594E12"/>
    <w:rsid w:val="00596504"/>
    <w:rsid w:val="005B22D7"/>
    <w:rsid w:val="005B238B"/>
    <w:rsid w:val="005B3C00"/>
    <w:rsid w:val="005B7822"/>
    <w:rsid w:val="005C400D"/>
    <w:rsid w:val="005C4AA9"/>
    <w:rsid w:val="005C503A"/>
    <w:rsid w:val="005C775D"/>
    <w:rsid w:val="005D2441"/>
    <w:rsid w:val="005D2BB9"/>
    <w:rsid w:val="005E4032"/>
    <w:rsid w:val="005F12D1"/>
    <w:rsid w:val="00607D09"/>
    <w:rsid w:val="00616655"/>
    <w:rsid w:val="00616FBE"/>
    <w:rsid w:val="00617AE9"/>
    <w:rsid w:val="00622050"/>
    <w:rsid w:val="006232D0"/>
    <w:rsid w:val="00626616"/>
    <w:rsid w:val="006334AA"/>
    <w:rsid w:val="00633639"/>
    <w:rsid w:val="0064475B"/>
    <w:rsid w:val="00645693"/>
    <w:rsid w:val="00647807"/>
    <w:rsid w:val="0065361E"/>
    <w:rsid w:val="006656E8"/>
    <w:rsid w:val="00680158"/>
    <w:rsid w:val="00686414"/>
    <w:rsid w:val="006913D2"/>
    <w:rsid w:val="006957D8"/>
    <w:rsid w:val="006A5F51"/>
    <w:rsid w:val="006A6D62"/>
    <w:rsid w:val="006A7075"/>
    <w:rsid w:val="006B2F24"/>
    <w:rsid w:val="006C12C8"/>
    <w:rsid w:val="006C7CB5"/>
    <w:rsid w:val="006D4D67"/>
    <w:rsid w:val="006D5BDA"/>
    <w:rsid w:val="006D7E12"/>
    <w:rsid w:val="006F55CA"/>
    <w:rsid w:val="00701A95"/>
    <w:rsid w:val="00706B35"/>
    <w:rsid w:val="00707D3A"/>
    <w:rsid w:val="0071022C"/>
    <w:rsid w:val="00714822"/>
    <w:rsid w:val="0071490A"/>
    <w:rsid w:val="00717EF2"/>
    <w:rsid w:val="00734E09"/>
    <w:rsid w:val="007365FE"/>
    <w:rsid w:val="00740C3C"/>
    <w:rsid w:val="007410FD"/>
    <w:rsid w:val="007456FD"/>
    <w:rsid w:val="00745D4D"/>
    <w:rsid w:val="00746831"/>
    <w:rsid w:val="00746EEB"/>
    <w:rsid w:val="007478FC"/>
    <w:rsid w:val="007543F6"/>
    <w:rsid w:val="00757B23"/>
    <w:rsid w:val="00760FDE"/>
    <w:rsid w:val="007639DD"/>
    <w:rsid w:val="00766BF2"/>
    <w:rsid w:val="00770002"/>
    <w:rsid w:val="007733CE"/>
    <w:rsid w:val="007740B5"/>
    <w:rsid w:val="007743D3"/>
    <w:rsid w:val="007808F3"/>
    <w:rsid w:val="00784F76"/>
    <w:rsid w:val="007854CD"/>
    <w:rsid w:val="007871BF"/>
    <w:rsid w:val="00787225"/>
    <w:rsid w:val="00791B0C"/>
    <w:rsid w:val="007960EE"/>
    <w:rsid w:val="007A7E8D"/>
    <w:rsid w:val="007B0738"/>
    <w:rsid w:val="007B567F"/>
    <w:rsid w:val="007C1C8E"/>
    <w:rsid w:val="007C6BDD"/>
    <w:rsid w:val="007D0E64"/>
    <w:rsid w:val="007D4C47"/>
    <w:rsid w:val="007D5A9B"/>
    <w:rsid w:val="007E2A4C"/>
    <w:rsid w:val="007E4E12"/>
    <w:rsid w:val="007E6186"/>
    <w:rsid w:val="007F2C96"/>
    <w:rsid w:val="007F33D4"/>
    <w:rsid w:val="007F7EDC"/>
    <w:rsid w:val="00811538"/>
    <w:rsid w:val="00811C43"/>
    <w:rsid w:val="00813091"/>
    <w:rsid w:val="00813818"/>
    <w:rsid w:val="00813FA2"/>
    <w:rsid w:val="00817AD5"/>
    <w:rsid w:val="00820F66"/>
    <w:rsid w:val="00821B79"/>
    <w:rsid w:val="008235E8"/>
    <w:rsid w:val="00826E67"/>
    <w:rsid w:val="008349D8"/>
    <w:rsid w:val="00836890"/>
    <w:rsid w:val="00842480"/>
    <w:rsid w:val="008503F8"/>
    <w:rsid w:val="00851D77"/>
    <w:rsid w:val="00855A7B"/>
    <w:rsid w:val="00864C5F"/>
    <w:rsid w:val="00867EB1"/>
    <w:rsid w:val="00870B2F"/>
    <w:rsid w:val="008743F1"/>
    <w:rsid w:val="00875B72"/>
    <w:rsid w:val="00883612"/>
    <w:rsid w:val="00883ADA"/>
    <w:rsid w:val="00885E21"/>
    <w:rsid w:val="00886930"/>
    <w:rsid w:val="00890039"/>
    <w:rsid w:val="00892C3E"/>
    <w:rsid w:val="008950D5"/>
    <w:rsid w:val="008A3CBB"/>
    <w:rsid w:val="008A3DC4"/>
    <w:rsid w:val="008A6BEC"/>
    <w:rsid w:val="008B058F"/>
    <w:rsid w:val="008B0E64"/>
    <w:rsid w:val="008B4D69"/>
    <w:rsid w:val="008B5AAC"/>
    <w:rsid w:val="008C1A0D"/>
    <w:rsid w:val="008C4818"/>
    <w:rsid w:val="008C5326"/>
    <w:rsid w:val="008C685C"/>
    <w:rsid w:val="008C6983"/>
    <w:rsid w:val="008D59D4"/>
    <w:rsid w:val="008F17BA"/>
    <w:rsid w:val="008F2AE1"/>
    <w:rsid w:val="008F43D1"/>
    <w:rsid w:val="008F6B46"/>
    <w:rsid w:val="009128B3"/>
    <w:rsid w:val="00913BEA"/>
    <w:rsid w:val="00922EDF"/>
    <w:rsid w:val="00925C93"/>
    <w:rsid w:val="00926432"/>
    <w:rsid w:val="0093138F"/>
    <w:rsid w:val="00932A8F"/>
    <w:rsid w:val="00933404"/>
    <w:rsid w:val="00943340"/>
    <w:rsid w:val="00947FA5"/>
    <w:rsid w:val="0095003F"/>
    <w:rsid w:val="00962F68"/>
    <w:rsid w:val="0096745D"/>
    <w:rsid w:val="0097219A"/>
    <w:rsid w:val="009777FC"/>
    <w:rsid w:val="00982020"/>
    <w:rsid w:val="009848F2"/>
    <w:rsid w:val="00994A05"/>
    <w:rsid w:val="00994D6B"/>
    <w:rsid w:val="009A4835"/>
    <w:rsid w:val="009B02A3"/>
    <w:rsid w:val="009C4022"/>
    <w:rsid w:val="009C6B67"/>
    <w:rsid w:val="009D0521"/>
    <w:rsid w:val="009D0E30"/>
    <w:rsid w:val="009D3075"/>
    <w:rsid w:val="009D3A6F"/>
    <w:rsid w:val="009D479A"/>
    <w:rsid w:val="009D6661"/>
    <w:rsid w:val="009D7165"/>
    <w:rsid w:val="009E23F3"/>
    <w:rsid w:val="009E690F"/>
    <w:rsid w:val="009F4755"/>
    <w:rsid w:val="009F68F7"/>
    <w:rsid w:val="00A04904"/>
    <w:rsid w:val="00A1065E"/>
    <w:rsid w:val="00A109BD"/>
    <w:rsid w:val="00A110F9"/>
    <w:rsid w:val="00A1240E"/>
    <w:rsid w:val="00A12967"/>
    <w:rsid w:val="00A138D7"/>
    <w:rsid w:val="00A168C4"/>
    <w:rsid w:val="00A17B32"/>
    <w:rsid w:val="00A336A3"/>
    <w:rsid w:val="00A36643"/>
    <w:rsid w:val="00A370E2"/>
    <w:rsid w:val="00A45249"/>
    <w:rsid w:val="00A45CB2"/>
    <w:rsid w:val="00A468DC"/>
    <w:rsid w:val="00A46E86"/>
    <w:rsid w:val="00A53732"/>
    <w:rsid w:val="00A552C4"/>
    <w:rsid w:val="00A56CDE"/>
    <w:rsid w:val="00A61854"/>
    <w:rsid w:val="00A667EE"/>
    <w:rsid w:val="00A74A12"/>
    <w:rsid w:val="00A77727"/>
    <w:rsid w:val="00A80BE1"/>
    <w:rsid w:val="00A942B1"/>
    <w:rsid w:val="00A95D5E"/>
    <w:rsid w:val="00AA44B5"/>
    <w:rsid w:val="00AA6135"/>
    <w:rsid w:val="00AB3AE7"/>
    <w:rsid w:val="00AD2AE9"/>
    <w:rsid w:val="00AE1F85"/>
    <w:rsid w:val="00AE5914"/>
    <w:rsid w:val="00AF1114"/>
    <w:rsid w:val="00AF3380"/>
    <w:rsid w:val="00AF7D8E"/>
    <w:rsid w:val="00B033BC"/>
    <w:rsid w:val="00B0708D"/>
    <w:rsid w:val="00B07E02"/>
    <w:rsid w:val="00B10CED"/>
    <w:rsid w:val="00B12350"/>
    <w:rsid w:val="00B214D7"/>
    <w:rsid w:val="00B237F0"/>
    <w:rsid w:val="00B23868"/>
    <w:rsid w:val="00B23DBA"/>
    <w:rsid w:val="00B2569E"/>
    <w:rsid w:val="00B36286"/>
    <w:rsid w:val="00B45304"/>
    <w:rsid w:val="00B453CE"/>
    <w:rsid w:val="00B469F2"/>
    <w:rsid w:val="00B53A9E"/>
    <w:rsid w:val="00B54A9D"/>
    <w:rsid w:val="00B6419A"/>
    <w:rsid w:val="00B80E22"/>
    <w:rsid w:val="00B817CF"/>
    <w:rsid w:val="00B942F1"/>
    <w:rsid w:val="00BB0078"/>
    <w:rsid w:val="00BB5183"/>
    <w:rsid w:val="00BB7751"/>
    <w:rsid w:val="00BC3E12"/>
    <w:rsid w:val="00BD213B"/>
    <w:rsid w:val="00BD4DA7"/>
    <w:rsid w:val="00BD5DF7"/>
    <w:rsid w:val="00BE731C"/>
    <w:rsid w:val="00BF1316"/>
    <w:rsid w:val="00C05871"/>
    <w:rsid w:val="00C10C90"/>
    <w:rsid w:val="00C15C34"/>
    <w:rsid w:val="00C22525"/>
    <w:rsid w:val="00C25E10"/>
    <w:rsid w:val="00C32A69"/>
    <w:rsid w:val="00C43441"/>
    <w:rsid w:val="00C44577"/>
    <w:rsid w:val="00C47221"/>
    <w:rsid w:val="00C515D6"/>
    <w:rsid w:val="00C56538"/>
    <w:rsid w:val="00C5684B"/>
    <w:rsid w:val="00C61E2F"/>
    <w:rsid w:val="00C72DFB"/>
    <w:rsid w:val="00C733EB"/>
    <w:rsid w:val="00C764D5"/>
    <w:rsid w:val="00C82494"/>
    <w:rsid w:val="00C82890"/>
    <w:rsid w:val="00C84C2F"/>
    <w:rsid w:val="00C87367"/>
    <w:rsid w:val="00C93586"/>
    <w:rsid w:val="00C94572"/>
    <w:rsid w:val="00CA001C"/>
    <w:rsid w:val="00CA1199"/>
    <w:rsid w:val="00CA21DA"/>
    <w:rsid w:val="00CA7FFA"/>
    <w:rsid w:val="00CB58DC"/>
    <w:rsid w:val="00CC03AA"/>
    <w:rsid w:val="00CC04A2"/>
    <w:rsid w:val="00CC07F8"/>
    <w:rsid w:val="00CC0B45"/>
    <w:rsid w:val="00CC3E0D"/>
    <w:rsid w:val="00CD18DF"/>
    <w:rsid w:val="00CD312D"/>
    <w:rsid w:val="00CD5605"/>
    <w:rsid w:val="00CD74E8"/>
    <w:rsid w:val="00CE0383"/>
    <w:rsid w:val="00CE217F"/>
    <w:rsid w:val="00CE340F"/>
    <w:rsid w:val="00CE351E"/>
    <w:rsid w:val="00CF0E98"/>
    <w:rsid w:val="00CF74EC"/>
    <w:rsid w:val="00D02EA3"/>
    <w:rsid w:val="00D07B20"/>
    <w:rsid w:val="00D07C01"/>
    <w:rsid w:val="00D16C2F"/>
    <w:rsid w:val="00D207BC"/>
    <w:rsid w:val="00D22B5A"/>
    <w:rsid w:val="00D24030"/>
    <w:rsid w:val="00D33858"/>
    <w:rsid w:val="00D33FFD"/>
    <w:rsid w:val="00D40645"/>
    <w:rsid w:val="00D42278"/>
    <w:rsid w:val="00D42803"/>
    <w:rsid w:val="00D50412"/>
    <w:rsid w:val="00D5468B"/>
    <w:rsid w:val="00D551B9"/>
    <w:rsid w:val="00D5596B"/>
    <w:rsid w:val="00D564B9"/>
    <w:rsid w:val="00D56539"/>
    <w:rsid w:val="00D566BC"/>
    <w:rsid w:val="00D6022B"/>
    <w:rsid w:val="00D617D8"/>
    <w:rsid w:val="00D65CAD"/>
    <w:rsid w:val="00D66C5D"/>
    <w:rsid w:val="00D66ED0"/>
    <w:rsid w:val="00D84BE5"/>
    <w:rsid w:val="00D90731"/>
    <w:rsid w:val="00DB4AE0"/>
    <w:rsid w:val="00DB7B7D"/>
    <w:rsid w:val="00DC2C36"/>
    <w:rsid w:val="00DD3D5B"/>
    <w:rsid w:val="00DD4ED3"/>
    <w:rsid w:val="00DE174D"/>
    <w:rsid w:val="00DE293F"/>
    <w:rsid w:val="00DE6CE1"/>
    <w:rsid w:val="00DF0510"/>
    <w:rsid w:val="00DF13A1"/>
    <w:rsid w:val="00DF1E35"/>
    <w:rsid w:val="00DF2FB4"/>
    <w:rsid w:val="00E02792"/>
    <w:rsid w:val="00E12607"/>
    <w:rsid w:val="00E12E41"/>
    <w:rsid w:val="00E13A4D"/>
    <w:rsid w:val="00E23375"/>
    <w:rsid w:val="00E364ED"/>
    <w:rsid w:val="00E37732"/>
    <w:rsid w:val="00E40E87"/>
    <w:rsid w:val="00E43F28"/>
    <w:rsid w:val="00E5025A"/>
    <w:rsid w:val="00E5642A"/>
    <w:rsid w:val="00E664B2"/>
    <w:rsid w:val="00E66E69"/>
    <w:rsid w:val="00E73C1A"/>
    <w:rsid w:val="00E75785"/>
    <w:rsid w:val="00E8137F"/>
    <w:rsid w:val="00E9559E"/>
    <w:rsid w:val="00EA7464"/>
    <w:rsid w:val="00EB31D3"/>
    <w:rsid w:val="00EB6346"/>
    <w:rsid w:val="00EB6EB5"/>
    <w:rsid w:val="00EC0855"/>
    <w:rsid w:val="00EC75D1"/>
    <w:rsid w:val="00ED3556"/>
    <w:rsid w:val="00ED3BDA"/>
    <w:rsid w:val="00EE3B7E"/>
    <w:rsid w:val="00EE4CAC"/>
    <w:rsid w:val="00EE6A5A"/>
    <w:rsid w:val="00EE7E44"/>
    <w:rsid w:val="00EF2ADA"/>
    <w:rsid w:val="00EF32B6"/>
    <w:rsid w:val="00EF5B47"/>
    <w:rsid w:val="00F115BF"/>
    <w:rsid w:val="00F12BC6"/>
    <w:rsid w:val="00F173FB"/>
    <w:rsid w:val="00F244BF"/>
    <w:rsid w:val="00F26CCF"/>
    <w:rsid w:val="00F27400"/>
    <w:rsid w:val="00F32081"/>
    <w:rsid w:val="00F43024"/>
    <w:rsid w:val="00F441D6"/>
    <w:rsid w:val="00F45CAC"/>
    <w:rsid w:val="00F45CC3"/>
    <w:rsid w:val="00F463C7"/>
    <w:rsid w:val="00F5081D"/>
    <w:rsid w:val="00F53BD4"/>
    <w:rsid w:val="00F605AB"/>
    <w:rsid w:val="00F61060"/>
    <w:rsid w:val="00F621A6"/>
    <w:rsid w:val="00F623E2"/>
    <w:rsid w:val="00F645D6"/>
    <w:rsid w:val="00F75995"/>
    <w:rsid w:val="00F77123"/>
    <w:rsid w:val="00F87A09"/>
    <w:rsid w:val="00F90BE9"/>
    <w:rsid w:val="00FA03BC"/>
    <w:rsid w:val="00FA394E"/>
    <w:rsid w:val="00FA6A4A"/>
    <w:rsid w:val="00FB037F"/>
    <w:rsid w:val="00FB126F"/>
    <w:rsid w:val="00FB3213"/>
    <w:rsid w:val="00FB55C5"/>
    <w:rsid w:val="00FB6DC9"/>
    <w:rsid w:val="00FB7056"/>
    <w:rsid w:val="00FC3A4D"/>
    <w:rsid w:val="00FC4688"/>
    <w:rsid w:val="00FC60B4"/>
    <w:rsid w:val="00FD2E56"/>
    <w:rsid w:val="00FE1FE0"/>
    <w:rsid w:val="00FE4DF1"/>
    <w:rsid w:val="00FF3871"/>
    <w:rsid w:val="00FF481C"/>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1DCB"/>
    <w:rPr>
      <w:sz w:val="24"/>
      <w:szCs w:val="24"/>
      <w:lang w:val="it-IT" w:eastAsia="it-IT"/>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rPr>
  </w:style>
  <w:style w:type="paragraph" w:customStyle="1" w:styleId="bulletlist">
    <w:name w:val="bullet list"/>
    <w:basedOn w:val="Normale"/>
    <w:rsid w:val="002F7330"/>
    <w:pPr>
      <w:numPr>
        <w:numId w:val="8"/>
      </w:numPr>
      <w:tabs>
        <w:tab w:val="left" w:pos="274"/>
      </w:tabs>
    </w:p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rPr>
  </w:style>
  <w:style w:type="paragraph" w:customStyle="1" w:styleId="Quote1">
    <w:name w:val="Quote1"/>
    <w:basedOn w:val="Text"/>
    <w:rsid w:val="002F7330"/>
    <w:pPr>
      <w:widowControl w:val="0"/>
      <w:tabs>
        <w:tab w:val="right" w:pos="6490"/>
      </w:tabs>
      <w:spacing w:before="90" w:after="90" w:line="220" w:lineRule="exact"/>
      <w:ind w:left="245" w:right="245"/>
    </w:pPr>
    <w:rPr>
      <w:sz w:val="18"/>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p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4E189E"/>
    <w:pPr>
      <w:ind w:left="720"/>
      <w:contextualSpacing/>
    </w:pPr>
  </w:style>
  <w:style w:type="character" w:styleId="Testosegnaposto">
    <w:name w:val="Placeholder Text"/>
    <w:basedOn w:val="Carpredefinitoparagrafo"/>
    <w:uiPriority w:val="99"/>
    <w:semiHidden/>
    <w:rsid w:val="006D4D67"/>
    <w:rPr>
      <w:color w:val="808080"/>
    </w:rPr>
  </w:style>
  <w:style w:type="character" w:customStyle="1" w:styleId="q4iawc">
    <w:name w:val="q4iawc"/>
    <w:basedOn w:val="Carpredefinitoparagrafo"/>
    <w:rsid w:val="001F53EA"/>
  </w:style>
  <w:style w:type="table" w:styleId="Grigliatabella">
    <w:name w:val="Table Grid"/>
    <w:basedOn w:val="Tabellanormale"/>
    <w:uiPriority w:val="59"/>
    <w:rsid w:val="007D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5758">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914439935">
      <w:bodyDiv w:val="1"/>
      <w:marLeft w:val="0"/>
      <w:marRight w:val="0"/>
      <w:marTop w:val="0"/>
      <w:marBottom w:val="0"/>
      <w:divBdr>
        <w:top w:val="none" w:sz="0" w:space="0" w:color="auto"/>
        <w:left w:val="none" w:sz="0" w:space="0" w:color="auto"/>
        <w:bottom w:val="none" w:sz="0" w:space="0" w:color="auto"/>
        <w:right w:val="none" w:sz="0" w:space="0" w:color="auto"/>
      </w:divBdr>
    </w:div>
    <w:div w:id="1217206237">
      <w:bodyDiv w:val="1"/>
      <w:marLeft w:val="0"/>
      <w:marRight w:val="0"/>
      <w:marTop w:val="0"/>
      <w:marBottom w:val="0"/>
      <w:divBdr>
        <w:top w:val="none" w:sz="0" w:space="0" w:color="auto"/>
        <w:left w:val="none" w:sz="0" w:space="0" w:color="auto"/>
        <w:bottom w:val="none" w:sz="0" w:space="0" w:color="auto"/>
        <w:right w:val="none" w:sz="0" w:space="0" w:color="auto"/>
      </w:divBdr>
    </w:div>
    <w:div w:id="1298148734">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28413">
      <w:bodyDiv w:val="1"/>
      <w:marLeft w:val="0"/>
      <w:marRight w:val="0"/>
      <w:marTop w:val="0"/>
      <w:marBottom w:val="0"/>
      <w:divBdr>
        <w:top w:val="none" w:sz="0" w:space="0" w:color="auto"/>
        <w:left w:val="none" w:sz="0" w:space="0" w:color="auto"/>
        <w:bottom w:val="none" w:sz="0" w:space="0" w:color="auto"/>
        <w:right w:val="none" w:sz="0" w:space="0" w:color="auto"/>
      </w:divBdr>
    </w:div>
    <w:div w:id="1526167556">
      <w:bodyDiv w:val="1"/>
      <w:marLeft w:val="0"/>
      <w:marRight w:val="0"/>
      <w:marTop w:val="0"/>
      <w:marBottom w:val="0"/>
      <w:divBdr>
        <w:top w:val="none" w:sz="0" w:space="0" w:color="auto"/>
        <w:left w:val="none" w:sz="0" w:space="0" w:color="auto"/>
        <w:bottom w:val="none" w:sz="0" w:space="0" w:color="auto"/>
        <w:right w:val="none" w:sz="0" w:space="0" w:color="auto"/>
      </w:divBdr>
    </w:div>
    <w:div w:id="1695615757">
      <w:bodyDiv w:val="1"/>
      <w:marLeft w:val="0"/>
      <w:marRight w:val="0"/>
      <w:marTop w:val="0"/>
      <w:marBottom w:val="0"/>
      <w:divBdr>
        <w:top w:val="none" w:sz="0" w:space="0" w:color="auto"/>
        <w:left w:val="none" w:sz="0" w:space="0" w:color="auto"/>
        <w:bottom w:val="none" w:sz="0" w:space="0" w:color="auto"/>
        <w:right w:val="none" w:sz="0" w:space="0" w:color="auto"/>
      </w:divBdr>
    </w:div>
    <w:div w:id="1811315564">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1206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sara.burdi@uniba.it" TargetMode="External"/><Relationship Id="rId13" Type="http://schemas.openxmlformats.org/officeDocument/2006/relationships/hyperlink" Target="https://doi.org/10.1108/IJSHE-01-2013-000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1tiziana.crovella@uniba.it" TargetMode="External"/><Relationship Id="rId12" Type="http://schemas.openxmlformats.org/officeDocument/2006/relationships/hyperlink" Target="https://op.europa.eu/it/publication-detail/-/publication/c138fd8e-d160-4218-bbd5-ecd2e0305d29/language-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trpro.2019.09.015" TargetMode="External"/><Relationship Id="rId5" Type="http://schemas.openxmlformats.org/officeDocument/2006/relationships/footnotes" Target="footnotes.xml"/><Relationship Id="rId15" Type="http://schemas.openxmlformats.org/officeDocument/2006/relationships/hyperlink" Target="https://www.terraup.it/"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ontraldolfo4@studenti.uniba.it" TargetMode="External"/><Relationship Id="rId14" Type="http://schemas.openxmlformats.org/officeDocument/2006/relationships/hyperlink" Target="http://dx.doi.org/10.6092/1970-9870/30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21</TotalTime>
  <Pages>8</Pages>
  <Words>2656</Words>
  <Characters>15141</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17762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2015-09-03T03:20:00Z</cp:lastPrinted>
  <dcterms:created xsi:type="dcterms:W3CDTF">2022-06-30T16:50:00Z</dcterms:created>
  <dcterms:modified xsi:type="dcterms:W3CDTF">2022-06-30T17:38:00Z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