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7118" w14:textId="5AEF0E7C" w:rsidR="009848F2" w:rsidRPr="00632EDB" w:rsidRDefault="009848F2" w:rsidP="009848F2">
      <w:pPr>
        <w:pStyle w:val="ChapterTitle"/>
        <w:tabs>
          <w:tab w:val="left" w:pos="5812"/>
          <w:tab w:val="left" w:pos="5954"/>
          <w:tab w:val="left" w:pos="6096"/>
          <w:tab w:val="left" w:pos="6237"/>
        </w:tabs>
        <w:spacing w:after="0" w:line="240" w:lineRule="auto"/>
        <w:ind w:left="0" w:right="-28"/>
        <w:jc w:val="left"/>
        <w:rPr>
          <w:sz w:val="28"/>
        </w:rPr>
      </w:pPr>
      <w:r w:rsidRPr="00632EDB">
        <w:rPr>
          <w:sz w:val="28"/>
        </w:rPr>
        <w:t>Chapter N</w:t>
      </w:r>
      <w:r w:rsidR="007808F3" w:rsidRPr="00632EDB">
        <w:rPr>
          <w:sz w:val="28"/>
        </w:rPr>
        <w:t xml:space="preserve"> (</w:t>
      </w:r>
      <w:r w:rsidR="007808F3" w:rsidRPr="00632EDB">
        <w:rPr>
          <w:color w:val="FF0000"/>
          <w:sz w:val="28"/>
        </w:rPr>
        <w:t>please do not write anything in this line</w:t>
      </w:r>
      <w:r w:rsidR="00425A66" w:rsidRPr="00632EDB">
        <w:rPr>
          <w:color w:val="FF0000"/>
          <w:sz w:val="28"/>
        </w:rPr>
        <w:t>. Editors will annotate the chapter number</w:t>
      </w:r>
      <w:r w:rsidR="007808F3" w:rsidRPr="00632EDB">
        <w:rPr>
          <w:sz w:val="28"/>
        </w:rPr>
        <w:t>)</w:t>
      </w:r>
    </w:p>
    <w:p w14:paraId="0AA38F2B" w14:textId="66A0270C" w:rsidR="009848F2" w:rsidRPr="00632EDB" w:rsidRDefault="00F30579" w:rsidP="009848F2">
      <w:pPr>
        <w:pStyle w:val="ChapterTitle"/>
        <w:tabs>
          <w:tab w:val="left" w:pos="5812"/>
          <w:tab w:val="left" w:pos="5954"/>
          <w:tab w:val="left" w:pos="6096"/>
          <w:tab w:val="left" w:pos="6237"/>
        </w:tabs>
        <w:spacing w:after="0" w:line="240" w:lineRule="auto"/>
        <w:ind w:left="0" w:right="-28"/>
        <w:jc w:val="left"/>
        <w:rPr>
          <w:sz w:val="28"/>
        </w:rPr>
      </w:pPr>
      <w:r w:rsidRPr="00632EDB">
        <w:rPr>
          <w:sz w:val="28"/>
        </w:rPr>
        <w:t>A new approach to improve sustainability: the role of Organizational Life Cycle Assessment (O-LCA)</w:t>
      </w:r>
    </w:p>
    <w:p w14:paraId="50B4D0FB" w14:textId="77777777" w:rsidR="00162338" w:rsidRPr="00632EDB" w:rsidRDefault="00162338" w:rsidP="009848F2">
      <w:pPr>
        <w:pStyle w:val="ChapterTitle"/>
        <w:tabs>
          <w:tab w:val="left" w:pos="5812"/>
          <w:tab w:val="left" w:pos="5954"/>
          <w:tab w:val="left" w:pos="6096"/>
          <w:tab w:val="left" w:pos="6237"/>
        </w:tabs>
        <w:spacing w:after="0" w:line="240" w:lineRule="auto"/>
        <w:ind w:left="0" w:right="-28"/>
        <w:jc w:val="left"/>
        <w:rPr>
          <w:sz w:val="28"/>
        </w:rPr>
      </w:pPr>
    </w:p>
    <w:p w14:paraId="3FB827C2" w14:textId="1CE17B4B" w:rsidR="002F7330" w:rsidRPr="00632EDB" w:rsidRDefault="00162338" w:rsidP="00D66ED0">
      <w:pPr>
        <w:pStyle w:val="Author"/>
        <w:spacing w:line="276" w:lineRule="auto"/>
        <w:rPr>
          <w:sz w:val="24"/>
          <w:lang w:val="it-IT"/>
        </w:rPr>
      </w:pPr>
      <w:r w:rsidRPr="00632EDB">
        <w:rPr>
          <w:sz w:val="24"/>
          <w:lang w:val="it-IT"/>
        </w:rPr>
        <w:t>Giuliana Vinci</w:t>
      </w:r>
      <w:r w:rsidRPr="00632EDB">
        <w:rPr>
          <w:sz w:val="24"/>
          <w:vertAlign w:val="superscript"/>
          <w:lang w:val="it-IT"/>
        </w:rPr>
        <w:t>1</w:t>
      </w:r>
      <w:r w:rsidRPr="00632EDB">
        <w:rPr>
          <w:sz w:val="24"/>
          <w:lang w:val="it-IT"/>
        </w:rPr>
        <w:t>, Fabrizio D’Ascenzo</w:t>
      </w:r>
      <w:r w:rsidRPr="00632EDB">
        <w:rPr>
          <w:sz w:val="24"/>
          <w:vertAlign w:val="superscript"/>
          <w:lang w:val="it-IT"/>
        </w:rPr>
        <w:t>1</w:t>
      </w:r>
      <w:r w:rsidRPr="00632EDB">
        <w:rPr>
          <w:sz w:val="24"/>
          <w:lang w:val="it-IT"/>
        </w:rPr>
        <w:t>, Marco Ruggeri</w:t>
      </w:r>
      <w:r w:rsidRPr="00632EDB">
        <w:rPr>
          <w:sz w:val="24"/>
          <w:vertAlign w:val="superscript"/>
          <w:lang w:val="it-IT"/>
        </w:rPr>
        <w:t>1</w:t>
      </w:r>
      <w:r w:rsidRPr="00632EDB">
        <w:rPr>
          <w:sz w:val="24"/>
          <w:lang w:val="it-IT"/>
        </w:rPr>
        <w:t xml:space="preserve"> and Mary Giò Zaki</w:t>
      </w:r>
      <w:r w:rsidRPr="00632EDB">
        <w:rPr>
          <w:sz w:val="24"/>
          <w:vertAlign w:val="superscript"/>
          <w:lang w:val="it-IT"/>
        </w:rPr>
        <w:t>1</w:t>
      </w:r>
    </w:p>
    <w:p w14:paraId="1CED084D" w14:textId="77777777" w:rsidR="00162338" w:rsidRPr="00632EDB" w:rsidRDefault="00162338" w:rsidP="00162338">
      <w:pPr>
        <w:pStyle w:val="Affiliation"/>
        <w:spacing w:line="276" w:lineRule="auto"/>
        <w:rPr>
          <w:lang w:val="it-IT"/>
        </w:rPr>
      </w:pPr>
      <w:r w:rsidRPr="00632EDB">
        <w:rPr>
          <w:sz w:val="24"/>
          <w:vertAlign w:val="superscript"/>
          <w:lang w:val="it-IT"/>
        </w:rPr>
        <w:t>1</w:t>
      </w:r>
      <w:r w:rsidRPr="00632EDB">
        <w:rPr>
          <w:lang w:val="it-IT"/>
        </w:rPr>
        <w:t>Department of Management, Sapienza University of Rome, via del Castro Laurenziano 9 - 00161, Rome, Italy</w:t>
      </w:r>
    </w:p>
    <w:p w14:paraId="4C642BF7" w14:textId="4FE19AEA" w:rsidR="00162338" w:rsidRPr="00632EDB" w:rsidRDefault="00162338" w:rsidP="00162338">
      <w:pPr>
        <w:pStyle w:val="Affiliation"/>
        <w:spacing w:line="276" w:lineRule="auto"/>
      </w:pPr>
      <w:r w:rsidRPr="00632EDB">
        <w:t>giuliana.vinci@uniroma1.it (ORCID: 0000-0003-3025-1831); fabrizio.dascenzo@uniroma1.it; m.ruggeri@uniroma1.it (ORCID: 0000-0001-6591-0142); marygio.zaki@unirom1.it</w:t>
      </w:r>
    </w:p>
    <w:p w14:paraId="39F79333" w14:textId="77777777" w:rsidR="00162338" w:rsidRPr="00632EDB" w:rsidRDefault="00162338" w:rsidP="00162338">
      <w:pPr>
        <w:pStyle w:val="Affiliation"/>
        <w:spacing w:line="276" w:lineRule="auto"/>
        <w:jc w:val="both"/>
      </w:pPr>
      <w:r w:rsidRPr="00632EDB">
        <w:t>Corresponding author: Marco Ruggeri</w:t>
      </w:r>
    </w:p>
    <w:p w14:paraId="61F73F98" w14:textId="77777777" w:rsidR="007B567F" w:rsidRPr="00632EDB" w:rsidRDefault="007B567F" w:rsidP="00D66ED0">
      <w:pPr>
        <w:pStyle w:val="Abstract"/>
        <w:tabs>
          <w:tab w:val="left" w:pos="6379"/>
        </w:tabs>
        <w:spacing w:line="276" w:lineRule="auto"/>
        <w:ind w:left="0" w:right="-30"/>
        <w:rPr>
          <w:b/>
          <w:sz w:val="22"/>
        </w:rPr>
      </w:pPr>
      <w:r w:rsidRPr="00632EDB">
        <w:rPr>
          <w:b/>
          <w:noProof/>
          <w:snapToGrid/>
          <w:sz w:val="22"/>
          <w:lang w:val="it-IT" w:eastAsia="it-IT"/>
        </w:rPr>
        <mc:AlternateContent>
          <mc:Choice Requires="wps">
            <w:drawing>
              <wp:anchor distT="0" distB="0" distL="114300" distR="114300" simplePos="0" relativeHeight="251659264"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4FF48481" id="Connettore diritto 5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" strokecolor="black [3200]" strokeweight="1.5pt">
                <v:stroke joinstyle="miter"/>
              </v:line>
            </w:pict>
          </mc:Fallback>
        </mc:AlternateContent>
      </w:r>
    </w:p>
    <w:p w14:paraId="38C60B63" w14:textId="102290DC" w:rsidR="004225DE" w:rsidRPr="00632EDB" w:rsidRDefault="004225DE" w:rsidP="00D66ED0">
      <w:pPr>
        <w:pStyle w:val="Abstract"/>
        <w:tabs>
          <w:tab w:val="left" w:pos="6379"/>
        </w:tabs>
        <w:spacing w:line="276" w:lineRule="auto"/>
        <w:ind w:left="0" w:right="-30"/>
        <w:rPr>
          <w:sz w:val="22"/>
        </w:rPr>
      </w:pPr>
      <w:r w:rsidRPr="00632EDB">
        <w:rPr>
          <w:b/>
          <w:sz w:val="22"/>
        </w:rPr>
        <w:t>Abstract.</w:t>
      </w:r>
      <w:r w:rsidRPr="00632EDB">
        <w:rPr>
          <w:sz w:val="22"/>
        </w:rPr>
        <w:t xml:space="preserve"> </w:t>
      </w:r>
      <w:r w:rsidR="0096364B" w:rsidRPr="00632EDB">
        <w:rPr>
          <w:sz w:val="22"/>
        </w:rPr>
        <w:t>When preparing an emissions assessment report, life cycle assessment, originally defined for products, can be extended to organizations, under the name Organizational Life Cycle Assessment (O-LCA). This is a methodology for identifying the environmental impacts of activities associated with an organization using a life cycle approach, and compared to LCA, which is generally seen as an isolated assessment at the product level, it has greater transferability to the company because it considers the company's entire production range rather than just one product. However, assessing the impact of organizations can be complex because it considers a network of relationships with partners and suppliers related to the organization whose data is not always available. Thus, a detailed understanding of GHG-emitting activities is essential for the development of an effective corporate sustainable strategy, as value chain emissions can be used to guide overall policy, implement sectoral allocation, or initiate engagement with companies. Therefore, based on these considerations, O-LCA could be a useful tool for investigating emissions at the organizational level and thus aid in the pursuit of corporate objectives. In light of this, the goal of this paper is to present a general overview of O-LCA and how it could serve as a sustainability tool in order to intersect different interests between companies and stakeholders.</w:t>
      </w:r>
    </w:p>
    <w:p w14:paraId="191C05E4" w14:textId="77777777" w:rsidR="0096364B" w:rsidRPr="00632EDB" w:rsidRDefault="0096364B" w:rsidP="00D66ED0">
      <w:pPr>
        <w:pStyle w:val="Abstract"/>
        <w:tabs>
          <w:tab w:val="left" w:pos="6379"/>
        </w:tabs>
        <w:spacing w:line="276" w:lineRule="auto"/>
        <w:ind w:left="0" w:right="-30"/>
        <w:rPr>
          <w:snapToGrid/>
          <w:sz w:val="22"/>
        </w:rPr>
      </w:pPr>
    </w:p>
    <w:p w14:paraId="20AF9FE5" w14:textId="303B8C1C" w:rsidR="004225DE" w:rsidRPr="00632EDB" w:rsidRDefault="004225DE" w:rsidP="00D66ED0">
      <w:pPr>
        <w:pStyle w:val="Abstract"/>
        <w:tabs>
          <w:tab w:val="left" w:pos="6379"/>
        </w:tabs>
        <w:spacing w:line="276" w:lineRule="auto"/>
        <w:ind w:left="0" w:right="-30"/>
        <w:rPr>
          <w:snapToGrid/>
          <w:sz w:val="22"/>
        </w:rPr>
      </w:pPr>
      <w:r w:rsidRPr="00632EDB">
        <w:rPr>
          <w:b/>
          <w:snapToGrid/>
          <w:sz w:val="22"/>
        </w:rPr>
        <w:t>Keywords.</w:t>
      </w:r>
      <w:r w:rsidRPr="00632EDB">
        <w:rPr>
          <w:snapToGrid/>
          <w:sz w:val="22"/>
        </w:rPr>
        <w:t xml:space="preserve"> </w:t>
      </w:r>
      <w:r w:rsidR="0078314F" w:rsidRPr="00632EDB">
        <w:rPr>
          <w:snapToGrid/>
          <w:sz w:val="22"/>
        </w:rPr>
        <w:t>O-LCA, SO-LCA, Organizations, Materiality matrix</w:t>
      </w:r>
      <w:r w:rsidRPr="00632EDB">
        <w:rPr>
          <w:snapToGrid/>
          <w:sz w:val="22"/>
        </w:rPr>
        <w:t xml:space="preserve"> </w:t>
      </w:r>
    </w:p>
    <w:p w14:paraId="5E00EDB7" w14:textId="631AB79E" w:rsidR="00884B87" w:rsidRPr="00632EDB" w:rsidRDefault="007B567F" w:rsidP="00D66ED0">
      <w:pPr>
        <w:pStyle w:val="Abstract"/>
        <w:tabs>
          <w:tab w:val="left" w:pos="6379"/>
        </w:tabs>
        <w:spacing w:line="276" w:lineRule="auto"/>
        <w:ind w:left="0" w:right="-30"/>
        <w:rPr>
          <w:snapToGrid/>
          <w:sz w:val="22"/>
        </w:rPr>
      </w:pPr>
      <w:r w:rsidRPr="00632EDB">
        <w:rPr>
          <w:b/>
          <w:noProof/>
          <w:snapToGrid/>
          <w:sz w:val="22"/>
          <w:lang w:val="it-IT" w:eastAsia="it-IT"/>
        </w:rPr>
        <mc:AlternateContent>
          <mc:Choice Requires="wps">
            <w:drawing>
              <wp:anchor distT="0" distB="0" distL="114300" distR="114300" simplePos="0" relativeHeight="251661312" behindDoc="0" locked="0" layoutInCell="1" allowOverlap="1" wp14:anchorId="2C09E752" wp14:editId="12FC033E">
                <wp:simplePos x="0" y="0"/>
                <wp:positionH relativeFrom="column">
                  <wp:posOffset>0</wp:posOffset>
                </wp:positionH>
                <wp:positionV relativeFrom="paragraph">
                  <wp:posOffset>135255</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35CEAF9E" id="Connettore diritto 5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" strokecolor="black [3200]" strokeweight="1.5pt">
                <v:stroke joinstyle="miter"/>
              </v:line>
            </w:pict>
          </mc:Fallback>
        </mc:AlternateContent>
      </w:r>
    </w:p>
    <w:p w14:paraId="5733D09E" w14:textId="3B063DB5" w:rsidR="00647807" w:rsidRPr="00632EDB" w:rsidRDefault="00884B87" w:rsidP="00884B87">
      <w:pPr>
        <w:pStyle w:val="Abstract"/>
        <w:numPr>
          <w:ilvl w:val="0"/>
          <w:numId w:val="43"/>
        </w:numPr>
        <w:tabs>
          <w:tab w:val="left" w:pos="6379"/>
        </w:tabs>
        <w:spacing w:line="276" w:lineRule="auto"/>
        <w:ind w:right="-30"/>
        <w:rPr>
          <w:snapToGrid/>
          <w:sz w:val="24"/>
        </w:rPr>
      </w:pPr>
      <w:r w:rsidRPr="00632EDB">
        <w:rPr>
          <w:b/>
          <w:bCs/>
          <w:snapToGrid/>
          <w:sz w:val="24"/>
        </w:rPr>
        <w:lastRenderedPageBreak/>
        <w:t>Introduction</w:t>
      </w:r>
    </w:p>
    <w:p w14:paraId="3122629A" w14:textId="3C40F1DD" w:rsidR="00884B87" w:rsidRPr="00632EDB" w:rsidRDefault="00884B87" w:rsidP="00DD1B6E">
      <w:pPr>
        <w:pStyle w:val="Abstract"/>
        <w:tabs>
          <w:tab w:val="left" w:pos="6379"/>
        </w:tabs>
        <w:spacing w:line="276" w:lineRule="auto"/>
        <w:ind w:left="28" w:right="-30"/>
        <w:rPr>
          <w:snapToGrid/>
          <w:sz w:val="24"/>
        </w:rPr>
      </w:pPr>
      <w:r w:rsidRPr="00632EDB">
        <w:rPr>
          <w:snapToGrid/>
          <w:sz w:val="24"/>
        </w:rPr>
        <w:t xml:space="preserve">According to the Intergovernmental Panel on Climate Change (IPCC), the average global temperature has increased by +1.53°C compared to pre-industrial levels, inducing climate warming that is leading to an increase in the frequency of extreme events, including heat waves and droughts (IPCC, 2021). Given this, the international community has identified a number of goals for the decarbonization of the economic-industrial system, such as </w:t>
      </w:r>
      <w:r w:rsidR="00917D8A" w:rsidRPr="00632EDB">
        <w:rPr>
          <w:snapToGrid/>
          <w:sz w:val="24"/>
        </w:rPr>
        <w:t>climate neutrality</w:t>
      </w:r>
      <w:r w:rsidRPr="00632EDB">
        <w:rPr>
          <w:snapToGrid/>
          <w:sz w:val="24"/>
        </w:rPr>
        <w:t xml:space="preserve"> by 2050</w:t>
      </w:r>
      <w:r w:rsidR="004174BE" w:rsidRPr="00632EDB">
        <w:rPr>
          <w:snapToGrid/>
          <w:sz w:val="24"/>
        </w:rPr>
        <w:t xml:space="preserve"> </w:t>
      </w:r>
      <w:r w:rsidRPr="00632EDB">
        <w:rPr>
          <w:snapToGrid/>
          <w:sz w:val="24"/>
        </w:rPr>
        <w:t xml:space="preserve">(Horowitz, 2016). In addition, as also emphasized by the World Resources Institute and the World Business Council for Sustainable Development, in order for the global average temperature increase to be limited to 2°C above pre-industrial levels by 2050, it will be essential to reduce </w:t>
      </w:r>
      <w:r w:rsidR="004174BE" w:rsidRPr="00632EDB">
        <w:rPr>
          <w:snapToGrid/>
          <w:sz w:val="24"/>
        </w:rPr>
        <w:t>CO</w:t>
      </w:r>
      <w:r w:rsidR="004174BE" w:rsidRPr="00632EDB">
        <w:rPr>
          <w:snapToGrid/>
          <w:sz w:val="24"/>
          <w:vertAlign w:val="subscript"/>
        </w:rPr>
        <w:t>2</w:t>
      </w:r>
      <w:r w:rsidRPr="00632EDB">
        <w:rPr>
          <w:snapToGrid/>
          <w:sz w:val="24"/>
        </w:rPr>
        <w:t xml:space="preserve"> emissions by 85% from 1990 levels (WRI and WBCSD, 2011). So, organizations </w:t>
      </w:r>
      <w:r w:rsidR="004174BE" w:rsidRPr="00632EDB">
        <w:rPr>
          <w:snapToGrid/>
          <w:sz w:val="24"/>
        </w:rPr>
        <w:t>should</w:t>
      </w:r>
      <w:r w:rsidRPr="00632EDB">
        <w:rPr>
          <w:snapToGrid/>
          <w:sz w:val="24"/>
        </w:rPr>
        <w:t xml:space="preserve"> take steps to reduce and prevent the production of </w:t>
      </w:r>
      <w:r w:rsidR="004174BE" w:rsidRPr="00632EDB">
        <w:rPr>
          <w:snapToGrid/>
          <w:sz w:val="24"/>
        </w:rPr>
        <w:t>greenhouse gases (GHGs)</w:t>
      </w:r>
      <w:r w:rsidRPr="00632EDB">
        <w:rPr>
          <w:snapToGrid/>
          <w:sz w:val="24"/>
        </w:rPr>
        <w:t xml:space="preserve">, and in this context, adopting a holistic, multi-impact approach in assessing value chain impacts could help. In preparing an emissions assessment report, life cycle analysis, originally defined for products, can be extended to the assessment of organizations, under the name Organizational Life Cycle Assessment (O-LCA) (ISO, 2014). O-LCA is a methodology for identifying the environmental impacts of activities associated with an organization using a life-cycle approach (Martinez Blanco et al., 2015). However, assessing the impact of organizations </w:t>
      </w:r>
      <w:r w:rsidR="004174BE" w:rsidRPr="00632EDB">
        <w:rPr>
          <w:snapToGrid/>
          <w:sz w:val="24"/>
        </w:rPr>
        <w:t>could</w:t>
      </w:r>
      <w:r w:rsidRPr="00632EDB">
        <w:rPr>
          <w:snapToGrid/>
          <w:sz w:val="24"/>
        </w:rPr>
        <w:t xml:space="preserve"> be complex because it considers a network of relationships with partners related to the organization whose data is not always available. Therefore, a detailed understanding of the activities that produce GHG emissions is </w:t>
      </w:r>
      <w:r w:rsidR="00917D8A" w:rsidRPr="00632EDB">
        <w:rPr>
          <w:snapToGrid/>
          <w:sz w:val="24"/>
        </w:rPr>
        <w:t>critical</w:t>
      </w:r>
      <w:r w:rsidRPr="00632EDB">
        <w:rPr>
          <w:snapToGrid/>
          <w:sz w:val="24"/>
        </w:rPr>
        <w:t xml:space="preserve"> for the establishment of an effective </w:t>
      </w:r>
      <w:r w:rsidR="008D2D42" w:rsidRPr="00632EDB">
        <w:rPr>
          <w:snapToGrid/>
          <w:sz w:val="24"/>
        </w:rPr>
        <w:t>organization’s</w:t>
      </w:r>
      <w:r w:rsidRPr="00632EDB">
        <w:rPr>
          <w:snapToGrid/>
          <w:sz w:val="24"/>
        </w:rPr>
        <w:t xml:space="preserve"> sustainable strategy. In this regard, it is possible to distinguish between direct emissions (those directly produced by the organization) and indirect emissions (those associated with the inputs of the production activity and the organization) (</w:t>
      </w:r>
      <w:proofErr w:type="spellStart"/>
      <w:r w:rsidRPr="00632EDB">
        <w:rPr>
          <w:snapToGrid/>
          <w:sz w:val="24"/>
        </w:rPr>
        <w:t>Hertwich</w:t>
      </w:r>
      <w:proofErr w:type="spellEnd"/>
      <w:r w:rsidRPr="00632EDB">
        <w:rPr>
          <w:snapToGrid/>
          <w:sz w:val="24"/>
        </w:rPr>
        <w:t xml:space="preserve"> &amp; Wood, 2018). Emissions are in turn further categorized into </w:t>
      </w:r>
      <w:r w:rsidR="008D2D42" w:rsidRPr="00632EDB">
        <w:rPr>
          <w:snapToGrid/>
          <w:sz w:val="24"/>
        </w:rPr>
        <w:t xml:space="preserve">Scope </w:t>
      </w:r>
      <w:r w:rsidRPr="00632EDB">
        <w:rPr>
          <w:snapToGrid/>
          <w:sz w:val="24"/>
        </w:rPr>
        <w:t>1</w:t>
      </w:r>
      <w:r w:rsidR="00917D8A" w:rsidRPr="00632EDB">
        <w:rPr>
          <w:snapToGrid/>
          <w:sz w:val="24"/>
        </w:rPr>
        <w:t xml:space="preserve"> (</w:t>
      </w:r>
      <w:r w:rsidR="00DD1B6E" w:rsidRPr="00632EDB">
        <w:rPr>
          <w:snapToGrid/>
          <w:sz w:val="24"/>
        </w:rPr>
        <w:t>those</w:t>
      </w:r>
      <w:r w:rsidR="00917D8A" w:rsidRPr="00632EDB">
        <w:rPr>
          <w:snapToGrid/>
          <w:sz w:val="24"/>
        </w:rPr>
        <w:t xml:space="preserve"> produced directly from sources owned by the organization)</w:t>
      </w:r>
      <w:r w:rsidRPr="00632EDB">
        <w:rPr>
          <w:snapToGrid/>
          <w:sz w:val="24"/>
        </w:rPr>
        <w:t xml:space="preserve">, </w:t>
      </w:r>
      <w:r w:rsidR="008D2D42" w:rsidRPr="00632EDB">
        <w:rPr>
          <w:snapToGrid/>
          <w:sz w:val="24"/>
        </w:rPr>
        <w:t xml:space="preserve">Scope </w:t>
      </w:r>
      <w:r w:rsidRPr="00632EDB">
        <w:rPr>
          <w:snapToGrid/>
          <w:sz w:val="24"/>
        </w:rPr>
        <w:t>2</w:t>
      </w:r>
      <w:r w:rsidR="00917D8A" w:rsidRPr="00632EDB">
        <w:rPr>
          <w:snapToGrid/>
          <w:sz w:val="24"/>
        </w:rPr>
        <w:t xml:space="preserve"> (</w:t>
      </w:r>
      <w:r w:rsidR="00DD1B6E" w:rsidRPr="00632EDB">
        <w:rPr>
          <w:snapToGrid/>
          <w:sz w:val="24"/>
        </w:rPr>
        <w:t>those</w:t>
      </w:r>
      <w:r w:rsidR="00917D8A" w:rsidRPr="00632EDB">
        <w:rPr>
          <w:snapToGrid/>
          <w:sz w:val="24"/>
        </w:rPr>
        <w:t xml:space="preserve"> associated with the purchase of electricity, steam, heat, or cooling)</w:t>
      </w:r>
      <w:r w:rsidRPr="00632EDB">
        <w:rPr>
          <w:snapToGrid/>
          <w:sz w:val="24"/>
        </w:rPr>
        <w:t xml:space="preserve">, and </w:t>
      </w:r>
      <w:r w:rsidR="008D2D42" w:rsidRPr="00632EDB">
        <w:rPr>
          <w:snapToGrid/>
          <w:sz w:val="24"/>
        </w:rPr>
        <w:t xml:space="preserve">Scope </w:t>
      </w:r>
      <w:r w:rsidRPr="00632EDB">
        <w:rPr>
          <w:snapToGrid/>
          <w:sz w:val="24"/>
        </w:rPr>
        <w:t xml:space="preserve">3 </w:t>
      </w:r>
      <w:r w:rsidR="00917D8A" w:rsidRPr="00632EDB">
        <w:rPr>
          <w:snapToGrid/>
          <w:sz w:val="24"/>
        </w:rPr>
        <w:t>(</w:t>
      </w:r>
      <w:r w:rsidR="00DD1B6E" w:rsidRPr="00632EDB">
        <w:rPr>
          <w:snapToGrid/>
          <w:sz w:val="24"/>
        </w:rPr>
        <w:t>those</w:t>
      </w:r>
      <w:r w:rsidR="00917D8A" w:rsidRPr="00632EDB">
        <w:rPr>
          <w:snapToGrid/>
          <w:sz w:val="24"/>
        </w:rPr>
        <w:t xml:space="preserve"> associated with activities and assets not controlled by the organization, but which nevertheless indirectly impact the organization) </w:t>
      </w:r>
      <w:r w:rsidRPr="00632EDB">
        <w:rPr>
          <w:snapToGrid/>
          <w:sz w:val="24"/>
        </w:rPr>
        <w:t xml:space="preserve">(Figure 1). </w:t>
      </w:r>
    </w:p>
    <w:p w14:paraId="0F2D8D1C" w14:textId="21707D71" w:rsidR="00884B87" w:rsidRPr="00632EDB" w:rsidRDefault="00884B87" w:rsidP="008A6F05">
      <w:pPr>
        <w:pStyle w:val="Abstract"/>
        <w:tabs>
          <w:tab w:val="left" w:pos="6379"/>
        </w:tabs>
        <w:spacing w:line="276" w:lineRule="auto"/>
        <w:ind w:left="28" w:right="-30"/>
        <w:jc w:val="center"/>
        <w:rPr>
          <w:snapToGrid/>
          <w:sz w:val="24"/>
        </w:rPr>
      </w:pPr>
      <w:r w:rsidRPr="00632EDB">
        <w:rPr>
          <w:noProof/>
          <w:snapToGrid/>
          <w:sz w:val="24"/>
        </w:rPr>
        <w:lastRenderedPageBreak/>
        <w:drawing>
          <wp:inline distT="0" distB="0" distL="0" distR="0" wp14:anchorId="1086DA03" wp14:editId="0AF4C931">
            <wp:extent cx="3987800" cy="2012708"/>
            <wp:effectExtent l="0" t="0" r="0" b="6985"/>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27194" cy="2032591"/>
                    </a:xfrm>
                    <a:prstGeom prst="rect">
                      <a:avLst/>
                    </a:prstGeom>
                    <a:noFill/>
                  </pic:spPr>
                </pic:pic>
              </a:graphicData>
            </a:graphic>
          </wp:inline>
        </w:drawing>
      </w:r>
    </w:p>
    <w:p w14:paraId="40C34F68" w14:textId="45441EE8" w:rsidR="0096364B" w:rsidRPr="00632EDB" w:rsidRDefault="00884B87" w:rsidP="00917D8A">
      <w:pPr>
        <w:pStyle w:val="TableCaption"/>
        <w:spacing w:after="120" w:line="276" w:lineRule="auto"/>
        <w:ind w:left="1915" w:right="1800"/>
        <w:jc w:val="center"/>
      </w:pPr>
      <w:r w:rsidRPr="00632EDB">
        <w:t>Figure 1. Overview of GHG Protocol scopes and emissions across the value chain</w:t>
      </w:r>
    </w:p>
    <w:p w14:paraId="47D0F06C" w14:textId="5E569713" w:rsidR="00884B87" w:rsidRPr="00632EDB" w:rsidRDefault="007F1CE6" w:rsidP="008A6F05">
      <w:pPr>
        <w:pStyle w:val="Abstract"/>
        <w:tabs>
          <w:tab w:val="left" w:pos="6379"/>
        </w:tabs>
        <w:spacing w:line="276" w:lineRule="auto"/>
        <w:ind w:left="28" w:right="-30"/>
        <w:rPr>
          <w:snapToGrid/>
          <w:sz w:val="24"/>
        </w:rPr>
      </w:pPr>
      <w:r w:rsidRPr="00632EDB">
        <w:rPr>
          <w:snapToGrid/>
          <w:sz w:val="24"/>
        </w:rPr>
        <w:t xml:space="preserve">Until recently, many companies have mainly focused their attentions on emissions from their own operations, managing to keep operational (Scope 1 and Scope 2) emissions under control, but sometimes encountering difficulties in controlling those related to the supply chain and product use (Scope 3) (Martínez-Blanco et al., 2020). Currently, organizations are trying to find ways to reduce Scope 3 emissions, especially those related to the purchase of goods and services and product use, which account for a significant share of </w:t>
      </w:r>
      <w:r w:rsidR="00DD1B6E" w:rsidRPr="00632EDB">
        <w:rPr>
          <w:snapToGrid/>
          <w:sz w:val="24"/>
        </w:rPr>
        <w:t xml:space="preserve">Scope </w:t>
      </w:r>
      <w:r w:rsidRPr="00632EDB">
        <w:rPr>
          <w:snapToGrid/>
          <w:sz w:val="24"/>
        </w:rPr>
        <w:t>3 emissions (CDP, 2018), while still protecting the pursuit of profitability and value creation. Value chain emissions, therefore, represent an important source of impacts, which organizations can be incentivized to reduce, and their consideration can improve the assessment of risks and opportunities for transition, although emissions reporting remains voluntary and is low (</w:t>
      </w:r>
      <w:proofErr w:type="spellStart"/>
      <w:r w:rsidRPr="00632EDB">
        <w:rPr>
          <w:snapToGrid/>
          <w:sz w:val="24"/>
        </w:rPr>
        <w:t>Ducoulombier</w:t>
      </w:r>
      <w:proofErr w:type="spellEnd"/>
      <w:r w:rsidRPr="00632EDB">
        <w:rPr>
          <w:snapToGrid/>
          <w:sz w:val="24"/>
        </w:rPr>
        <w:t>, 2021).</w:t>
      </w:r>
      <w:r w:rsidR="009520F0" w:rsidRPr="00632EDB">
        <w:rPr>
          <w:snapToGrid/>
          <w:sz w:val="24"/>
        </w:rPr>
        <w:t xml:space="preserve"> Value chain emissions can be used to guide overall policy, implement sector allocation, or initiate engagement with companies.</w:t>
      </w:r>
      <w:r w:rsidR="008A6F05" w:rsidRPr="00632EDB">
        <w:rPr>
          <w:snapToGrid/>
          <w:sz w:val="24"/>
        </w:rPr>
        <w:t xml:space="preserve"> So, v</w:t>
      </w:r>
      <w:r w:rsidR="009520F0" w:rsidRPr="00632EDB">
        <w:rPr>
          <w:snapToGrid/>
          <w:sz w:val="24"/>
        </w:rPr>
        <w:t xml:space="preserve">alue chain considerations can be included in asset selection through specific security-level performance metrics and/or corporate commitment to decarbonization, such as through a materiality matrix. Therefore, O-LCA could be a useful tool for investigating emissions at the organizational level and thus aid in the pursuit of </w:t>
      </w:r>
      <w:r w:rsidR="008A6F05" w:rsidRPr="00632EDB">
        <w:rPr>
          <w:snapToGrid/>
          <w:sz w:val="24"/>
        </w:rPr>
        <w:t xml:space="preserve">Scope </w:t>
      </w:r>
      <w:r w:rsidR="009520F0" w:rsidRPr="00632EDB">
        <w:rPr>
          <w:snapToGrid/>
          <w:sz w:val="24"/>
        </w:rPr>
        <w:t>3. In light of this, the goal of this paper is to present a general overview of O-LCA and how it could serve as a sustainability tool in order to intersect different interests between companies and stakeholders.</w:t>
      </w:r>
    </w:p>
    <w:p w14:paraId="76B8B062" w14:textId="56187754" w:rsidR="00884B87" w:rsidRPr="00632EDB" w:rsidRDefault="009520F0" w:rsidP="009520F0">
      <w:pPr>
        <w:pStyle w:val="Abstract"/>
        <w:numPr>
          <w:ilvl w:val="0"/>
          <w:numId w:val="43"/>
        </w:numPr>
        <w:tabs>
          <w:tab w:val="left" w:pos="6379"/>
        </w:tabs>
        <w:spacing w:line="276" w:lineRule="auto"/>
        <w:ind w:right="-30"/>
        <w:rPr>
          <w:b/>
          <w:bCs/>
          <w:snapToGrid/>
          <w:sz w:val="24"/>
        </w:rPr>
      </w:pPr>
      <w:r w:rsidRPr="00632EDB">
        <w:rPr>
          <w:b/>
          <w:bCs/>
          <w:snapToGrid/>
          <w:sz w:val="24"/>
        </w:rPr>
        <w:lastRenderedPageBreak/>
        <w:t>O-LCA: description and state of the art</w:t>
      </w:r>
    </w:p>
    <w:p w14:paraId="0DEA7133" w14:textId="615CF4E2" w:rsidR="00A01B49" w:rsidRPr="00632EDB" w:rsidRDefault="00F73109" w:rsidP="007B00A7">
      <w:pPr>
        <w:pStyle w:val="Abstract"/>
        <w:tabs>
          <w:tab w:val="left" w:pos="6379"/>
        </w:tabs>
        <w:spacing w:line="276" w:lineRule="auto"/>
        <w:ind w:left="28" w:right="-30"/>
        <w:rPr>
          <w:snapToGrid/>
          <w:sz w:val="24"/>
        </w:rPr>
      </w:pPr>
      <w:r w:rsidRPr="00632EDB">
        <w:rPr>
          <w:snapToGrid/>
          <w:sz w:val="24"/>
        </w:rPr>
        <w:t>T</w:t>
      </w:r>
      <w:r w:rsidR="00A01B49" w:rsidRPr="00632EDB">
        <w:rPr>
          <w:snapToGrid/>
          <w:sz w:val="24"/>
        </w:rPr>
        <w:t>he Life Cycle Assessment has managed to evolve dynamically, until the development of some "variants," more or less specific that arise mainly as a result of the need</w:t>
      </w:r>
      <w:r w:rsidR="00030009" w:rsidRPr="00632EDB">
        <w:rPr>
          <w:snapToGrid/>
          <w:sz w:val="24"/>
        </w:rPr>
        <w:t xml:space="preserve"> </w:t>
      </w:r>
      <w:r w:rsidR="00A01B49" w:rsidRPr="00632EDB">
        <w:rPr>
          <w:snapToGrid/>
          <w:sz w:val="24"/>
        </w:rPr>
        <w:t xml:space="preserve">to identify impacts along the entire supply chain, so as to consider the entire value chain according to a multi-impact approach. In fact, LCA is generally seen as an isolated assessment at the product level, with limited transferability to the </w:t>
      </w:r>
      <w:r w:rsidRPr="00632EDB">
        <w:rPr>
          <w:snapToGrid/>
          <w:sz w:val="24"/>
        </w:rPr>
        <w:t>organizations</w:t>
      </w:r>
      <w:r w:rsidR="00A01B49" w:rsidRPr="00632EDB">
        <w:rPr>
          <w:snapToGrid/>
          <w:sz w:val="24"/>
        </w:rPr>
        <w:t>, without looking at the whole. However, since most companies produce a wide range of products, an LCA related to a single product will analyze only a small part of the company, whereas it would make more sense to evaluate the company's entire production range. For these reasons, the O-LCA and the Social Organizational Life Cycle Assessment (SO-LCA) (Martinez Blanco et al., 2015) have emerged in recent years. O-LCA could be considered an extension of the application of LCA to organizations (Fig</w:t>
      </w:r>
      <w:r w:rsidR="009879A8" w:rsidRPr="00632EDB">
        <w:rPr>
          <w:snapToGrid/>
          <w:sz w:val="24"/>
        </w:rPr>
        <w:t>ure</w:t>
      </w:r>
      <w:r w:rsidR="00A01B49" w:rsidRPr="00632EDB">
        <w:rPr>
          <w:snapToGrid/>
          <w:sz w:val="24"/>
        </w:rPr>
        <w:t xml:space="preserve"> </w:t>
      </w:r>
      <w:r w:rsidR="009879A8" w:rsidRPr="00632EDB">
        <w:rPr>
          <w:snapToGrid/>
          <w:sz w:val="24"/>
        </w:rPr>
        <w:t>2</w:t>
      </w:r>
      <w:r w:rsidR="00A01B49" w:rsidRPr="00632EDB">
        <w:rPr>
          <w:snapToGrid/>
          <w:sz w:val="24"/>
        </w:rPr>
        <w:t>) and could help in finding environmental hotspots where the organization should focus its interventions throughout the value chain.</w:t>
      </w:r>
      <w:r w:rsidRPr="00632EDB">
        <w:rPr>
          <w:snapToGrid/>
          <w:sz w:val="24"/>
        </w:rPr>
        <w:t xml:space="preserve"> </w:t>
      </w:r>
    </w:p>
    <w:p w14:paraId="4DF44DAF" w14:textId="77777777" w:rsidR="007B00A7" w:rsidRPr="00632EDB" w:rsidRDefault="007B00A7" w:rsidP="007B00A7">
      <w:pPr>
        <w:pStyle w:val="Abstract"/>
        <w:tabs>
          <w:tab w:val="left" w:pos="6379"/>
        </w:tabs>
        <w:spacing w:line="276" w:lineRule="auto"/>
        <w:ind w:left="28" w:right="-30"/>
        <w:rPr>
          <w:snapToGrid/>
          <w:sz w:val="24"/>
        </w:rPr>
      </w:pPr>
    </w:p>
    <w:p w14:paraId="49AA15E5" w14:textId="07981DDD" w:rsidR="00A01B49" w:rsidRPr="00632EDB" w:rsidRDefault="00A01B49" w:rsidP="00A01B49">
      <w:pPr>
        <w:pStyle w:val="Abstract"/>
        <w:tabs>
          <w:tab w:val="left" w:pos="6379"/>
        </w:tabs>
        <w:spacing w:line="276" w:lineRule="auto"/>
        <w:ind w:left="28" w:right="-30"/>
        <w:jc w:val="center"/>
        <w:rPr>
          <w:snapToGrid/>
          <w:sz w:val="24"/>
        </w:rPr>
      </w:pPr>
      <w:r w:rsidRPr="00632EDB">
        <w:rPr>
          <w:noProof/>
          <w:snapToGrid/>
          <w:sz w:val="24"/>
        </w:rPr>
        <w:drawing>
          <wp:inline distT="0" distB="0" distL="0" distR="0" wp14:anchorId="0F281A60" wp14:editId="36550B08">
            <wp:extent cx="4235450" cy="3048900"/>
            <wp:effectExtent l="0" t="0" r="0" b="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1181" cy="3067423"/>
                    </a:xfrm>
                    <a:prstGeom prst="rect">
                      <a:avLst/>
                    </a:prstGeom>
                    <a:noFill/>
                  </pic:spPr>
                </pic:pic>
              </a:graphicData>
            </a:graphic>
          </wp:inline>
        </w:drawing>
      </w:r>
    </w:p>
    <w:p w14:paraId="0D7FE843" w14:textId="77777777" w:rsidR="00E83585" w:rsidRPr="00632EDB" w:rsidRDefault="00E83585" w:rsidP="00E83585">
      <w:pPr>
        <w:pStyle w:val="TableCaption"/>
        <w:spacing w:line="276" w:lineRule="auto"/>
        <w:ind w:left="1915" w:right="1800"/>
        <w:jc w:val="center"/>
      </w:pPr>
      <w:bookmarkStart w:id="0" w:name="_Hlk107575235"/>
    </w:p>
    <w:p w14:paraId="68912FCC" w14:textId="518C46AB" w:rsidR="00884B87" w:rsidRPr="00632EDB" w:rsidRDefault="00A01B49" w:rsidP="00A01B49">
      <w:pPr>
        <w:pStyle w:val="TableCaption"/>
        <w:spacing w:after="120" w:line="276" w:lineRule="auto"/>
        <w:ind w:left="1915" w:right="1800"/>
        <w:jc w:val="center"/>
      </w:pPr>
      <w:r w:rsidRPr="00632EDB">
        <w:t xml:space="preserve">Figure 2. O-LCA Description </w:t>
      </w:r>
      <w:bookmarkEnd w:id="0"/>
      <w:r w:rsidRPr="00632EDB">
        <w:t>(ISO, 2014)</w:t>
      </w:r>
    </w:p>
    <w:p w14:paraId="057A1264" w14:textId="23413794" w:rsidR="008A6F05" w:rsidRPr="00632EDB" w:rsidRDefault="007B00A7" w:rsidP="008A6F05">
      <w:pPr>
        <w:pStyle w:val="Abstract"/>
        <w:tabs>
          <w:tab w:val="left" w:pos="6379"/>
        </w:tabs>
        <w:spacing w:line="276" w:lineRule="auto"/>
        <w:ind w:left="28" w:right="-30"/>
        <w:rPr>
          <w:snapToGrid/>
          <w:sz w:val="24"/>
        </w:rPr>
      </w:pPr>
      <w:r w:rsidRPr="00632EDB">
        <w:rPr>
          <w:snapToGrid/>
          <w:sz w:val="24"/>
        </w:rPr>
        <w:lastRenderedPageBreak/>
        <w:t xml:space="preserve">O-LCA is regulated by ISO/TS 14072 </w:t>
      </w:r>
      <w:r w:rsidR="00CF1075" w:rsidRPr="00632EDB">
        <w:rPr>
          <w:snapToGrid/>
          <w:sz w:val="24"/>
        </w:rPr>
        <w:t>which</w:t>
      </w:r>
      <w:r w:rsidRPr="00632EDB">
        <w:rPr>
          <w:snapToGrid/>
          <w:sz w:val="24"/>
        </w:rPr>
        <w:t xml:space="preserve"> </w:t>
      </w:r>
      <w:r w:rsidR="00CF1075" w:rsidRPr="00632EDB">
        <w:rPr>
          <w:snapToGrid/>
          <w:sz w:val="24"/>
        </w:rPr>
        <w:t>provides</w:t>
      </w:r>
      <w:r w:rsidRPr="00632EDB">
        <w:rPr>
          <w:snapToGrid/>
          <w:sz w:val="24"/>
        </w:rPr>
        <w:t xml:space="preserve"> additional details for </w:t>
      </w:r>
      <w:r w:rsidR="00CF1075" w:rsidRPr="00632EDB">
        <w:rPr>
          <w:snapToGrid/>
          <w:sz w:val="24"/>
        </w:rPr>
        <w:t>its</w:t>
      </w:r>
      <w:r w:rsidRPr="00632EDB">
        <w:rPr>
          <w:snapToGrid/>
          <w:sz w:val="24"/>
        </w:rPr>
        <w:t xml:space="preserve"> proper implementation. LCA and O-LCA share most of the requirements defined by ISO 14040 and 14044, with minor additions and changes in terminology and the definition of two new constituents, corresponding to the functional unit and reference flow, namely reporting unit (replacing functional unit) and reporting flow (replacing reference flow) (Table 1). </w:t>
      </w:r>
    </w:p>
    <w:p w14:paraId="47430021" w14:textId="77777777" w:rsidR="00F73109" w:rsidRPr="00632EDB" w:rsidRDefault="00F73109" w:rsidP="007B00A7">
      <w:pPr>
        <w:pStyle w:val="Abstract"/>
        <w:tabs>
          <w:tab w:val="left" w:pos="6379"/>
        </w:tabs>
        <w:spacing w:line="276" w:lineRule="auto"/>
        <w:ind w:left="0" w:right="-30"/>
        <w:rPr>
          <w:snapToGrid/>
          <w:sz w:val="24"/>
        </w:rPr>
      </w:pPr>
    </w:p>
    <w:p w14:paraId="0BA3CFB6" w14:textId="4745D4AE" w:rsidR="00A01B49" w:rsidRPr="00632EDB" w:rsidRDefault="00A01B49" w:rsidP="00A01B49">
      <w:pPr>
        <w:pStyle w:val="Abstract"/>
        <w:tabs>
          <w:tab w:val="left" w:pos="6379"/>
        </w:tabs>
        <w:spacing w:line="276" w:lineRule="auto"/>
        <w:ind w:left="28" w:right="-30"/>
        <w:jc w:val="center"/>
        <w:rPr>
          <w:sz w:val="18"/>
          <w:szCs w:val="18"/>
        </w:rPr>
      </w:pPr>
      <w:r w:rsidRPr="00632EDB">
        <w:rPr>
          <w:sz w:val="18"/>
          <w:szCs w:val="18"/>
        </w:rPr>
        <w:t>Table 1. Comparison of O-LCA and LCA</w:t>
      </w:r>
    </w:p>
    <w:p w14:paraId="5CFCED74" w14:textId="77777777" w:rsidR="00917D8A" w:rsidRPr="00632EDB" w:rsidRDefault="00917D8A" w:rsidP="00A01B49">
      <w:pPr>
        <w:pStyle w:val="Abstract"/>
        <w:tabs>
          <w:tab w:val="left" w:pos="6379"/>
        </w:tabs>
        <w:spacing w:line="276" w:lineRule="auto"/>
        <w:ind w:left="28" w:right="-30"/>
        <w:jc w:val="center"/>
        <w:rPr>
          <w:snapToGrid/>
          <w:sz w:val="22"/>
          <w:szCs w:val="18"/>
        </w:rPr>
      </w:pPr>
    </w:p>
    <w:tbl>
      <w:tblPr>
        <w:tblStyle w:val="Tabellasemplice-2"/>
        <w:tblW w:w="7309" w:type="dxa"/>
        <w:tblLook w:val="04A0" w:firstRow="1" w:lastRow="0" w:firstColumn="1" w:lastColumn="0" w:noHBand="0" w:noVBand="1"/>
      </w:tblPr>
      <w:tblGrid>
        <w:gridCol w:w="1472"/>
        <w:gridCol w:w="3176"/>
        <w:gridCol w:w="2694"/>
      </w:tblGrid>
      <w:tr w:rsidR="00632EDB" w:rsidRPr="00632EDB" w14:paraId="02C9E5F9" w14:textId="77777777" w:rsidTr="00E478ED">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9" w:type="dxa"/>
            <w:tcBorders>
              <w:top w:val="single" w:sz="4" w:space="0" w:color="auto"/>
              <w:bottom w:val="single" w:sz="4" w:space="0" w:color="auto"/>
            </w:tcBorders>
            <w:noWrap/>
            <w:vAlign w:val="center"/>
            <w:hideMark/>
          </w:tcPr>
          <w:p w14:paraId="621F828D" w14:textId="77777777" w:rsidR="00A01B49" w:rsidRPr="00632EDB" w:rsidRDefault="00A01B49" w:rsidP="00E478ED">
            <w:pPr>
              <w:spacing w:before="100" w:beforeAutospacing="1" w:afterAutospacing="1" w:line="240" w:lineRule="auto"/>
              <w:jc w:val="center"/>
              <w:rPr>
                <w:sz w:val="20"/>
                <w:lang w:eastAsia="it-IT"/>
              </w:rPr>
            </w:pPr>
          </w:p>
        </w:tc>
        <w:tc>
          <w:tcPr>
            <w:tcW w:w="3176" w:type="dxa"/>
            <w:tcBorders>
              <w:top w:val="single" w:sz="4" w:space="0" w:color="auto"/>
              <w:bottom w:val="single" w:sz="4" w:space="0" w:color="auto"/>
            </w:tcBorders>
            <w:noWrap/>
            <w:vAlign w:val="center"/>
            <w:hideMark/>
          </w:tcPr>
          <w:p w14:paraId="6DE04073" w14:textId="77777777" w:rsidR="00A01B49" w:rsidRPr="00632EDB" w:rsidRDefault="00A01B49" w:rsidP="00E478ED">
            <w:pPr>
              <w:spacing w:before="100" w:beforeAutospacing="1" w:afterAutospacing="1" w:line="240" w:lineRule="auto"/>
              <w:jc w:val="center"/>
              <w:cnfStyle w:val="100000000000" w:firstRow="1" w:lastRow="0" w:firstColumn="0" w:lastColumn="0" w:oddVBand="0" w:evenVBand="0" w:oddHBand="0" w:evenHBand="0" w:firstRowFirstColumn="0" w:firstRowLastColumn="0" w:lastRowFirstColumn="0" w:lastRowLastColumn="0"/>
              <w:rPr>
                <w:sz w:val="20"/>
                <w:lang w:val="it-IT" w:eastAsia="it-IT"/>
              </w:rPr>
            </w:pPr>
            <w:r w:rsidRPr="00632EDB">
              <w:rPr>
                <w:sz w:val="20"/>
                <w:lang w:val="it-IT" w:eastAsia="it-IT"/>
              </w:rPr>
              <w:t>O-LCA</w:t>
            </w:r>
          </w:p>
        </w:tc>
        <w:tc>
          <w:tcPr>
            <w:tcW w:w="2694" w:type="dxa"/>
            <w:tcBorders>
              <w:top w:val="single" w:sz="4" w:space="0" w:color="auto"/>
              <w:bottom w:val="single" w:sz="4" w:space="0" w:color="auto"/>
            </w:tcBorders>
            <w:noWrap/>
            <w:vAlign w:val="center"/>
            <w:hideMark/>
          </w:tcPr>
          <w:p w14:paraId="4F1564D4" w14:textId="7408B298" w:rsidR="00A01B49" w:rsidRPr="00632EDB" w:rsidRDefault="00A01B49" w:rsidP="00E478ED">
            <w:pPr>
              <w:spacing w:before="100" w:beforeAutospacing="1" w:afterAutospacing="1" w:line="240" w:lineRule="auto"/>
              <w:jc w:val="center"/>
              <w:cnfStyle w:val="100000000000" w:firstRow="1" w:lastRow="0" w:firstColumn="0" w:lastColumn="0" w:oddVBand="0" w:evenVBand="0" w:oddHBand="0" w:evenHBand="0" w:firstRowFirstColumn="0" w:firstRowLastColumn="0" w:lastRowFirstColumn="0" w:lastRowLastColumn="0"/>
              <w:rPr>
                <w:sz w:val="20"/>
                <w:lang w:val="it-IT" w:eastAsia="it-IT"/>
              </w:rPr>
            </w:pPr>
            <w:r w:rsidRPr="00632EDB">
              <w:rPr>
                <w:sz w:val="20"/>
                <w:lang w:val="it-IT" w:eastAsia="it-IT"/>
              </w:rPr>
              <w:t>LCA</w:t>
            </w:r>
          </w:p>
        </w:tc>
      </w:tr>
      <w:tr w:rsidR="00632EDB" w:rsidRPr="00632EDB" w14:paraId="082B7566" w14:textId="77777777" w:rsidTr="00E478E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9" w:type="dxa"/>
            <w:tcBorders>
              <w:top w:val="single" w:sz="4" w:space="0" w:color="auto"/>
            </w:tcBorders>
            <w:noWrap/>
            <w:vAlign w:val="center"/>
            <w:hideMark/>
          </w:tcPr>
          <w:p w14:paraId="1688237A" w14:textId="77777777" w:rsidR="00A01B49" w:rsidRPr="00632EDB" w:rsidRDefault="00A01B49" w:rsidP="00E478ED">
            <w:pPr>
              <w:spacing w:before="100" w:beforeAutospacing="1" w:afterAutospacing="1" w:line="240" w:lineRule="auto"/>
              <w:jc w:val="center"/>
              <w:rPr>
                <w:b w:val="0"/>
                <w:bCs w:val="0"/>
                <w:sz w:val="20"/>
                <w:lang w:val="it-IT" w:eastAsia="it-IT"/>
              </w:rPr>
            </w:pPr>
            <w:r w:rsidRPr="00632EDB">
              <w:rPr>
                <w:b w:val="0"/>
                <w:bCs w:val="0"/>
                <w:sz w:val="20"/>
                <w:lang w:val="en" w:eastAsia="it-IT"/>
              </w:rPr>
              <w:t>Scope</w:t>
            </w:r>
          </w:p>
        </w:tc>
        <w:tc>
          <w:tcPr>
            <w:tcW w:w="3176" w:type="dxa"/>
            <w:tcBorders>
              <w:top w:val="single" w:sz="4" w:space="0" w:color="auto"/>
            </w:tcBorders>
            <w:noWrap/>
            <w:vAlign w:val="center"/>
            <w:hideMark/>
          </w:tcPr>
          <w:p w14:paraId="7FC5C4A1" w14:textId="77777777" w:rsidR="00A01B49" w:rsidRPr="00632EDB" w:rsidRDefault="00A01B49" w:rsidP="00E478ED">
            <w:pPr>
              <w:spacing w:before="100" w:beforeAutospacing="1" w:afterAutospacing="1" w:line="240" w:lineRule="auto"/>
              <w:jc w:val="center"/>
              <w:cnfStyle w:val="000000100000" w:firstRow="0" w:lastRow="0" w:firstColumn="0" w:lastColumn="0" w:oddVBand="0" w:evenVBand="0" w:oddHBand="1" w:evenHBand="0" w:firstRowFirstColumn="0" w:firstRowLastColumn="0" w:lastRowFirstColumn="0" w:lastRowLastColumn="0"/>
              <w:rPr>
                <w:sz w:val="20"/>
                <w:lang w:val="it-IT" w:eastAsia="it-IT"/>
              </w:rPr>
            </w:pPr>
            <w:r w:rsidRPr="00632EDB">
              <w:rPr>
                <w:sz w:val="20"/>
                <w:lang w:val="en" w:eastAsia="it-IT"/>
              </w:rPr>
              <w:t>Organizations</w:t>
            </w:r>
          </w:p>
        </w:tc>
        <w:tc>
          <w:tcPr>
            <w:tcW w:w="2694" w:type="dxa"/>
            <w:tcBorders>
              <w:top w:val="single" w:sz="4" w:space="0" w:color="auto"/>
            </w:tcBorders>
            <w:noWrap/>
            <w:vAlign w:val="center"/>
            <w:hideMark/>
          </w:tcPr>
          <w:p w14:paraId="61154601" w14:textId="77777777" w:rsidR="00A01B49" w:rsidRPr="00632EDB" w:rsidRDefault="00A01B49" w:rsidP="00E478ED">
            <w:pPr>
              <w:shd w:val="clear" w:color="auto" w:fill="FDFDFD"/>
              <w:spacing w:line="240" w:lineRule="auto"/>
              <w:jc w:val="center"/>
              <w:cnfStyle w:val="000000100000" w:firstRow="0" w:lastRow="0" w:firstColumn="0" w:lastColumn="0" w:oddVBand="0" w:evenVBand="0" w:oddHBand="1" w:evenHBand="0" w:firstRowFirstColumn="0" w:firstRowLastColumn="0" w:lastRowFirstColumn="0" w:lastRowLastColumn="0"/>
              <w:rPr>
                <w:sz w:val="20"/>
                <w:lang w:val="en" w:eastAsia="it-IT"/>
              </w:rPr>
            </w:pPr>
            <w:r w:rsidRPr="00632EDB">
              <w:rPr>
                <w:sz w:val="20"/>
                <w:lang w:val="en" w:eastAsia="it-IT"/>
              </w:rPr>
              <w:t>Products or processes</w:t>
            </w:r>
          </w:p>
        </w:tc>
      </w:tr>
      <w:tr w:rsidR="00632EDB" w:rsidRPr="00632EDB" w14:paraId="01F0F694" w14:textId="77777777" w:rsidTr="00E478ED">
        <w:trPr>
          <w:trHeight w:val="288"/>
        </w:trPr>
        <w:tc>
          <w:tcPr>
            <w:cnfStyle w:val="001000000000" w:firstRow="0" w:lastRow="0" w:firstColumn="1" w:lastColumn="0" w:oddVBand="0" w:evenVBand="0" w:oddHBand="0" w:evenHBand="0" w:firstRowFirstColumn="0" w:firstRowLastColumn="0" w:lastRowFirstColumn="0" w:lastRowLastColumn="0"/>
            <w:tcW w:w="1439" w:type="dxa"/>
            <w:noWrap/>
            <w:vAlign w:val="center"/>
            <w:hideMark/>
          </w:tcPr>
          <w:p w14:paraId="06438627" w14:textId="05B3F3DE" w:rsidR="00A01B49" w:rsidRPr="00632EDB" w:rsidRDefault="00DD4F7A" w:rsidP="00E478ED">
            <w:pPr>
              <w:spacing w:before="100" w:beforeAutospacing="1" w:afterAutospacing="1" w:line="240" w:lineRule="auto"/>
              <w:jc w:val="center"/>
              <w:rPr>
                <w:b w:val="0"/>
                <w:bCs w:val="0"/>
                <w:sz w:val="20"/>
                <w:lang w:val="it-IT" w:eastAsia="it-IT"/>
              </w:rPr>
            </w:pPr>
            <w:r w:rsidRPr="00632EDB">
              <w:rPr>
                <w:b w:val="0"/>
                <w:bCs w:val="0"/>
                <w:sz w:val="20"/>
                <w:lang w:val="en" w:eastAsia="it-IT"/>
              </w:rPr>
              <w:t>R</w:t>
            </w:r>
            <w:r w:rsidR="00A01B49" w:rsidRPr="00632EDB">
              <w:rPr>
                <w:b w:val="0"/>
                <w:bCs w:val="0"/>
                <w:sz w:val="20"/>
                <w:lang w:val="en" w:eastAsia="it-IT"/>
              </w:rPr>
              <w:t>eference</w:t>
            </w:r>
          </w:p>
        </w:tc>
        <w:tc>
          <w:tcPr>
            <w:tcW w:w="3176" w:type="dxa"/>
            <w:noWrap/>
            <w:vAlign w:val="center"/>
            <w:hideMark/>
          </w:tcPr>
          <w:p w14:paraId="677E2D34" w14:textId="497EE74F" w:rsidR="00A01B49" w:rsidRPr="00632EDB" w:rsidRDefault="00926EF3" w:rsidP="00E478ED">
            <w:pPr>
              <w:spacing w:before="100" w:beforeAutospacing="1" w:afterAutospacing="1" w:line="240" w:lineRule="auto"/>
              <w:jc w:val="center"/>
              <w:cnfStyle w:val="000000000000" w:firstRow="0" w:lastRow="0" w:firstColumn="0" w:lastColumn="0" w:oddVBand="0" w:evenVBand="0" w:oddHBand="0" w:evenHBand="0" w:firstRowFirstColumn="0" w:firstRowLastColumn="0" w:lastRowFirstColumn="0" w:lastRowLastColumn="0"/>
              <w:rPr>
                <w:sz w:val="20"/>
                <w:lang w:val="it-IT" w:eastAsia="it-IT"/>
              </w:rPr>
            </w:pPr>
            <w:r w:rsidRPr="00632EDB">
              <w:rPr>
                <w:sz w:val="20"/>
                <w:lang w:eastAsia="it-IT"/>
              </w:rPr>
              <w:t>ISO/TS 14071</w:t>
            </w:r>
          </w:p>
        </w:tc>
        <w:tc>
          <w:tcPr>
            <w:tcW w:w="2694" w:type="dxa"/>
            <w:noWrap/>
            <w:vAlign w:val="center"/>
            <w:hideMark/>
          </w:tcPr>
          <w:p w14:paraId="6E991614" w14:textId="17110F70" w:rsidR="00A01B49" w:rsidRPr="00632EDB" w:rsidRDefault="00926EF3" w:rsidP="00E478ED">
            <w:pPr>
              <w:spacing w:before="100" w:beforeAutospacing="1" w:afterAutospacing="1" w:line="240" w:lineRule="auto"/>
              <w:jc w:val="center"/>
              <w:cnfStyle w:val="000000000000" w:firstRow="0" w:lastRow="0" w:firstColumn="0" w:lastColumn="0" w:oddVBand="0" w:evenVBand="0" w:oddHBand="0" w:evenHBand="0" w:firstRowFirstColumn="0" w:firstRowLastColumn="0" w:lastRowFirstColumn="0" w:lastRowLastColumn="0"/>
              <w:rPr>
                <w:sz w:val="20"/>
                <w:lang w:eastAsia="it-IT"/>
              </w:rPr>
            </w:pPr>
            <w:r w:rsidRPr="00632EDB">
              <w:rPr>
                <w:sz w:val="20"/>
                <w:lang w:eastAsia="it-IT"/>
              </w:rPr>
              <w:t>ISO 14040</w:t>
            </w:r>
            <w:r w:rsidR="00DD4F7A" w:rsidRPr="00632EDB">
              <w:rPr>
                <w:sz w:val="20"/>
                <w:lang w:eastAsia="it-IT"/>
              </w:rPr>
              <w:t xml:space="preserve"> and </w:t>
            </w:r>
            <w:r w:rsidRPr="00632EDB">
              <w:rPr>
                <w:sz w:val="20"/>
                <w:lang w:eastAsia="it-IT"/>
              </w:rPr>
              <w:t>14044</w:t>
            </w:r>
          </w:p>
        </w:tc>
      </w:tr>
      <w:tr w:rsidR="00632EDB" w:rsidRPr="00632EDB" w14:paraId="7BFFE837" w14:textId="77777777" w:rsidTr="00E478E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9" w:type="dxa"/>
            <w:noWrap/>
            <w:vAlign w:val="center"/>
          </w:tcPr>
          <w:p w14:paraId="1430423E" w14:textId="77777777" w:rsidR="00A01B49" w:rsidRPr="00632EDB" w:rsidRDefault="00A01B49" w:rsidP="00E478ED">
            <w:pPr>
              <w:spacing w:before="100" w:beforeAutospacing="1" w:afterAutospacing="1" w:line="240" w:lineRule="auto"/>
              <w:jc w:val="center"/>
              <w:rPr>
                <w:b w:val="0"/>
                <w:bCs w:val="0"/>
                <w:sz w:val="20"/>
                <w:lang w:val="it-IT" w:eastAsia="it-IT"/>
              </w:rPr>
            </w:pPr>
            <w:r w:rsidRPr="00632EDB">
              <w:rPr>
                <w:b w:val="0"/>
                <w:bCs w:val="0"/>
                <w:sz w:val="20"/>
                <w:lang w:val="it-IT" w:eastAsia="it-IT"/>
              </w:rPr>
              <w:t>Standardization year</w:t>
            </w:r>
          </w:p>
        </w:tc>
        <w:tc>
          <w:tcPr>
            <w:tcW w:w="3176" w:type="dxa"/>
            <w:noWrap/>
            <w:vAlign w:val="center"/>
          </w:tcPr>
          <w:p w14:paraId="1A69FA07" w14:textId="53975FB6" w:rsidR="00A01B49" w:rsidRPr="00632EDB" w:rsidRDefault="00926EF3" w:rsidP="00E478ED">
            <w:pPr>
              <w:spacing w:before="100" w:beforeAutospacing="1" w:afterAutospacing="1" w:line="240" w:lineRule="auto"/>
              <w:jc w:val="center"/>
              <w:cnfStyle w:val="000000100000" w:firstRow="0" w:lastRow="0" w:firstColumn="0" w:lastColumn="0" w:oddVBand="0" w:evenVBand="0" w:oddHBand="1" w:evenHBand="0" w:firstRowFirstColumn="0" w:firstRowLastColumn="0" w:lastRowFirstColumn="0" w:lastRowLastColumn="0"/>
              <w:rPr>
                <w:sz w:val="20"/>
                <w:lang w:val="it-IT" w:eastAsia="it-IT"/>
              </w:rPr>
            </w:pPr>
            <w:r w:rsidRPr="00632EDB">
              <w:rPr>
                <w:sz w:val="20"/>
                <w:lang w:val="it-IT" w:eastAsia="it-IT"/>
              </w:rPr>
              <w:t>2014</w:t>
            </w:r>
          </w:p>
        </w:tc>
        <w:tc>
          <w:tcPr>
            <w:tcW w:w="2694" w:type="dxa"/>
            <w:noWrap/>
            <w:vAlign w:val="center"/>
          </w:tcPr>
          <w:p w14:paraId="6EA99D2E" w14:textId="527809C5" w:rsidR="00A01B49" w:rsidRPr="00632EDB" w:rsidRDefault="00926EF3" w:rsidP="00E478ED">
            <w:pPr>
              <w:spacing w:before="100" w:beforeAutospacing="1" w:afterAutospacing="1" w:line="240" w:lineRule="auto"/>
              <w:jc w:val="center"/>
              <w:cnfStyle w:val="000000100000" w:firstRow="0" w:lastRow="0" w:firstColumn="0" w:lastColumn="0" w:oddVBand="0" w:evenVBand="0" w:oddHBand="1" w:evenHBand="0" w:firstRowFirstColumn="0" w:firstRowLastColumn="0" w:lastRowFirstColumn="0" w:lastRowLastColumn="0"/>
              <w:rPr>
                <w:sz w:val="20"/>
                <w:lang w:val="it-IT" w:eastAsia="it-IT"/>
              </w:rPr>
            </w:pPr>
            <w:r w:rsidRPr="00632EDB">
              <w:rPr>
                <w:sz w:val="20"/>
                <w:lang w:val="it-IT" w:eastAsia="it-IT"/>
              </w:rPr>
              <w:t>2006</w:t>
            </w:r>
          </w:p>
        </w:tc>
      </w:tr>
      <w:tr w:rsidR="00632EDB" w:rsidRPr="00632EDB" w14:paraId="71117AEF" w14:textId="77777777" w:rsidTr="00E478ED">
        <w:trPr>
          <w:trHeight w:val="288"/>
        </w:trPr>
        <w:tc>
          <w:tcPr>
            <w:cnfStyle w:val="001000000000" w:firstRow="0" w:lastRow="0" w:firstColumn="1" w:lastColumn="0" w:oddVBand="0" w:evenVBand="0" w:oddHBand="0" w:evenHBand="0" w:firstRowFirstColumn="0" w:firstRowLastColumn="0" w:lastRowFirstColumn="0" w:lastRowLastColumn="0"/>
            <w:tcW w:w="1439" w:type="dxa"/>
            <w:noWrap/>
            <w:vAlign w:val="center"/>
            <w:hideMark/>
          </w:tcPr>
          <w:p w14:paraId="237C8596" w14:textId="77777777" w:rsidR="00A01B49" w:rsidRPr="00632EDB" w:rsidRDefault="00A01B49" w:rsidP="00E478ED">
            <w:pPr>
              <w:shd w:val="clear" w:color="auto" w:fill="FDFDFD"/>
              <w:spacing w:line="240" w:lineRule="auto"/>
              <w:jc w:val="center"/>
              <w:rPr>
                <w:b w:val="0"/>
                <w:bCs w:val="0"/>
                <w:sz w:val="20"/>
                <w:lang w:val="en" w:eastAsia="it-IT"/>
              </w:rPr>
            </w:pPr>
            <w:r w:rsidRPr="00632EDB">
              <w:rPr>
                <w:b w:val="0"/>
                <w:bCs w:val="0"/>
                <w:sz w:val="20"/>
                <w:lang w:val="en" w:eastAsia="it-IT"/>
              </w:rPr>
              <w:t>Object of study</w:t>
            </w:r>
          </w:p>
        </w:tc>
        <w:tc>
          <w:tcPr>
            <w:tcW w:w="3176" w:type="dxa"/>
            <w:noWrap/>
            <w:vAlign w:val="center"/>
            <w:hideMark/>
          </w:tcPr>
          <w:p w14:paraId="7B1D8BDA" w14:textId="77777777" w:rsidR="00A01B49" w:rsidRPr="00632EDB" w:rsidRDefault="00A01B49" w:rsidP="00E478ED">
            <w:pPr>
              <w:spacing w:before="100" w:beforeAutospacing="1" w:afterAutospacing="1" w:line="240" w:lineRule="auto"/>
              <w:jc w:val="center"/>
              <w:cnfStyle w:val="000000000000" w:firstRow="0" w:lastRow="0" w:firstColumn="0" w:lastColumn="0" w:oddVBand="0" w:evenVBand="0" w:oddHBand="0" w:evenHBand="0" w:firstRowFirstColumn="0" w:firstRowLastColumn="0" w:lastRowFirstColumn="0" w:lastRowLastColumn="0"/>
              <w:rPr>
                <w:sz w:val="20"/>
                <w:lang w:val="it-IT" w:eastAsia="it-IT"/>
              </w:rPr>
            </w:pPr>
            <w:r w:rsidRPr="00632EDB">
              <w:rPr>
                <w:sz w:val="20"/>
                <w:lang w:val="it-IT" w:eastAsia="it-IT"/>
              </w:rPr>
              <w:t>Reporting Unit</w:t>
            </w:r>
          </w:p>
        </w:tc>
        <w:tc>
          <w:tcPr>
            <w:tcW w:w="2694" w:type="dxa"/>
            <w:noWrap/>
            <w:vAlign w:val="center"/>
            <w:hideMark/>
          </w:tcPr>
          <w:p w14:paraId="378B2B86" w14:textId="77777777" w:rsidR="00A01B49" w:rsidRPr="00632EDB" w:rsidRDefault="00A01B49" w:rsidP="00E478ED">
            <w:pPr>
              <w:spacing w:before="100" w:beforeAutospacing="1" w:afterAutospacing="1" w:line="240" w:lineRule="auto"/>
              <w:jc w:val="center"/>
              <w:cnfStyle w:val="000000000000" w:firstRow="0" w:lastRow="0" w:firstColumn="0" w:lastColumn="0" w:oddVBand="0" w:evenVBand="0" w:oddHBand="0" w:evenHBand="0" w:firstRowFirstColumn="0" w:firstRowLastColumn="0" w:lastRowFirstColumn="0" w:lastRowLastColumn="0"/>
              <w:rPr>
                <w:sz w:val="20"/>
                <w:lang w:val="it-IT" w:eastAsia="it-IT"/>
              </w:rPr>
            </w:pPr>
            <w:proofErr w:type="spellStart"/>
            <w:r w:rsidRPr="00632EDB">
              <w:rPr>
                <w:sz w:val="20"/>
                <w:lang w:val="it-IT" w:eastAsia="it-IT"/>
              </w:rPr>
              <w:t>Functional</w:t>
            </w:r>
            <w:proofErr w:type="spellEnd"/>
            <w:r w:rsidRPr="00632EDB">
              <w:rPr>
                <w:sz w:val="20"/>
                <w:lang w:val="it-IT" w:eastAsia="it-IT"/>
              </w:rPr>
              <w:t xml:space="preserve"> Unit</w:t>
            </w:r>
          </w:p>
        </w:tc>
      </w:tr>
      <w:tr w:rsidR="00632EDB" w:rsidRPr="00632EDB" w14:paraId="5B758BB3" w14:textId="77777777" w:rsidTr="00E478E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9" w:type="dxa"/>
            <w:noWrap/>
            <w:vAlign w:val="center"/>
          </w:tcPr>
          <w:p w14:paraId="46A61910" w14:textId="77777777" w:rsidR="00A01B49" w:rsidRPr="00632EDB" w:rsidRDefault="00A01B49" w:rsidP="00E478ED">
            <w:pPr>
              <w:shd w:val="clear" w:color="auto" w:fill="FDFDFD"/>
              <w:spacing w:line="240" w:lineRule="auto"/>
              <w:jc w:val="center"/>
              <w:rPr>
                <w:b w:val="0"/>
                <w:bCs w:val="0"/>
                <w:sz w:val="20"/>
                <w:lang w:val="en" w:eastAsia="it-IT"/>
              </w:rPr>
            </w:pPr>
            <w:r w:rsidRPr="00632EDB">
              <w:rPr>
                <w:b w:val="0"/>
                <w:bCs w:val="0"/>
                <w:sz w:val="20"/>
                <w:lang w:val="en" w:eastAsia="it-IT"/>
              </w:rPr>
              <w:t>Outputs measures</w:t>
            </w:r>
          </w:p>
        </w:tc>
        <w:tc>
          <w:tcPr>
            <w:tcW w:w="3176" w:type="dxa"/>
            <w:noWrap/>
            <w:vAlign w:val="center"/>
          </w:tcPr>
          <w:p w14:paraId="6D1C4690" w14:textId="77777777" w:rsidR="00A01B49" w:rsidRPr="00632EDB" w:rsidRDefault="00A01B49" w:rsidP="00E478ED">
            <w:pPr>
              <w:spacing w:before="100" w:beforeAutospacing="1" w:afterAutospacing="1" w:line="240" w:lineRule="auto"/>
              <w:jc w:val="center"/>
              <w:cnfStyle w:val="000000100000" w:firstRow="0" w:lastRow="0" w:firstColumn="0" w:lastColumn="0" w:oddVBand="0" w:evenVBand="0" w:oddHBand="1" w:evenHBand="0" w:firstRowFirstColumn="0" w:firstRowLastColumn="0" w:lastRowFirstColumn="0" w:lastRowLastColumn="0"/>
              <w:rPr>
                <w:sz w:val="20"/>
                <w:lang w:val="it-IT" w:eastAsia="it-IT"/>
              </w:rPr>
            </w:pPr>
            <w:r w:rsidRPr="00632EDB">
              <w:rPr>
                <w:sz w:val="20"/>
                <w:lang w:val="it-IT" w:eastAsia="it-IT"/>
              </w:rPr>
              <w:t>Reporting flow</w:t>
            </w:r>
          </w:p>
        </w:tc>
        <w:tc>
          <w:tcPr>
            <w:tcW w:w="2694" w:type="dxa"/>
            <w:noWrap/>
            <w:vAlign w:val="center"/>
          </w:tcPr>
          <w:p w14:paraId="70CBF4A7" w14:textId="759EC111" w:rsidR="00A01B49" w:rsidRPr="00632EDB" w:rsidRDefault="00A01B49" w:rsidP="00E478ED">
            <w:pPr>
              <w:spacing w:before="100" w:beforeAutospacing="1" w:afterAutospacing="1" w:line="240" w:lineRule="auto"/>
              <w:jc w:val="center"/>
              <w:cnfStyle w:val="000000100000" w:firstRow="0" w:lastRow="0" w:firstColumn="0" w:lastColumn="0" w:oddVBand="0" w:evenVBand="0" w:oddHBand="1" w:evenHBand="0" w:firstRowFirstColumn="0" w:firstRowLastColumn="0" w:lastRowFirstColumn="0" w:lastRowLastColumn="0"/>
              <w:rPr>
                <w:sz w:val="20"/>
                <w:lang w:val="it-IT" w:eastAsia="it-IT"/>
              </w:rPr>
            </w:pPr>
            <w:r w:rsidRPr="00632EDB">
              <w:rPr>
                <w:sz w:val="20"/>
                <w:lang w:val="it-IT" w:eastAsia="it-IT"/>
              </w:rPr>
              <w:t>Reference</w:t>
            </w:r>
            <w:r w:rsidR="00926EF3" w:rsidRPr="00632EDB">
              <w:rPr>
                <w:sz w:val="20"/>
                <w:lang w:val="it-IT" w:eastAsia="it-IT"/>
              </w:rPr>
              <w:t xml:space="preserve"> flow</w:t>
            </w:r>
          </w:p>
        </w:tc>
      </w:tr>
      <w:tr w:rsidR="00632EDB" w:rsidRPr="00632EDB" w14:paraId="1472DE76" w14:textId="77777777" w:rsidTr="00E478ED">
        <w:trPr>
          <w:trHeight w:val="288"/>
        </w:trPr>
        <w:tc>
          <w:tcPr>
            <w:cnfStyle w:val="001000000000" w:firstRow="0" w:lastRow="0" w:firstColumn="1" w:lastColumn="0" w:oddVBand="0" w:evenVBand="0" w:oddHBand="0" w:evenHBand="0" w:firstRowFirstColumn="0" w:firstRowLastColumn="0" w:lastRowFirstColumn="0" w:lastRowLastColumn="0"/>
            <w:tcW w:w="1439" w:type="dxa"/>
            <w:noWrap/>
            <w:vAlign w:val="center"/>
            <w:hideMark/>
          </w:tcPr>
          <w:p w14:paraId="477D348F" w14:textId="77777777" w:rsidR="00A01B49" w:rsidRPr="00632EDB" w:rsidRDefault="00A01B49" w:rsidP="00E478ED">
            <w:pPr>
              <w:spacing w:before="100" w:beforeAutospacing="1" w:afterAutospacing="1" w:line="240" w:lineRule="auto"/>
              <w:jc w:val="center"/>
              <w:rPr>
                <w:b w:val="0"/>
                <w:bCs w:val="0"/>
                <w:sz w:val="20"/>
                <w:lang w:val="it-IT" w:eastAsia="it-IT"/>
              </w:rPr>
            </w:pPr>
            <w:r w:rsidRPr="00632EDB">
              <w:rPr>
                <w:b w:val="0"/>
                <w:bCs w:val="0"/>
                <w:sz w:val="20"/>
                <w:lang w:val="it-IT" w:eastAsia="it-IT"/>
              </w:rPr>
              <w:t>Goal</w:t>
            </w:r>
          </w:p>
        </w:tc>
        <w:tc>
          <w:tcPr>
            <w:tcW w:w="3176" w:type="dxa"/>
            <w:noWrap/>
            <w:vAlign w:val="center"/>
            <w:hideMark/>
          </w:tcPr>
          <w:p w14:paraId="29562652" w14:textId="77777777" w:rsidR="00A01B49" w:rsidRPr="00632EDB" w:rsidRDefault="00A01B49" w:rsidP="00E478ED">
            <w:pPr>
              <w:spacing w:before="100" w:beforeAutospacing="1" w:afterAutospacing="1" w:line="240" w:lineRule="auto"/>
              <w:jc w:val="center"/>
              <w:cnfStyle w:val="000000000000" w:firstRow="0" w:lastRow="0" w:firstColumn="0" w:lastColumn="0" w:oddVBand="0" w:evenVBand="0" w:oddHBand="0" w:evenHBand="0" w:firstRowFirstColumn="0" w:firstRowLastColumn="0" w:lastRowFirstColumn="0" w:lastRowLastColumn="0"/>
              <w:rPr>
                <w:sz w:val="20"/>
                <w:lang w:eastAsia="it-IT"/>
              </w:rPr>
            </w:pPr>
            <w:r w:rsidRPr="00632EDB">
              <w:rPr>
                <w:sz w:val="20"/>
                <w:lang w:eastAsia="it-IT"/>
              </w:rPr>
              <w:t>Monitoring the performance of an organization</w:t>
            </w:r>
          </w:p>
        </w:tc>
        <w:tc>
          <w:tcPr>
            <w:tcW w:w="2694" w:type="dxa"/>
            <w:noWrap/>
            <w:vAlign w:val="center"/>
            <w:hideMark/>
          </w:tcPr>
          <w:p w14:paraId="6908DF7E" w14:textId="64400D7B" w:rsidR="00A01B49" w:rsidRPr="00632EDB" w:rsidRDefault="00A01B49" w:rsidP="00E478ED">
            <w:pPr>
              <w:spacing w:before="100" w:beforeAutospacing="1" w:afterAutospacing="1" w:line="240" w:lineRule="auto"/>
              <w:jc w:val="center"/>
              <w:cnfStyle w:val="000000000000" w:firstRow="0" w:lastRow="0" w:firstColumn="0" w:lastColumn="0" w:oddVBand="0" w:evenVBand="0" w:oddHBand="0" w:evenHBand="0" w:firstRowFirstColumn="0" w:firstRowLastColumn="0" w:lastRowFirstColumn="0" w:lastRowLastColumn="0"/>
              <w:rPr>
                <w:sz w:val="20"/>
                <w:lang w:eastAsia="it-IT"/>
              </w:rPr>
            </w:pPr>
            <w:r w:rsidRPr="00632EDB">
              <w:rPr>
                <w:sz w:val="20"/>
                <w:lang w:eastAsia="it-IT"/>
              </w:rPr>
              <w:t xml:space="preserve">Assessment of environmental impacts </w:t>
            </w:r>
            <w:r w:rsidR="00926EF3" w:rsidRPr="00632EDB">
              <w:rPr>
                <w:sz w:val="20"/>
                <w:lang w:eastAsia="it-IT"/>
              </w:rPr>
              <w:t xml:space="preserve">of </w:t>
            </w:r>
            <w:r w:rsidRPr="00632EDB">
              <w:rPr>
                <w:sz w:val="20"/>
                <w:lang w:eastAsia="it-IT"/>
              </w:rPr>
              <w:t>products or processes</w:t>
            </w:r>
          </w:p>
        </w:tc>
      </w:tr>
      <w:tr w:rsidR="00632EDB" w:rsidRPr="00632EDB" w14:paraId="57D8A3C5" w14:textId="77777777" w:rsidTr="00E478E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9" w:type="dxa"/>
            <w:noWrap/>
            <w:vAlign w:val="center"/>
            <w:hideMark/>
          </w:tcPr>
          <w:p w14:paraId="15CD07BF" w14:textId="77777777" w:rsidR="00A01B49" w:rsidRPr="00632EDB" w:rsidRDefault="00A01B49" w:rsidP="00E478ED">
            <w:pPr>
              <w:spacing w:before="100" w:beforeAutospacing="1" w:afterAutospacing="1" w:line="240" w:lineRule="auto"/>
              <w:jc w:val="center"/>
              <w:rPr>
                <w:b w:val="0"/>
                <w:bCs w:val="0"/>
                <w:sz w:val="20"/>
                <w:lang w:val="it-IT" w:eastAsia="it-IT"/>
              </w:rPr>
            </w:pPr>
            <w:r w:rsidRPr="00632EDB">
              <w:rPr>
                <w:b w:val="0"/>
                <w:bCs w:val="0"/>
                <w:sz w:val="20"/>
                <w:lang w:val="it-IT" w:eastAsia="it-IT"/>
              </w:rPr>
              <w:t>Phases</w:t>
            </w:r>
          </w:p>
        </w:tc>
        <w:tc>
          <w:tcPr>
            <w:tcW w:w="3176" w:type="dxa"/>
            <w:noWrap/>
            <w:vAlign w:val="center"/>
          </w:tcPr>
          <w:p w14:paraId="75AEEAAC" w14:textId="0852013A" w:rsidR="00A01B49" w:rsidRPr="00632EDB" w:rsidRDefault="00A01B49" w:rsidP="00E478ED">
            <w:pPr>
              <w:spacing w:before="100" w:beforeAutospacing="1" w:afterAutospacing="1" w:line="240" w:lineRule="auto"/>
              <w:jc w:val="center"/>
              <w:cnfStyle w:val="000000100000" w:firstRow="0" w:lastRow="0" w:firstColumn="0" w:lastColumn="0" w:oddVBand="0" w:evenVBand="0" w:oddHBand="1" w:evenHBand="0" w:firstRowFirstColumn="0" w:firstRowLastColumn="0" w:lastRowFirstColumn="0" w:lastRowLastColumn="0"/>
              <w:rPr>
                <w:sz w:val="20"/>
                <w:lang w:eastAsia="it-IT"/>
              </w:rPr>
            </w:pPr>
            <w:r w:rsidRPr="00632EDB">
              <w:rPr>
                <w:sz w:val="20"/>
                <w:lang w:eastAsia="it-IT"/>
              </w:rPr>
              <w:t>4</w:t>
            </w:r>
          </w:p>
        </w:tc>
        <w:tc>
          <w:tcPr>
            <w:tcW w:w="2694" w:type="dxa"/>
            <w:vAlign w:val="center"/>
          </w:tcPr>
          <w:p w14:paraId="526DC2D7" w14:textId="4D05C3DE" w:rsidR="00A01B49" w:rsidRPr="00632EDB" w:rsidRDefault="00A01B49" w:rsidP="00E478ED">
            <w:pPr>
              <w:spacing w:before="100" w:beforeAutospacing="1" w:afterAutospacing="1" w:line="240" w:lineRule="auto"/>
              <w:jc w:val="center"/>
              <w:cnfStyle w:val="000000100000" w:firstRow="0" w:lastRow="0" w:firstColumn="0" w:lastColumn="0" w:oddVBand="0" w:evenVBand="0" w:oddHBand="1" w:evenHBand="0" w:firstRowFirstColumn="0" w:firstRowLastColumn="0" w:lastRowFirstColumn="0" w:lastRowLastColumn="0"/>
              <w:rPr>
                <w:sz w:val="20"/>
                <w:lang w:eastAsia="it-IT"/>
              </w:rPr>
            </w:pPr>
            <w:r w:rsidRPr="00632EDB">
              <w:rPr>
                <w:sz w:val="20"/>
                <w:lang w:eastAsia="it-IT"/>
              </w:rPr>
              <w:t>4</w:t>
            </w:r>
          </w:p>
        </w:tc>
      </w:tr>
      <w:tr w:rsidR="00632EDB" w:rsidRPr="00632EDB" w14:paraId="5B78749B" w14:textId="77777777" w:rsidTr="00E478ED">
        <w:trPr>
          <w:trHeight w:val="288"/>
        </w:trPr>
        <w:tc>
          <w:tcPr>
            <w:cnfStyle w:val="001000000000" w:firstRow="0" w:lastRow="0" w:firstColumn="1" w:lastColumn="0" w:oddVBand="0" w:evenVBand="0" w:oddHBand="0" w:evenHBand="0" w:firstRowFirstColumn="0" w:firstRowLastColumn="0" w:lastRowFirstColumn="0" w:lastRowLastColumn="0"/>
            <w:tcW w:w="1439" w:type="dxa"/>
            <w:tcBorders>
              <w:bottom w:val="single" w:sz="4" w:space="0" w:color="auto"/>
            </w:tcBorders>
            <w:noWrap/>
            <w:vAlign w:val="center"/>
            <w:hideMark/>
          </w:tcPr>
          <w:p w14:paraId="2D0FAB76" w14:textId="77777777" w:rsidR="00A01B49" w:rsidRPr="00632EDB" w:rsidRDefault="00A01B49" w:rsidP="00E478ED">
            <w:pPr>
              <w:shd w:val="clear" w:color="auto" w:fill="FDFDFD"/>
              <w:spacing w:line="240" w:lineRule="auto"/>
              <w:jc w:val="center"/>
              <w:rPr>
                <w:b w:val="0"/>
                <w:bCs w:val="0"/>
                <w:sz w:val="20"/>
                <w:lang w:val="en" w:eastAsia="it-IT"/>
              </w:rPr>
            </w:pPr>
            <w:r w:rsidRPr="00632EDB">
              <w:rPr>
                <w:b w:val="0"/>
                <w:bCs w:val="0"/>
                <w:sz w:val="20"/>
                <w:lang w:val="en" w:eastAsia="it-IT"/>
              </w:rPr>
              <w:t>Consolidation methodology</w:t>
            </w:r>
          </w:p>
        </w:tc>
        <w:tc>
          <w:tcPr>
            <w:tcW w:w="3176" w:type="dxa"/>
            <w:tcBorders>
              <w:bottom w:val="single" w:sz="4" w:space="0" w:color="auto"/>
            </w:tcBorders>
            <w:noWrap/>
            <w:vAlign w:val="center"/>
            <w:hideMark/>
          </w:tcPr>
          <w:p w14:paraId="4D31A11D" w14:textId="5F624080" w:rsidR="00A01B49" w:rsidRPr="00632EDB" w:rsidRDefault="00A01B49" w:rsidP="00E478ED">
            <w:pPr>
              <w:spacing w:before="100" w:beforeAutospacing="1" w:afterAutospacing="1" w:line="240" w:lineRule="auto"/>
              <w:jc w:val="center"/>
              <w:cnfStyle w:val="000000000000" w:firstRow="0" w:lastRow="0" w:firstColumn="0" w:lastColumn="0" w:oddVBand="0" w:evenVBand="0" w:oddHBand="0" w:evenHBand="0" w:firstRowFirstColumn="0" w:firstRowLastColumn="0" w:lastRowFirstColumn="0" w:lastRowLastColumn="0"/>
              <w:rPr>
                <w:sz w:val="20"/>
                <w:lang w:val="it-IT" w:eastAsia="it-IT"/>
              </w:rPr>
            </w:pPr>
            <w:r w:rsidRPr="00632EDB">
              <w:rPr>
                <w:sz w:val="20"/>
                <w:lang w:val="it-IT" w:eastAsia="it-IT"/>
              </w:rPr>
              <w:t>Yes</w:t>
            </w:r>
          </w:p>
        </w:tc>
        <w:tc>
          <w:tcPr>
            <w:tcW w:w="2694" w:type="dxa"/>
            <w:tcBorders>
              <w:bottom w:val="single" w:sz="4" w:space="0" w:color="auto"/>
            </w:tcBorders>
            <w:noWrap/>
            <w:vAlign w:val="center"/>
            <w:hideMark/>
          </w:tcPr>
          <w:p w14:paraId="03FEA7CF" w14:textId="77777777" w:rsidR="00A01B49" w:rsidRPr="00632EDB" w:rsidRDefault="00A01B49" w:rsidP="00E478ED">
            <w:pPr>
              <w:spacing w:before="100" w:beforeAutospacing="1" w:afterAutospacing="1" w:line="240" w:lineRule="auto"/>
              <w:jc w:val="center"/>
              <w:cnfStyle w:val="000000000000" w:firstRow="0" w:lastRow="0" w:firstColumn="0" w:lastColumn="0" w:oddVBand="0" w:evenVBand="0" w:oddHBand="0" w:evenHBand="0" w:firstRowFirstColumn="0" w:firstRowLastColumn="0" w:lastRowFirstColumn="0" w:lastRowLastColumn="0"/>
              <w:rPr>
                <w:sz w:val="20"/>
                <w:lang w:val="it-IT" w:eastAsia="it-IT"/>
              </w:rPr>
            </w:pPr>
            <w:r w:rsidRPr="00632EDB">
              <w:rPr>
                <w:sz w:val="20"/>
                <w:lang w:val="it-IT" w:eastAsia="it-IT"/>
              </w:rPr>
              <w:t>No</w:t>
            </w:r>
          </w:p>
        </w:tc>
      </w:tr>
    </w:tbl>
    <w:p w14:paraId="17CBEFF5" w14:textId="05C152FD" w:rsidR="00A01B49" w:rsidRPr="00632EDB" w:rsidRDefault="00A01B49" w:rsidP="00884B87">
      <w:pPr>
        <w:pStyle w:val="Abstract"/>
        <w:tabs>
          <w:tab w:val="left" w:pos="6379"/>
        </w:tabs>
        <w:spacing w:line="276" w:lineRule="auto"/>
        <w:ind w:left="28" w:right="-30"/>
        <w:rPr>
          <w:snapToGrid/>
          <w:sz w:val="24"/>
        </w:rPr>
      </w:pPr>
    </w:p>
    <w:p w14:paraId="7867F96C" w14:textId="4845EDDC" w:rsidR="007B00A7" w:rsidRPr="00632EDB" w:rsidRDefault="007B00A7" w:rsidP="007B00A7">
      <w:pPr>
        <w:pStyle w:val="Abstract"/>
        <w:tabs>
          <w:tab w:val="left" w:pos="6379"/>
        </w:tabs>
        <w:spacing w:line="276" w:lineRule="auto"/>
        <w:ind w:left="28" w:right="-30"/>
        <w:rPr>
          <w:snapToGrid/>
          <w:sz w:val="24"/>
        </w:rPr>
      </w:pPr>
      <w:r w:rsidRPr="00632EDB">
        <w:rPr>
          <w:snapToGrid/>
          <w:sz w:val="24"/>
        </w:rPr>
        <w:t>O-LCA is still an unexplored area of research, so much so that entering the keyword "O-LCA" on Scopus yields roughly 20 articles. Among them, the papers all have different objectives (framework development, literature reviews, case studies), and one can certainly point out significant growth potential. Few studies apply the O-LCA for assessing the environmental performance of organizations, such as including O-LCA for universities (Bueno et al., 2022), packaging (</w:t>
      </w:r>
      <w:proofErr w:type="spellStart"/>
      <w:r w:rsidRPr="00632EDB">
        <w:rPr>
          <w:snapToGrid/>
          <w:sz w:val="24"/>
        </w:rPr>
        <w:t>Rimano</w:t>
      </w:r>
      <w:proofErr w:type="spellEnd"/>
      <w:r w:rsidRPr="00632EDB">
        <w:rPr>
          <w:snapToGrid/>
          <w:sz w:val="24"/>
        </w:rPr>
        <w:t xml:space="preserve"> et al., 2021), textiles (</w:t>
      </w:r>
      <w:proofErr w:type="spellStart"/>
      <w:r w:rsidRPr="00632EDB">
        <w:rPr>
          <w:snapToGrid/>
          <w:sz w:val="24"/>
        </w:rPr>
        <w:t>Resta</w:t>
      </w:r>
      <w:proofErr w:type="spellEnd"/>
      <w:r w:rsidRPr="00632EDB">
        <w:rPr>
          <w:snapToGrid/>
          <w:sz w:val="24"/>
        </w:rPr>
        <w:t xml:space="preserve"> et al., 2016), beverages (</w:t>
      </w:r>
      <w:proofErr w:type="spellStart"/>
      <w:r w:rsidRPr="00632EDB">
        <w:rPr>
          <w:snapToGrid/>
          <w:sz w:val="24"/>
        </w:rPr>
        <w:t>Manzardo</w:t>
      </w:r>
      <w:proofErr w:type="spellEnd"/>
      <w:r w:rsidRPr="00632EDB">
        <w:rPr>
          <w:snapToGrid/>
          <w:sz w:val="24"/>
        </w:rPr>
        <w:t xml:space="preserve"> et al., 2016), cosmetics (Moreira de Camargo et al., 2019) and renewable energy (Marx et al., 2020). Recently, O-LCA has also been extended to the assessment of social impacts, through the development of SO-LCA, which although it follows the same guidelines as S-LCA (UNEP, 2009), varies from it mainly to address a methodological shortcoming of S-LCA, according to which, there is some difficulty in </w:t>
      </w:r>
      <w:r w:rsidRPr="00632EDB">
        <w:rPr>
          <w:snapToGrid/>
          <w:sz w:val="24"/>
        </w:rPr>
        <w:lastRenderedPageBreak/>
        <w:t>identifying social indicators at the product level since social impacts generally occur at the organizational level (Martinez Blanco et al., 2015). SO-LCA, in the face of two literature articles, also remains an understudied area of research.</w:t>
      </w:r>
    </w:p>
    <w:p w14:paraId="02E38E55" w14:textId="77777777" w:rsidR="00917D8A" w:rsidRPr="00632EDB" w:rsidRDefault="00917D8A" w:rsidP="007B00A7">
      <w:pPr>
        <w:pStyle w:val="Abstract"/>
        <w:tabs>
          <w:tab w:val="left" w:pos="6379"/>
        </w:tabs>
        <w:spacing w:line="276" w:lineRule="auto"/>
        <w:ind w:left="0" w:right="-30"/>
        <w:rPr>
          <w:snapToGrid/>
          <w:sz w:val="24"/>
        </w:rPr>
      </w:pPr>
    </w:p>
    <w:p w14:paraId="23AEC229" w14:textId="22C6284D" w:rsidR="00884B87" w:rsidRPr="00632EDB" w:rsidRDefault="00A358B3" w:rsidP="005D278D">
      <w:pPr>
        <w:pStyle w:val="Abstract"/>
        <w:numPr>
          <w:ilvl w:val="0"/>
          <w:numId w:val="43"/>
        </w:numPr>
        <w:tabs>
          <w:tab w:val="left" w:pos="6379"/>
        </w:tabs>
        <w:spacing w:line="276" w:lineRule="auto"/>
        <w:ind w:right="-30"/>
        <w:rPr>
          <w:snapToGrid/>
          <w:sz w:val="24"/>
        </w:rPr>
      </w:pPr>
      <w:r w:rsidRPr="00632EDB">
        <w:rPr>
          <w:b/>
          <w:bCs/>
          <w:snapToGrid/>
          <w:sz w:val="24"/>
        </w:rPr>
        <w:t xml:space="preserve">O-LCA as a tool for </w:t>
      </w:r>
      <w:r w:rsidR="00735538" w:rsidRPr="00632EDB">
        <w:rPr>
          <w:b/>
          <w:bCs/>
          <w:snapToGrid/>
          <w:sz w:val="24"/>
        </w:rPr>
        <w:t>organizations’</w:t>
      </w:r>
      <w:r w:rsidRPr="00632EDB">
        <w:rPr>
          <w:b/>
          <w:bCs/>
          <w:snapToGrid/>
          <w:sz w:val="24"/>
        </w:rPr>
        <w:t xml:space="preserve"> disclosure</w:t>
      </w:r>
    </w:p>
    <w:p w14:paraId="0951E760" w14:textId="02276C77" w:rsidR="00917D8A" w:rsidRPr="00632EDB" w:rsidRDefault="00A358B3" w:rsidP="003A5EB4">
      <w:pPr>
        <w:pStyle w:val="Abstract"/>
        <w:tabs>
          <w:tab w:val="left" w:pos="6379"/>
        </w:tabs>
        <w:spacing w:line="276" w:lineRule="auto"/>
        <w:ind w:left="0" w:right="-30"/>
        <w:rPr>
          <w:snapToGrid/>
          <w:sz w:val="24"/>
        </w:rPr>
      </w:pPr>
      <w:r w:rsidRPr="00632EDB">
        <w:rPr>
          <w:snapToGrid/>
          <w:sz w:val="24"/>
        </w:rPr>
        <w:t xml:space="preserve">Over the past few years, organizations increasingly need to describe strategic assets and report differently on their activities, as well as justify corporate strategies. Organizations, therefore, resort to a different form of reporting, called Different Disclosure Not Financial (DDNF). </w:t>
      </w:r>
      <w:r w:rsidR="00E83585" w:rsidRPr="00632EDB">
        <w:rPr>
          <w:snapToGrid/>
          <w:sz w:val="24"/>
        </w:rPr>
        <w:t>To</w:t>
      </w:r>
      <w:r w:rsidRPr="00632EDB">
        <w:rPr>
          <w:snapToGrid/>
          <w:sz w:val="24"/>
        </w:rPr>
        <w:t xml:space="preserve"> identify the different balance points that can efficiently intersect the interests of the organization with those of the stakeholders, a materiality matrix has been proposed. This is a qualitative matrix that facilitates </w:t>
      </w:r>
      <w:r w:rsidR="00735538" w:rsidRPr="00632EDB">
        <w:rPr>
          <w:snapToGrid/>
          <w:sz w:val="24"/>
        </w:rPr>
        <w:t>organizations’</w:t>
      </w:r>
      <w:r w:rsidRPr="00632EDB">
        <w:rPr>
          <w:snapToGrid/>
          <w:sz w:val="24"/>
        </w:rPr>
        <w:t xml:space="preserve"> disclosure in showing </w:t>
      </w:r>
      <w:r w:rsidR="00735538" w:rsidRPr="00632EDB">
        <w:rPr>
          <w:snapToGrid/>
          <w:sz w:val="24"/>
        </w:rPr>
        <w:t>their</w:t>
      </w:r>
      <w:r w:rsidRPr="00632EDB">
        <w:rPr>
          <w:snapToGrid/>
          <w:sz w:val="24"/>
        </w:rPr>
        <w:t xml:space="preserve"> strategies to stakeholders and identifying environmental and social hotspots while meeting </w:t>
      </w:r>
      <w:r w:rsidR="00735538" w:rsidRPr="00632EDB">
        <w:rPr>
          <w:snapToGrid/>
          <w:sz w:val="24"/>
        </w:rPr>
        <w:t xml:space="preserve">organizations’ </w:t>
      </w:r>
      <w:r w:rsidRPr="00632EDB">
        <w:rPr>
          <w:snapToGrid/>
          <w:sz w:val="24"/>
        </w:rPr>
        <w:t xml:space="preserve">objectives. It makes it possible to identify everything that could have an impact on the organization and vice versa, demonstrating a company's commitment to sustainability and serves to reflect strategic priorities in sustainability areas relevant to the Group, on which to focus efforts and </w:t>
      </w:r>
      <w:r w:rsidR="00735538" w:rsidRPr="00632EDB">
        <w:rPr>
          <w:snapToGrid/>
          <w:sz w:val="24"/>
        </w:rPr>
        <w:t>to</w:t>
      </w:r>
      <w:r w:rsidRPr="00632EDB">
        <w:rPr>
          <w:snapToGrid/>
          <w:sz w:val="24"/>
        </w:rPr>
        <w:t xml:space="preserve"> increas</w:t>
      </w:r>
      <w:r w:rsidR="00735538" w:rsidRPr="00632EDB">
        <w:rPr>
          <w:snapToGrid/>
          <w:sz w:val="24"/>
        </w:rPr>
        <w:t xml:space="preserve">e </w:t>
      </w:r>
      <w:r w:rsidRPr="00632EDB">
        <w:rPr>
          <w:snapToGrid/>
          <w:sz w:val="24"/>
        </w:rPr>
        <w:t>integrating sustainability into strategy</w:t>
      </w:r>
      <w:r w:rsidR="00735538" w:rsidRPr="00632EDB">
        <w:rPr>
          <w:snapToGrid/>
          <w:sz w:val="24"/>
        </w:rPr>
        <w:t xml:space="preserve"> and</w:t>
      </w:r>
      <w:r w:rsidRPr="00632EDB">
        <w:rPr>
          <w:snapToGrid/>
          <w:sz w:val="24"/>
        </w:rPr>
        <w:t xml:space="preserve"> daily. The matrix, which can be customized to suit the needs of the individual organization, has a basic structure in which, on the x-axis is the relevance of a given issue to the company, while on the y-axis is the relevance of a given issue to stakeholders, as shown in Figure 3. Strategic priorities, based on the different </w:t>
      </w:r>
      <w:r w:rsidR="007B00A7" w:rsidRPr="00632EDB">
        <w:rPr>
          <w:snapToGrid/>
          <w:sz w:val="24"/>
        </w:rPr>
        <w:t>levels</w:t>
      </w:r>
      <w:r w:rsidRPr="00632EDB">
        <w:rPr>
          <w:snapToGrid/>
          <w:sz w:val="24"/>
        </w:rPr>
        <w:t xml:space="preserve"> of detail of information, can be determined in various ways</w:t>
      </w:r>
      <w:r w:rsidR="001C2352" w:rsidRPr="00632EDB">
        <w:rPr>
          <w:snapToGrid/>
          <w:sz w:val="24"/>
        </w:rPr>
        <w:t xml:space="preserve"> </w:t>
      </w:r>
      <w:r w:rsidRPr="00632EDB">
        <w:rPr>
          <w:snapToGrid/>
          <w:sz w:val="24"/>
        </w:rPr>
        <w:t>but for the approach of this study, they were identified according to the six macro-areas identified by Legislative Decree 254/2016, namely society, environment, employer, human rights, corruption and crossing. The matrix can be divided into four quadrants:</w:t>
      </w:r>
      <w:r w:rsidR="007B00A7" w:rsidRPr="00632EDB">
        <w:rPr>
          <w:snapToGrid/>
          <w:sz w:val="24"/>
        </w:rPr>
        <w:t xml:space="preserve"> </w:t>
      </w:r>
      <w:r w:rsidRPr="00632EDB">
        <w:rPr>
          <w:snapToGrid/>
          <w:sz w:val="24"/>
        </w:rPr>
        <w:t xml:space="preserve">1 </w:t>
      </w:r>
      <w:r w:rsidR="003A5EB4" w:rsidRPr="00632EDB">
        <w:rPr>
          <w:snapToGrid/>
          <w:sz w:val="24"/>
        </w:rPr>
        <w:t>(</w:t>
      </w:r>
      <w:r w:rsidRPr="00632EDB">
        <w:rPr>
          <w:snapToGrid/>
          <w:sz w:val="24"/>
        </w:rPr>
        <w:t>very relevant to stakeholders and not very relevant to the company)</w:t>
      </w:r>
      <w:r w:rsidR="003A5EB4" w:rsidRPr="00632EDB">
        <w:rPr>
          <w:snapToGrid/>
          <w:sz w:val="24"/>
        </w:rPr>
        <w:t>,</w:t>
      </w:r>
      <w:r w:rsidR="007B00A7" w:rsidRPr="00632EDB">
        <w:rPr>
          <w:snapToGrid/>
          <w:sz w:val="24"/>
        </w:rPr>
        <w:t xml:space="preserve"> </w:t>
      </w:r>
      <w:r w:rsidRPr="00632EDB">
        <w:rPr>
          <w:snapToGrid/>
          <w:sz w:val="24"/>
        </w:rPr>
        <w:t xml:space="preserve">2 </w:t>
      </w:r>
      <w:r w:rsidR="003A5EB4" w:rsidRPr="00632EDB">
        <w:rPr>
          <w:snapToGrid/>
          <w:sz w:val="24"/>
        </w:rPr>
        <w:t>(</w:t>
      </w:r>
      <w:r w:rsidRPr="00632EDB">
        <w:rPr>
          <w:snapToGrid/>
          <w:sz w:val="24"/>
        </w:rPr>
        <w:t>very relevant to stakeholders and very relevant to the company</w:t>
      </w:r>
      <w:r w:rsidR="003A5EB4" w:rsidRPr="00632EDB">
        <w:rPr>
          <w:snapToGrid/>
          <w:sz w:val="24"/>
        </w:rPr>
        <w:t xml:space="preserve">), </w:t>
      </w:r>
      <w:r w:rsidRPr="00632EDB">
        <w:rPr>
          <w:snapToGrid/>
          <w:sz w:val="24"/>
        </w:rPr>
        <w:t xml:space="preserve">3 </w:t>
      </w:r>
      <w:r w:rsidR="003A5EB4" w:rsidRPr="00632EDB">
        <w:rPr>
          <w:snapToGrid/>
          <w:sz w:val="24"/>
        </w:rPr>
        <w:t>(</w:t>
      </w:r>
      <w:r w:rsidRPr="00632EDB">
        <w:rPr>
          <w:snapToGrid/>
          <w:sz w:val="24"/>
        </w:rPr>
        <w:t>not very relevant to stakeholders and very relevant to the company)</w:t>
      </w:r>
      <w:r w:rsidR="003A5EB4" w:rsidRPr="00632EDB">
        <w:rPr>
          <w:snapToGrid/>
          <w:sz w:val="24"/>
        </w:rPr>
        <w:t xml:space="preserve"> and </w:t>
      </w:r>
      <w:r w:rsidRPr="00632EDB">
        <w:rPr>
          <w:snapToGrid/>
          <w:sz w:val="24"/>
        </w:rPr>
        <w:t>4 (not very relevant to stakeholders and not very relevant to the company)</w:t>
      </w:r>
      <w:r w:rsidR="003A5EB4" w:rsidRPr="00632EDB">
        <w:rPr>
          <w:snapToGrid/>
          <w:sz w:val="24"/>
        </w:rPr>
        <w:t xml:space="preserve">. </w:t>
      </w:r>
    </w:p>
    <w:p w14:paraId="1CBA0F2F" w14:textId="205F328B" w:rsidR="00A358B3" w:rsidRPr="00632EDB" w:rsidRDefault="00A358B3" w:rsidP="00884B87">
      <w:pPr>
        <w:pStyle w:val="Abstract"/>
        <w:tabs>
          <w:tab w:val="left" w:pos="6379"/>
        </w:tabs>
        <w:spacing w:line="276" w:lineRule="auto"/>
        <w:ind w:left="0" w:right="-30"/>
        <w:rPr>
          <w:snapToGrid/>
          <w:sz w:val="24"/>
        </w:rPr>
      </w:pPr>
      <w:r w:rsidRPr="00632EDB">
        <w:rPr>
          <w:noProof/>
          <w:snapToGrid/>
          <w:sz w:val="24"/>
        </w:rPr>
        <w:lastRenderedPageBreak/>
        <w:drawing>
          <wp:inline distT="0" distB="0" distL="0" distR="0" wp14:anchorId="01DB648F" wp14:editId="283FA064">
            <wp:extent cx="4640580" cy="3528342"/>
            <wp:effectExtent l="0" t="0" r="7620" b="0"/>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3246" cy="3545575"/>
                    </a:xfrm>
                    <a:prstGeom prst="rect">
                      <a:avLst/>
                    </a:prstGeom>
                    <a:noFill/>
                  </pic:spPr>
                </pic:pic>
              </a:graphicData>
            </a:graphic>
          </wp:inline>
        </w:drawing>
      </w:r>
    </w:p>
    <w:p w14:paraId="1E9F81D8" w14:textId="77777777" w:rsidR="00120C4E" w:rsidRPr="00632EDB" w:rsidRDefault="00120C4E" w:rsidP="00120C4E">
      <w:pPr>
        <w:pStyle w:val="Abstract"/>
        <w:tabs>
          <w:tab w:val="left" w:pos="6379"/>
        </w:tabs>
        <w:spacing w:line="276" w:lineRule="auto"/>
        <w:ind w:left="28" w:right="-30"/>
        <w:jc w:val="center"/>
        <w:rPr>
          <w:sz w:val="18"/>
          <w:szCs w:val="18"/>
        </w:rPr>
      </w:pPr>
    </w:p>
    <w:p w14:paraId="43D282BE" w14:textId="410A76E5" w:rsidR="00120C4E" w:rsidRPr="00632EDB" w:rsidRDefault="00120C4E" w:rsidP="00120C4E">
      <w:pPr>
        <w:pStyle w:val="Abstract"/>
        <w:tabs>
          <w:tab w:val="left" w:pos="6379"/>
        </w:tabs>
        <w:spacing w:line="276" w:lineRule="auto"/>
        <w:ind w:left="28" w:right="-30"/>
        <w:jc w:val="center"/>
        <w:rPr>
          <w:snapToGrid/>
          <w:sz w:val="22"/>
          <w:szCs w:val="18"/>
        </w:rPr>
      </w:pPr>
      <w:r w:rsidRPr="00632EDB">
        <w:rPr>
          <w:sz w:val="18"/>
          <w:szCs w:val="18"/>
        </w:rPr>
        <w:t xml:space="preserve">Figure 3. Example of </w:t>
      </w:r>
      <w:r w:rsidR="007D5E73" w:rsidRPr="00632EDB">
        <w:rPr>
          <w:sz w:val="18"/>
          <w:szCs w:val="18"/>
        </w:rPr>
        <w:t xml:space="preserve">the </w:t>
      </w:r>
      <w:r w:rsidRPr="00632EDB">
        <w:rPr>
          <w:sz w:val="18"/>
          <w:szCs w:val="18"/>
        </w:rPr>
        <w:t>materiality matrix</w:t>
      </w:r>
    </w:p>
    <w:p w14:paraId="7DB84B3C" w14:textId="77777777" w:rsidR="00120C4E" w:rsidRPr="00632EDB" w:rsidRDefault="00120C4E" w:rsidP="00884B87">
      <w:pPr>
        <w:pStyle w:val="Abstract"/>
        <w:tabs>
          <w:tab w:val="left" w:pos="6379"/>
        </w:tabs>
        <w:spacing w:line="276" w:lineRule="auto"/>
        <w:ind w:left="0" w:right="-30"/>
        <w:rPr>
          <w:snapToGrid/>
          <w:sz w:val="24"/>
        </w:rPr>
      </w:pPr>
    </w:p>
    <w:p w14:paraId="054EA88A" w14:textId="59772A5A" w:rsidR="00A358B3" w:rsidRPr="00632EDB" w:rsidRDefault="003A5EB4" w:rsidP="00884B87">
      <w:pPr>
        <w:pStyle w:val="Abstract"/>
        <w:tabs>
          <w:tab w:val="left" w:pos="6379"/>
        </w:tabs>
        <w:spacing w:line="276" w:lineRule="auto"/>
        <w:ind w:left="0" w:right="-30"/>
        <w:rPr>
          <w:snapToGrid/>
          <w:sz w:val="24"/>
        </w:rPr>
      </w:pPr>
      <w:r w:rsidRPr="00632EDB">
        <w:rPr>
          <w:snapToGrid/>
          <w:sz w:val="24"/>
        </w:rPr>
        <w:t>The company's goal will be to shift its targets as far as possible toward quadrant 2 (top right), so as to focus on pursuing and meeting goals that have a significant impact on the organization's economic, social, and environmental performance and that could substantially influence stakeholder assessments and decisions. As constructed on the basis of the two criteria described above, the widespread sensitivity to air pollution underscores the need within organizations to have to effectively communicate to their stakeholders what they have achieved in terms of emissions abatement.</w:t>
      </w:r>
      <w:r w:rsidRPr="00632EDB">
        <w:rPr>
          <w:sz w:val="24"/>
        </w:rPr>
        <w:t xml:space="preserve"> </w:t>
      </w:r>
      <w:r w:rsidRPr="00632EDB">
        <w:rPr>
          <w:snapToGrid/>
          <w:sz w:val="24"/>
        </w:rPr>
        <w:t xml:space="preserve">Indeed, Figure 3 shows that in quadrant 2, in which all elements characterized by high relevance to the organization and stakeholders are placed, </w:t>
      </w:r>
      <w:r w:rsidRPr="00632EDB">
        <w:rPr>
          <w:sz w:val="24"/>
        </w:rPr>
        <w:t>are</w:t>
      </w:r>
      <w:r w:rsidRPr="00632EDB">
        <w:rPr>
          <w:snapToGrid/>
          <w:sz w:val="24"/>
        </w:rPr>
        <w:t xml:space="preserve"> environmental sustainability and CO</w:t>
      </w:r>
      <w:r w:rsidRPr="00632EDB">
        <w:rPr>
          <w:snapToGrid/>
          <w:sz w:val="24"/>
          <w:vertAlign w:val="subscript"/>
        </w:rPr>
        <w:t>2</w:t>
      </w:r>
      <w:r w:rsidRPr="00632EDB">
        <w:rPr>
          <w:snapToGrid/>
          <w:sz w:val="24"/>
        </w:rPr>
        <w:t xml:space="preserve"> emission reduction, Scope 1, 2</w:t>
      </w:r>
      <w:r w:rsidRPr="00632EDB">
        <w:rPr>
          <w:sz w:val="24"/>
        </w:rPr>
        <w:t>,</w:t>
      </w:r>
      <w:r w:rsidRPr="00632EDB">
        <w:rPr>
          <w:snapToGrid/>
          <w:sz w:val="24"/>
        </w:rPr>
        <w:t xml:space="preserve"> and 3.</w:t>
      </w:r>
      <w:r w:rsidR="001C2352" w:rsidRPr="00632EDB">
        <w:rPr>
          <w:snapToGrid/>
          <w:sz w:val="24"/>
        </w:rPr>
        <w:t xml:space="preserve"> </w:t>
      </w:r>
      <w:r w:rsidR="00120C4E" w:rsidRPr="00632EDB">
        <w:rPr>
          <w:snapToGrid/>
          <w:sz w:val="24"/>
        </w:rPr>
        <w:t xml:space="preserve">To this end, companies will need to employ tools for effective process analysis, and O-LCA and SO-LCA could be of great help. In fact, the materiality matrix presupposes such survey and </w:t>
      </w:r>
      <w:r w:rsidR="00120C4E" w:rsidRPr="00632EDB">
        <w:rPr>
          <w:snapToGrid/>
          <w:sz w:val="24"/>
        </w:rPr>
        <w:lastRenderedPageBreak/>
        <w:t>evaluation activities that a set of indicators and performance measures that define operational guidelines can be identified. O-LCA and SO-LCA could thus be supportive of the organization's search for objective indicators and metrics through which to measure these objectives, not least because investments in strategic assets and sustainability initiatives are difficult to explain through financial data.  The application of O-LCA could then allow companies to assess value chain activities, upstream and downstream of the value chain, identifying direct and indirect emission sources and production hotspots. In addition, through the identification of hotspots within the organization, it might be possible to operate production systems efficiencies. O-LCA fits within an evolving and particularly favorable regulatory environment, which organizations could take advantage of. In particular, O-LCA is also supported by the</w:t>
      </w:r>
      <w:r w:rsidRPr="00632EDB">
        <w:rPr>
          <w:snapToGrid/>
          <w:sz w:val="24"/>
        </w:rPr>
        <w:t xml:space="preserve"> ISO</w:t>
      </w:r>
      <w:r w:rsidR="00120C4E" w:rsidRPr="00632EDB">
        <w:rPr>
          <w:snapToGrid/>
          <w:sz w:val="24"/>
        </w:rPr>
        <w:t xml:space="preserve"> 14067:2018, which defines the guidelines for quantifying the Carbon Footprint, thus giving </w:t>
      </w:r>
      <w:r w:rsidRPr="00632EDB">
        <w:rPr>
          <w:snapToGrid/>
          <w:sz w:val="24"/>
        </w:rPr>
        <w:t xml:space="preserve">the organizations </w:t>
      </w:r>
      <w:r w:rsidR="00120C4E" w:rsidRPr="00632EDB">
        <w:rPr>
          <w:snapToGrid/>
          <w:sz w:val="24"/>
        </w:rPr>
        <w:t xml:space="preserve">the possibility to better understand the opportunities through which to reduce </w:t>
      </w:r>
      <w:r w:rsidRPr="00632EDB">
        <w:rPr>
          <w:snapToGrid/>
          <w:sz w:val="24"/>
        </w:rPr>
        <w:t>emissions</w:t>
      </w:r>
      <w:r w:rsidR="00120C4E" w:rsidRPr="00632EDB">
        <w:rPr>
          <w:snapToGrid/>
          <w:sz w:val="24"/>
        </w:rPr>
        <w:t>. Currently, the International Standard Organization is working on the drafting of the new ISO 14068 standard</w:t>
      </w:r>
      <w:r w:rsidRPr="00632EDB">
        <w:rPr>
          <w:snapToGrid/>
          <w:sz w:val="24"/>
        </w:rPr>
        <w:t xml:space="preserve"> (</w:t>
      </w:r>
      <w:r w:rsidR="00120C4E" w:rsidRPr="00632EDB">
        <w:rPr>
          <w:snapToGrid/>
          <w:sz w:val="24"/>
        </w:rPr>
        <w:t>2023</w:t>
      </w:r>
      <w:r w:rsidRPr="00632EDB">
        <w:rPr>
          <w:snapToGrid/>
          <w:sz w:val="24"/>
        </w:rPr>
        <w:t>)</w:t>
      </w:r>
      <w:r w:rsidR="00120C4E" w:rsidRPr="00632EDB">
        <w:rPr>
          <w:snapToGrid/>
          <w:sz w:val="24"/>
        </w:rPr>
        <w:t xml:space="preserve"> </w:t>
      </w:r>
      <w:r w:rsidRPr="00632EDB">
        <w:rPr>
          <w:snapToGrid/>
          <w:sz w:val="24"/>
        </w:rPr>
        <w:t>and p</w:t>
      </w:r>
      <w:r w:rsidR="00120C4E" w:rsidRPr="00632EDB">
        <w:rPr>
          <w:snapToGrid/>
          <w:sz w:val="24"/>
        </w:rPr>
        <w:t xml:space="preserve">ending </w:t>
      </w:r>
      <w:r w:rsidRPr="00632EDB">
        <w:rPr>
          <w:snapToGrid/>
          <w:sz w:val="24"/>
        </w:rPr>
        <w:t>it,</w:t>
      </w:r>
      <w:r w:rsidR="00120C4E" w:rsidRPr="00632EDB">
        <w:rPr>
          <w:snapToGrid/>
          <w:sz w:val="24"/>
        </w:rPr>
        <w:t xml:space="preserve"> the current normative reference is the PAS 2060 </w:t>
      </w:r>
      <w:r w:rsidR="005F2C5F" w:rsidRPr="00632EDB">
        <w:rPr>
          <w:snapToGrid/>
          <w:sz w:val="24"/>
        </w:rPr>
        <w:t>(BSI, 2014)</w:t>
      </w:r>
      <w:r w:rsidRPr="00632EDB">
        <w:rPr>
          <w:snapToGrid/>
          <w:sz w:val="24"/>
        </w:rPr>
        <w:t xml:space="preserve">, </w:t>
      </w:r>
      <w:r w:rsidR="00120C4E" w:rsidRPr="00632EDB">
        <w:rPr>
          <w:snapToGrid/>
          <w:sz w:val="24"/>
        </w:rPr>
        <w:t xml:space="preserve">created in 2010 by the British Standards Institution (BSI), which serves to guide companies in improving their environmental performance, with particular reference to the pursuit of carbon neutrality. In detail, PAS 2060, ensures uniformity in the techniques for calculating </w:t>
      </w:r>
      <w:r w:rsidRPr="00632EDB">
        <w:rPr>
          <w:snapToGrid/>
          <w:sz w:val="24"/>
        </w:rPr>
        <w:t>GHGs</w:t>
      </w:r>
      <w:r w:rsidR="00120C4E" w:rsidRPr="00632EDB">
        <w:rPr>
          <w:snapToGrid/>
          <w:sz w:val="24"/>
        </w:rPr>
        <w:t xml:space="preserve"> emissions and their reductions/compensation, defining a decarbonization pathway that starts from the calculation of CF to its offsetting and reduction.</w:t>
      </w:r>
      <w:r w:rsidR="007D5E73" w:rsidRPr="00632EDB">
        <w:rPr>
          <w:snapToGrid/>
          <w:sz w:val="24"/>
        </w:rPr>
        <w:t xml:space="preserve"> </w:t>
      </w:r>
      <w:r w:rsidR="00120C4E" w:rsidRPr="00632EDB">
        <w:rPr>
          <w:snapToGrid/>
          <w:sz w:val="24"/>
        </w:rPr>
        <w:t>Therefore, O-LCA could also be further "enhanced" by taking advantage of a favorable regulatory environment, recently revised and with future developments.</w:t>
      </w:r>
      <w:r w:rsidR="00120C4E" w:rsidRPr="00632EDB">
        <w:t xml:space="preserve"> </w:t>
      </w:r>
      <w:r w:rsidR="00120C4E" w:rsidRPr="00632EDB">
        <w:rPr>
          <w:snapToGrid/>
          <w:sz w:val="24"/>
        </w:rPr>
        <w:t>But while the application of O-LCA is limited to the environmental impacts of the organization studied, the integration of SO-LCA allows the addition of a social inventory and the identification of social hotspots in the organization's own supply chain for the fulfillment of the remaining elements included in Quadrant 2, for example, such as well-being, transparency, integrity</w:t>
      </w:r>
      <w:r w:rsidR="007B00A7" w:rsidRPr="00632EDB">
        <w:rPr>
          <w:snapToGrid/>
          <w:sz w:val="24"/>
        </w:rPr>
        <w:t>,</w:t>
      </w:r>
      <w:r w:rsidR="00120C4E" w:rsidRPr="00632EDB">
        <w:rPr>
          <w:snapToGrid/>
          <w:sz w:val="24"/>
        </w:rPr>
        <w:t xml:space="preserve"> and protection of human rights. However, the application of O-LCA is not immediate. Indeed, it will be challenging to adopt the method in the case of the service sector, given the difficulty of </w:t>
      </w:r>
      <w:r w:rsidR="00120C4E" w:rsidRPr="00632EDB">
        <w:rPr>
          <w:snapToGrid/>
          <w:sz w:val="24"/>
        </w:rPr>
        <w:lastRenderedPageBreak/>
        <w:t xml:space="preserve">being able to quantify the organization's performance, which is necessary for activity reporting. However, the difficulty of quantifying production activities in terms of physical output can be overcome through the use of economic and social indicators, such as the economic value of the service and the number of employees. Another limitation to the application of O-LCA is the definition of system boundaries (Marx et al., 2020). Indeed, it is not always possible to assess the impacts of production in cradle-to-grave systems, as in the case of primary material supply services. </w:t>
      </w:r>
      <w:r w:rsidR="00735538" w:rsidRPr="00632EDB">
        <w:rPr>
          <w:snapToGrid/>
          <w:sz w:val="24"/>
        </w:rPr>
        <w:t>The last</w:t>
      </w:r>
      <w:r w:rsidR="00120C4E" w:rsidRPr="00632EDB">
        <w:rPr>
          <w:snapToGrid/>
          <w:sz w:val="24"/>
        </w:rPr>
        <w:t xml:space="preserve"> element is the presence of processes and products that are not under the direct control of the company but exert influence on it. However, it is believed that with </w:t>
      </w:r>
      <w:r w:rsidR="00735538" w:rsidRPr="00632EDB">
        <w:rPr>
          <w:snapToGrid/>
          <w:sz w:val="24"/>
        </w:rPr>
        <w:t xml:space="preserve">the </w:t>
      </w:r>
      <w:r w:rsidR="00120C4E" w:rsidRPr="00632EDB">
        <w:rPr>
          <w:snapToGrid/>
          <w:sz w:val="24"/>
        </w:rPr>
        <w:t>widespread application of the methodology, thus through more scientific production with case studies as the object, it will be possible to provide companies with adaptable reference models in business contexts.</w:t>
      </w:r>
    </w:p>
    <w:p w14:paraId="4C69D674" w14:textId="13550D04" w:rsidR="00120C4E" w:rsidRPr="00632EDB" w:rsidRDefault="00120C4E" w:rsidP="00884B87">
      <w:pPr>
        <w:pStyle w:val="Abstract"/>
        <w:tabs>
          <w:tab w:val="left" w:pos="6379"/>
        </w:tabs>
        <w:spacing w:line="276" w:lineRule="auto"/>
        <w:ind w:left="0" w:right="-30"/>
        <w:rPr>
          <w:snapToGrid/>
          <w:sz w:val="24"/>
        </w:rPr>
      </w:pPr>
    </w:p>
    <w:p w14:paraId="40E10302" w14:textId="50CD5560" w:rsidR="00120C4E" w:rsidRPr="00632EDB" w:rsidRDefault="00120C4E" w:rsidP="00884B87">
      <w:pPr>
        <w:pStyle w:val="Abstract"/>
        <w:tabs>
          <w:tab w:val="left" w:pos="6379"/>
        </w:tabs>
        <w:spacing w:line="276" w:lineRule="auto"/>
        <w:ind w:left="0" w:right="-30"/>
        <w:rPr>
          <w:b/>
          <w:bCs/>
          <w:snapToGrid/>
          <w:sz w:val="24"/>
        </w:rPr>
      </w:pPr>
      <w:r w:rsidRPr="00632EDB">
        <w:rPr>
          <w:b/>
          <w:bCs/>
          <w:snapToGrid/>
          <w:sz w:val="24"/>
        </w:rPr>
        <w:t>Conclusions</w:t>
      </w:r>
    </w:p>
    <w:p w14:paraId="2465F894" w14:textId="24DFAA63" w:rsidR="00156E8A" w:rsidRPr="00632EDB" w:rsidRDefault="00120C4E" w:rsidP="00884B87">
      <w:pPr>
        <w:pStyle w:val="Abstract"/>
        <w:tabs>
          <w:tab w:val="left" w:pos="6379"/>
        </w:tabs>
        <w:spacing w:line="276" w:lineRule="auto"/>
        <w:ind w:left="0" w:right="-30"/>
        <w:rPr>
          <w:snapToGrid/>
          <w:sz w:val="24"/>
        </w:rPr>
      </w:pPr>
      <w:r w:rsidRPr="00632EDB">
        <w:rPr>
          <w:snapToGrid/>
          <w:sz w:val="24"/>
        </w:rPr>
        <w:t>The objective of this study was to present a general overview of O-LCA and to show how it can support organizations in intersecting the different interests of the company and stakeholders. Thus, an approach was proposed based on the construction of a materiality matrix based on the 6 pillars identified by Legislative Decree 254/2016, through which it might be possible to facilitate corporate disclosure in showing stakeholders their corporate strategies. In fact, since organizations often need objective data, through O-LCA and SO-LCA it might be possible to provide quantifiable parameters for proper disclosure and for the pursuit of the most relevant strategic objectives for both the organization and the stakeholders, including, for example, the control of Scope 3 emissions, those least controllable by organizations.</w:t>
      </w:r>
    </w:p>
    <w:p w14:paraId="0A645B7F" w14:textId="4AC5C451" w:rsidR="009879A8" w:rsidRPr="00632EDB" w:rsidRDefault="002F7330" w:rsidP="009879A8">
      <w:pPr>
        <w:pStyle w:val="Titolo1"/>
        <w:numPr>
          <w:ilvl w:val="0"/>
          <w:numId w:val="0"/>
        </w:numPr>
        <w:spacing w:before="320" w:line="276" w:lineRule="auto"/>
        <w:ind w:left="576" w:hanging="576"/>
        <w:contextualSpacing/>
      </w:pPr>
      <w:bookmarkStart w:id="1" w:name="_Toc75162077"/>
      <w:bookmarkStart w:id="2" w:name="_Toc142104141"/>
      <w:r w:rsidRPr="00632EDB">
        <w:t>References</w:t>
      </w:r>
      <w:bookmarkEnd w:id="1"/>
      <w:bookmarkEnd w:id="2"/>
      <w:r w:rsidRPr="00632EDB">
        <w:t xml:space="preserve"> </w:t>
      </w:r>
    </w:p>
    <w:p w14:paraId="573C3F4E" w14:textId="3DC1FDCB" w:rsidR="009879A8" w:rsidRPr="00632EDB" w:rsidRDefault="009879A8" w:rsidP="00A34AF9">
      <w:pPr>
        <w:spacing w:line="276" w:lineRule="auto"/>
        <w:ind w:left="284" w:hanging="284"/>
        <w:rPr>
          <w:sz w:val="20"/>
        </w:rPr>
      </w:pPr>
      <w:r w:rsidRPr="00632EDB">
        <w:rPr>
          <w:sz w:val="20"/>
        </w:rPr>
        <w:t>BSI (2014). PAS 2060. The ideal standard for carbon neutrality.</w:t>
      </w:r>
    </w:p>
    <w:p w14:paraId="56D67480" w14:textId="5AE4E82F" w:rsidR="009879A8" w:rsidRPr="00632EDB" w:rsidRDefault="009879A8" w:rsidP="00A34AF9">
      <w:pPr>
        <w:pStyle w:val="NormaleWeb"/>
        <w:spacing w:before="0" w:beforeAutospacing="0" w:after="0" w:afterAutospacing="0" w:line="276" w:lineRule="auto"/>
        <w:ind w:left="284" w:hanging="284"/>
        <w:jc w:val="both"/>
        <w:rPr>
          <w:sz w:val="20"/>
          <w:szCs w:val="20"/>
          <w:shd w:val="clear" w:color="auto" w:fill="FFFFFF"/>
        </w:rPr>
      </w:pPr>
      <w:r w:rsidRPr="00632EDB">
        <w:rPr>
          <w:sz w:val="20"/>
          <w:szCs w:val="20"/>
          <w:shd w:val="clear" w:color="auto" w:fill="FFFFFF"/>
          <w:lang w:val="en-US"/>
        </w:rPr>
        <w:t>Bueno, G., de Blas, M., Pérez-</w:t>
      </w:r>
      <w:proofErr w:type="spellStart"/>
      <w:r w:rsidRPr="00632EDB">
        <w:rPr>
          <w:sz w:val="20"/>
          <w:szCs w:val="20"/>
          <w:shd w:val="clear" w:color="auto" w:fill="FFFFFF"/>
          <w:lang w:val="en-US"/>
        </w:rPr>
        <w:t>Iribarren</w:t>
      </w:r>
      <w:proofErr w:type="spellEnd"/>
      <w:r w:rsidRPr="00632EDB">
        <w:rPr>
          <w:sz w:val="20"/>
          <w:szCs w:val="20"/>
          <w:shd w:val="clear" w:color="auto" w:fill="FFFFFF"/>
          <w:lang w:val="en-US"/>
        </w:rPr>
        <w:t xml:space="preserve">, E., </w:t>
      </w:r>
      <w:proofErr w:type="spellStart"/>
      <w:r w:rsidRPr="00632EDB">
        <w:rPr>
          <w:sz w:val="20"/>
          <w:szCs w:val="20"/>
          <w:shd w:val="clear" w:color="auto" w:fill="FFFFFF"/>
          <w:lang w:val="en-US"/>
        </w:rPr>
        <w:t>Zuazo</w:t>
      </w:r>
      <w:proofErr w:type="spellEnd"/>
      <w:r w:rsidRPr="00632EDB">
        <w:rPr>
          <w:sz w:val="20"/>
          <w:szCs w:val="20"/>
          <w:shd w:val="clear" w:color="auto" w:fill="FFFFFF"/>
          <w:lang w:val="en-US"/>
        </w:rPr>
        <w:t xml:space="preserve">, I., Torre-Pascual, E., </w:t>
      </w:r>
      <w:proofErr w:type="spellStart"/>
      <w:r w:rsidRPr="00632EDB">
        <w:rPr>
          <w:sz w:val="20"/>
          <w:szCs w:val="20"/>
          <w:shd w:val="clear" w:color="auto" w:fill="FFFFFF"/>
          <w:lang w:val="en-US"/>
        </w:rPr>
        <w:t>Erauskin</w:t>
      </w:r>
      <w:proofErr w:type="spellEnd"/>
      <w:r w:rsidRPr="00632EDB">
        <w:rPr>
          <w:sz w:val="20"/>
          <w:szCs w:val="20"/>
          <w:shd w:val="clear" w:color="auto" w:fill="FFFFFF"/>
          <w:lang w:val="en-US"/>
        </w:rPr>
        <w:t xml:space="preserve">, A., . . . Barrio, I. (2022). Dataset on the environmental and social footprint of the university of the </w:t>
      </w:r>
      <w:proofErr w:type="spellStart"/>
      <w:r w:rsidRPr="00632EDB">
        <w:rPr>
          <w:sz w:val="20"/>
          <w:szCs w:val="20"/>
          <w:shd w:val="clear" w:color="auto" w:fill="FFFFFF"/>
          <w:lang w:val="en-US"/>
        </w:rPr>
        <w:t>basque</w:t>
      </w:r>
      <w:proofErr w:type="spellEnd"/>
      <w:r w:rsidRPr="00632EDB">
        <w:rPr>
          <w:sz w:val="20"/>
          <w:szCs w:val="20"/>
          <w:shd w:val="clear" w:color="auto" w:fill="FFFFFF"/>
          <w:lang w:val="en-US"/>
        </w:rPr>
        <w:t xml:space="preserve"> country UPV/EHU.</w:t>
      </w:r>
      <w:r w:rsidRPr="00632EDB">
        <w:rPr>
          <w:i/>
          <w:iCs/>
          <w:sz w:val="20"/>
          <w:szCs w:val="20"/>
          <w:shd w:val="clear" w:color="auto" w:fill="FFFFFF"/>
          <w:lang w:val="en-US"/>
        </w:rPr>
        <w:t> </w:t>
      </w:r>
      <w:r w:rsidRPr="00632EDB">
        <w:rPr>
          <w:i/>
          <w:iCs/>
          <w:sz w:val="20"/>
          <w:szCs w:val="20"/>
          <w:shd w:val="clear" w:color="auto" w:fill="FFFFFF"/>
        </w:rPr>
        <w:t>Data in Brief, 41</w:t>
      </w:r>
    </w:p>
    <w:p w14:paraId="4853105A" w14:textId="5E956FAF" w:rsidR="009879A8" w:rsidRPr="00632EDB" w:rsidRDefault="009879A8" w:rsidP="00A34AF9">
      <w:pPr>
        <w:spacing w:line="276" w:lineRule="auto"/>
        <w:ind w:left="284" w:hanging="284"/>
        <w:rPr>
          <w:sz w:val="20"/>
        </w:rPr>
      </w:pPr>
      <w:r w:rsidRPr="00632EDB">
        <w:rPr>
          <w:sz w:val="20"/>
          <w:lang w:val="it-IT"/>
        </w:rPr>
        <w:t xml:space="preserve">Camargo, A., Forin, S., </w:t>
      </w:r>
      <w:proofErr w:type="spellStart"/>
      <w:r w:rsidRPr="00632EDB">
        <w:rPr>
          <w:sz w:val="20"/>
          <w:lang w:val="it-IT"/>
        </w:rPr>
        <w:t>Macedo</w:t>
      </w:r>
      <w:proofErr w:type="spellEnd"/>
      <w:r w:rsidRPr="00632EDB">
        <w:rPr>
          <w:sz w:val="20"/>
          <w:lang w:val="it-IT"/>
        </w:rPr>
        <w:t xml:space="preserve">, K., </w:t>
      </w:r>
      <w:proofErr w:type="spellStart"/>
      <w:r w:rsidRPr="00632EDB">
        <w:rPr>
          <w:sz w:val="20"/>
          <w:lang w:val="it-IT"/>
        </w:rPr>
        <w:t>Finkbeiner</w:t>
      </w:r>
      <w:proofErr w:type="spellEnd"/>
      <w:r w:rsidRPr="00632EDB">
        <w:rPr>
          <w:sz w:val="20"/>
          <w:lang w:val="it-IT"/>
        </w:rPr>
        <w:t xml:space="preserve">, M., </w:t>
      </w:r>
      <w:proofErr w:type="spellStart"/>
      <w:r w:rsidRPr="00632EDB">
        <w:rPr>
          <w:sz w:val="20"/>
          <w:lang w:val="it-IT"/>
        </w:rPr>
        <w:t>Martínez</w:t>
      </w:r>
      <w:proofErr w:type="spellEnd"/>
      <w:r w:rsidRPr="00632EDB">
        <w:rPr>
          <w:sz w:val="20"/>
          <w:lang w:val="it-IT"/>
        </w:rPr>
        <w:t xml:space="preserve">-Blanco, J. (2019). </w:t>
      </w:r>
      <w:r w:rsidRPr="00632EDB">
        <w:rPr>
          <w:sz w:val="20"/>
        </w:rPr>
        <w:t xml:space="preserve">The implementation of organizational LCA to internally manage the environmental impacts </w:t>
      </w:r>
      <w:r w:rsidRPr="00632EDB">
        <w:rPr>
          <w:sz w:val="20"/>
        </w:rPr>
        <w:lastRenderedPageBreak/>
        <w:t xml:space="preserve">of a broad product portfolio: an example for a cosmetics, fragrances, and toiletry provider. The International Journal of Life Cycle Assessment. 24. </w:t>
      </w:r>
    </w:p>
    <w:p w14:paraId="388CAA23" w14:textId="00B0D771" w:rsidR="009879A8" w:rsidRPr="00632EDB" w:rsidRDefault="009879A8" w:rsidP="00A34AF9">
      <w:pPr>
        <w:spacing w:line="276" w:lineRule="auto"/>
        <w:ind w:left="284" w:hanging="284"/>
        <w:rPr>
          <w:sz w:val="20"/>
        </w:rPr>
      </w:pPr>
      <w:r w:rsidRPr="00632EDB">
        <w:rPr>
          <w:sz w:val="20"/>
        </w:rPr>
        <w:t xml:space="preserve">CDP (2018). Out of the starting blocks Tracking progress on corporate climate action. </w:t>
      </w:r>
    </w:p>
    <w:p w14:paraId="35F90E1B" w14:textId="0FEF9450" w:rsidR="009879A8" w:rsidRPr="00632EDB" w:rsidRDefault="00711E23" w:rsidP="00A34AF9">
      <w:pPr>
        <w:spacing w:line="276" w:lineRule="auto"/>
        <w:ind w:left="284" w:hanging="284"/>
        <w:rPr>
          <w:sz w:val="20"/>
          <w:lang w:val="it-IT"/>
        </w:rPr>
      </w:pPr>
      <w:r w:rsidRPr="00632EDB">
        <w:rPr>
          <w:sz w:val="20"/>
          <w:lang w:val="it-IT"/>
        </w:rPr>
        <w:t xml:space="preserve">Decreto Legislativo </w:t>
      </w:r>
      <w:r w:rsidR="009879A8" w:rsidRPr="00632EDB">
        <w:rPr>
          <w:sz w:val="20"/>
          <w:lang w:val="it-IT"/>
        </w:rPr>
        <w:t>30 dicembre 2016, n. 254</w:t>
      </w:r>
      <w:r w:rsidRPr="00632EDB">
        <w:rPr>
          <w:sz w:val="20"/>
          <w:lang w:val="it-IT"/>
        </w:rPr>
        <w:t xml:space="preserve">. </w:t>
      </w:r>
      <w:r w:rsidR="009879A8" w:rsidRPr="00632EDB">
        <w:rPr>
          <w:sz w:val="20"/>
          <w:lang w:val="it-IT"/>
        </w:rPr>
        <w:t>(17G00002) (GU Serie Generale n.7 del 10-01-2017).</w:t>
      </w:r>
    </w:p>
    <w:p w14:paraId="206E8BEA" w14:textId="5E005027" w:rsidR="009879A8" w:rsidRPr="00632EDB" w:rsidRDefault="009879A8" w:rsidP="00A34AF9">
      <w:pPr>
        <w:spacing w:line="276" w:lineRule="auto"/>
        <w:ind w:left="284" w:hanging="284"/>
        <w:rPr>
          <w:sz w:val="20"/>
          <w:shd w:val="clear" w:color="auto" w:fill="FFFFFF"/>
        </w:rPr>
      </w:pPr>
      <w:proofErr w:type="spellStart"/>
      <w:r w:rsidRPr="00632EDB">
        <w:rPr>
          <w:sz w:val="20"/>
        </w:rPr>
        <w:t>Ducoulombier</w:t>
      </w:r>
      <w:proofErr w:type="spellEnd"/>
      <w:r w:rsidRPr="00632EDB">
        <w:rPr>
          <w:sz w:val="20"/>
        </w:rPr>
        <w:t xml:space="preserve">, F. (2021). Understanding the importance of scope 3 emissions and the implications of data limitations. The Journal of Impact and ESG Investing, 1(4), 63-71. </w:t>
      </w:r>
    </w:p>
    <w:p w14:paraId="543B92D3" w14:textId="4D0FDBAB" w:rsidR="009879A8" w:rsidRPr="00632EDB" w:rsidRDefault="009879A8" w:rsidP="00A34AF9">
      <w:pPr>
        <w:tabs>
          <w:tab w:val="left" w:pos="438"/>
        </w:tabs>
        <w:spacing w:line="276" w:lineRule="auto"/>
        <w:ind w:left="284" w:hanging="284"/>
        <w:rPr>
          <w:sz w:val="20"/>
          <w:shd w:val="clear" w:color="auto" w:fill="FFFFFF"/>
        </w:rPr>
      </w:pPr>
      <w:proofErr w:type="spellStart"/>
      <w:r w:rsidRPr="00632EDB">
        <w:rPr>
          <w:sz w:val="20"/>
          <w:shd w:val="clear" w:color="auto" w:fill="FFFFFF"/>
        </w:rPr>
        <w:t>Hertwich</w:t>
      </w:r>
      <w:proofErr w:type="spellEnd"/>
      <w:r w:rsidRPr="00632EDB">
        <w:rPr>
          <w:sz w:val="20"/>
          <w:shd w:val="clear" w:color="auto" w:fill="FFFFFF"/>
        </w:rPr>
        <w:t>, E. G., &amp; Wood, R. (2018). The growing importance of scope 3 greenhouse gas emissions from industry. Environmental Research Letters, 13(10), 104013.</w:t>
      </w:r>
      <w:r w:rsidRPr="00632EDB">
        <w:rPr>
          <w:sz w:val="20"/>
        </w:rPr>
        <w:t xml:space="preserve"> </w:t>
      </w:r>
    </w:p>
    <w:p w14:paraId="567CF43C" w14:textId="746B1C10" w:rsidR="009879A8" w:rsidRPr="00632EDB" w:rsidRDefault="009879A8" w:rsidP="00A34AF9">
      <w:pPr>
        <w:spacing w:line="276" w:lineRule="auto"/>
        <w:ind w:left="284" w:hanging="284"/>
        <w:rPr>
          <w:sz w:val="20"/>
          <w:lang w:eastAsia="it-IT"/>
        </w:rPr>
      </w:pPr>
      <w:r w:rsidRPr="00632EDB">
        <w:rPr>
          <w:sz w:val="20"/>
        </w:rPr>
        <w:tab/>
      </w:r>
      <w:r w:rsidRPr="00632EDB">
        <w:rPr>
          <w:sz w:val="20"/>
          <w:lang w:eastAsia="it-IT"/>
        </w:rPr>
        <w:t xml:space="preserve">Horowitz, C. A. (2016). Paris Agreement. </w:t>
      </w:r>
      <w:r w:rsidRPr="00632EDB">
        <w:rPr>
          <w:i/>
          <w:iCs/>
          <w:sz w:val="20"/>
          <w:lang w:eastAsia="it-IT"/>
        </w:rPr>
        <w:t>International Legal Materials</w:t>
      </w:r>
      <w:r w:rsidRPr="00632EDB">
        <w:rPr>
          <w:sz w:val="20"/>
          <w:lang w:eastAsia="it-IT"/>
        </w:rPr>
        <w:t xml:space="preserve">, </w:t>
      </w:r>
      <w:r w:rsidRPr="00632EDB">
        <w:rPr>
          <w:i/>
          <w:iCs/>
          <w:sz w:val="20"/>
          <w:lang w:eastAsia="it-IT"/>
        </w:rPr>
        <w:t>55</w:t>
      </w:r>
      <w:r w:rsidRPr="00632EDB">
        <w:rPr>
          <w:sz w:val="20"/>
          <w:lang w:eastAsia="it-IT"/>
        </w:rPr>
        <w:t xml:space="preserve">(4). </w:t>
      </w:r>
    </w:p>
    <w:p w14:paraId="73E28AC2" w14:textId="1929AE38" w:rsidR="009879A8" w:rsidRPr="00632EDB" w:rsidRDefault="009879A8" w:rsidP="00A34AF9">
      <w:pPr>
        <w:pStyle w:val="Reference"/>
        <w:numPr>
          <w:ilvl w:val="0"/>
          <w:numId w:val="0"/>
        </w:numPr>
        <w:tabs>
          <w:tab w:val="clear" w:pos="346"/>
        </w:tabs>
        <w:spacing w:line="276" w:lineRule="auto"/>
        <w:ind w:left="284" w:hanging="284"/>
        <w:rPr>
          <w:sz w:val="20"/>
        </w:rPr>
      </w:pPr>
      <w:r w:rsidRPr="00632EDB">
        <w:rPr>
          <w:sz w:val="20"/>
        </w:rPr>
        <w:t>IPCC (2021). Summary for Policymakers. In: Climate Change 2021: The Physical Science Basis. Contribution of Working Group I to the Sixth Assessment Report of the Intergovernmental Panel on Climate Change.</w:t>
      </w:r>
    </w:p>
    <w:p w14:paraId="6B5A4344" w14:textId="5FDA9AE7" w:rsidR="009879A8" w:rsidRPr="00632EDB" w:rsidRDefault="009879A8" w:rsidP="00A34AF9">
      <w:pPr>
        <w:tabs>
          <w:tab w:val="left" w:pos="438"/>
        </w:tabs>
        <w:spacing w:line="276" w:lineRule="auto"/>
        <w:ind w:left="284" w:hanging="284"/>
        <w:rPr>
          <w:sz w:val="20"/>
          <w:shd w:val="clear" w:color="auto" w:fill="FFFFFF"/>
        </w:rPr>
      </w:pPr>
      <w:r w:rsidRPr="00632EDB">
        <w:rPr>
          <w:sz w:val="20"/>
          <w:shd w:val="clear" w:color="auto" w:fill="FFFFFF"/>
        </w:rPr>
        <w:t>ISO/</w:t>
      </w:r>
      <w:r w:rsidRPr="00632EDB">
        <w:rPr>
          <w:rStyle w:val="html-italic"/>
          <w:sz w:val="20"/>
          <w:shd w:val="clear" w:color="auto" w:fill="FFFFFF"/>
        </w:rPr>
        <w:t>TS 14072:2014. Environmental Management—Life Cycle Assessment—Requirements and Guidelines for Organizational Life Cycle Assessment</w:t>
      </w:r>
      <w:r w:rsidRPr="00632EDB">
        <w:rPr>
          <w:sz w:val="20"/>
          <w:shd w:val="clear" w:color="auto" w:fill="FFFFFF"/>
        </w:rPr>
        <w:t>. Geneva: International Organization for Standardization. </w:t>
      </w:r>
    </w:p>
    <w:p w14:paraId="4ADE65F6" w14:textId="6845FBD2" w:rsidR="009879A8" w:rsidRPr="00632EDB" w:rsidRDefault="009879A8" w:rsidP="00A34AF9">
      <w:pPr>
        <w:spacing w:line="276" w:lineRule="auto"/>
        <w:ind w:left="284" w:hanging="284"/>
        <w:rPr>
          <w:sz w:val="20"/>
        </w:rPr>
      </w:pPr>
      <w:r w:rsidRPr="00632EDB">
        <w:rPr>
          <w:sz w:val="20"/>
        </w:rPr>
        <w:t xml:space="preserve">ISO 14067:2018. Greenhouse gases — Carbon footprint of products — Requirements and guidelines for quantification. </w:t>
      </w:r>
    </w:p>
    <w:p w14:paraId="4698B94B" w14:textId="6F0D5BFA" w:rsidR="009879A8" w:rsidRPr="00632EDB" w:rsidRDefault="009879A8" w:rsidP="00A34AF9">
      <w:pPr>
        <w:spacing w:line="276" w:lineRule="auto"/>
        <w:ind w:left="284" w:hanging="284"/>
        <w:rPr>
          <w:sz w:val="20"/>
        </w:rPr>
      </w:pPr>
      <w:proofErr w:type="spellStart"/>
      <w:r w:rsidRPr="00632EDB">
        <w:rPr>
          <w:sz w:val="20"/>
          <w:lang w:val="it-IT"/>
        </w:rPr>
        <w:t>Manzardo</w:t>
      </w:r>
      <w:proofErr w:type="spellEnd"/>
      <w:r w:rsidRPr="00632EDB">
        <w:rPr>
          <w:sz w:val="20"/>
          <w:lang w:val="it-IT"/>
        </w:rPr>
        <w:t xml:space="preserve">, A., Loss, A., Mazzi, A., Scipioni, A. (2016). </w:t>
      </w:r>
      <w:r w:rsidRPr="00632EDB">
        <w:rPr>
          <w:sz w:val="20"/>
        </w:rPr>
        <w:t xml:space="preserve">Organization Life-Cycle Assessment (OLCA): Methodological Issues and Case Studies in the Beverage-Packaging Sector. </w:t>
      </w:r>
    </w:p>
    <w:p w14:paraId="2EC349C7" w14:textId="6E8E8A84" w:rsidR="009879A8" w:rsidRPr="00632EDB" w:rsidRDefault="009879A8" w:rsidP="00A34AF9">
      <w:pPr>
        <w:spacing w:line="276" w:lineRule="auto"/>
        <w:ind w:left="284" w:hanging="284"/>
        <w:rPr>
          <w:sz w:val="20"/>
          <w:shd w:val="clear" w:color="auto" w:fill="FCFCFC"/>
        </w:rPr>
      </w:pPr>
      <w:proofErr w:type="spellStart"/>
      <w:r w:rsidRPr="00632EDB">
        <w:rPr>
          <w:sz w:val="20"/>
          <w:lang w:val="it-IT"/>
        </w:rPr>
        <w:t>Martínez</w:t>
      </w:r>
      <w:proofErr w:type="spellEnd"/>
      <w:r w:rsidRPr="00632EDB">
        <w:rPr>
          <w:sz w:val="20"/>
          <w:lang w:val="it-IT"/>
        </w:rPr>
        <w:t xml:space="preserve">-Blanco, J., Forin, S., &amp; </w:t>
      </w:r>
      <w:proofErr w:type="spellStart"/>
      <w:r w:rsidRPr="00632EDB">
        <w:rPr>
          <w:sz w:val="20"/>
          <w:lang w:val="it-IT"/>
        </w:rPr>
        <w:t>Finkbeiner</w:t>
      </w:r>
      <w:proofErr w:type="spellEnd"/>
      <w:r w:rsidRPr="00632EDB">
        <w:rPr>
          <w:sz w:val="20"/>
          <w:lang w:val="it-IT"/>
        </w:rPr>
        <w:t xml:space="preserve">, M. (2020). </w:t>
      </w:r>
      <w:r w:rsidRPr="00632EDB">
        <w:rPr>
          <w:sz w:val="20"/>
        </w:rPr>
        <w:t xml:space="preserve">Challenges of organizational LCA: Lessons learned from road testing the guidance on organizational life cycle assessment. The International Journal of Life Cycle Assessment, 25(2), 311-331. </w:t>
      </w:r>
    </w:p>
    <w:p w14:paraId="7A183F0B" w14:textId="51ABE6F8" w:rsidR="009879A8" w:rsidRPr="00632EDB" w:rsidRDefault="009879A8" w:rsidP="00A34AF9">
      <w:pPr>
        <w:spacing w:line="276" w:lineRule="auto"/>
        <w:ind w:left="284" w:hanging="284"/>
        <w:rPr>
          <w:sz w:val="20"/>
          <w:lang w:eastAsia="it-IT"/>
        </w:rPr>
      </w:pPr>
      <w:bookmarkStart w:id="3" w:name="bbib81"/>
      <w:r w:rsidRPr="00632EDB">
        <w:rPr>
          <w:sz w:val="20"/>
          <w:lang w:eastAsia="it-IT"/>
        </w:rPr>
        <w:t xml:space="preserve">Martínez-Blanco, J., Lehmann, A., Chang, Y. J., &amp; </w:t>
      </w:r>
      <w:proofErr w:type="spellStart"/>
      <w:r w:rsidRPr="00632EDB">
        <w:rPr>
          <w:sz w:val="20"/>
          <w:lang w:eastAsia="it-IT"/>
        </w:rPr>
        <w:t>Finkbeiner</w:t>
      </w:r>
      <w:proofErr w:type="spellEnd"/>
      <w:r w:rsidRPr="00632EDB">
        <w:rPr>
          <w:sz w:val="20"/>
          <w:lang w:eastAsia="it-IT"/>
        </w:rPr>
        <w:t xml:space="preserve">, M. (2015). Social organizational LCA (SOLCA)—a new approach for implementing social LCA. </w:t>
      </w:r>
      <w:r w:rsidRPr="00632EDB">
        <w:rPr>
          <w:i/>
          <w:iCs/>
          <w:sz w:val="20"/>
          <w:lang w:eastAsia="it-IT"/>
        </w:rPr>
        <w:t>International Journal of Life Cycle Assessment</w:t>
      </w:r>
      <w:r w:rsidRPr="00632EDB">
        <w:rPr>
          <w:sz w:val="20"/>
          <w:lang w:eastAsia="it-IT"/>
        </w:rPr>
        <w:t xml:space="preserve">, </w:t>
      </w:r>
      <w:r w:rsidRPr="00632EDB">
        <w:rPr>
          <w:i/>
          <w:iCs/>
          <w:sz w:val="20"/>
          <w:lang w:eastAsia="it-IT"/>
        </w:rPr>
        <w:t>20</w:t>
      </w:r>
      <w:r w:rsidRPr="00632EDB">
        <w:rPr>
          <w:sz w:val="20"/>
          <w:lang w:eastAsia="it-IT"/>
        </w:rPr>
        <w:t>(11).</w:t>
      </w:r>
    </w:p>
    <w:bookmarkEnd w:id="3"/>
    <w:p w14:paraId="2A48378B" w14:textId="16E6AC66" w:rsidR="009879A8" w:rsidRPr="00632EDB" w:rsidRDefault="009879A8" w:rsidP="00A34AF9">
      <w:pPr>
        <w:spacing w:line="276" w:lineRule="auto"/>
        <w:ind w:left="284" w:hanging="284"/>
        <w:rPr>
          <w:rStyle w:val="Collegamentoipertestuale"/>
          <w:color w:val="auto"/>
          <w:sz w:val="20"/>
        </w:rPr>
      </w:pPr>
      <w:r w:rsidRPr="00632EDB">
        <w:rPr>
          <w:sz w:val="20"/>
        </w:rPr>
        <w:t>Marx, H., </w:t>
      </w:r>
      <w:proofErr w:type="spellStart"/>
      <w:r w:rsidRPr="00632EDB">
        <w:rPr>
          <w:sz w:val="20"/>
        </w:rPr>
        <w:t>Forin</w:t>
      </w:r>
      <w:proofErr w:type="spellEnd"/>
      <w:r w:rsidRPr="00632EDB">
        <w:rPr>
          <w:sz w:val="20"/>
        </w:rPr>
        <w:t xml:space="preserve">, S., </w:t>
      </w:r>
      <w:proofErr w:type="spellStart"/>
      <w:r w:rsidRPr="00632EDB">
        <w:rPr>
          <w:sz w:val="20"/>
        </w:rPr>
        <w:t>Finkbeiner</w:t>
      </w:r>
      <w:proofErr w:type="spellEnd"/>
      <w:r w:rsidRPr="00632EDB">
        <w:rPr>
          <w:sz w:val="20"/>
        </w:rPr>
        <w:t xml:space="preserve">, M. (2020). </w:t>
      </w:r>
      <w:r w:rsidRPr="00632EDB">
        <w:rPr>
          <w:rStyle w:val="Enfasigrassetto"/>
          <w:b w:val="0"/>
          <w:bCs w:val="0"/>
          <w:sz w:val="20"/>
        </w:rPr>
        <w:t xml:space="preserve">Organizational life cycle assessment of a </w:t>
      </w:r>
      <w:r w:rsidR="00711E23" w:rsidRPr="00632EDB">
        <w:rPr>
          <w:rStyle w:val="Enfasigrassetto"/>
          <w:b w:val="0"/>
          <w:bCs w:val="0"/>
          <w:sz w:val="20"/>
        </w:rPr>
        <w:t>service-providing</w:t>
      </w:r>
      <w:r w:rsidRPr="00632EDB">
        <w:rPr>
          <w:rStyle w:val="Enfasigrassetto"/>
          <w:b w:val="0"/>
          <w:bCs w:val="0"/>
          <w:sz w:val="20"/>
        </w:rPr>
        <w:t xml:space="preserve"> SME for renewable energy projects (PV and wind) in the United Kingdom</w:t>
      </w:r>
      <w:r w:rsidRPr="00632EDB">
        <w:rPr>
          <w:b/>
          <w:bCs/>
          <w:sz w:val="20"/>
        </w:rPr>
        <w:t>.</w:t>
      </w:r>
      <w:r w:rsidRPr="00632EDB">
        <w:rPr>
          <w:sz w:val="20"/>
        </w:rPr>
        <w:t xml:space="preserve"> Sustainability, 12, 4475</w:t>
      </w:r>
    </w:p>
    <w:p w14:paraId="2F879302" w14:textId="7E721BDB" w:rsidR="009879A8" w:rsidRPr="00632EDB" w:rsidRDefault="009879A8" w:rsidP="00A34AF9">
      <w:pPr>
        <w:pStyle w:val="NormaleWeb"/>
        <w:spacing w:before="0" w:beforeAutospacing="0" w:after="0" w:afterAutospacing="0" w:line="276" w:lineRule="auto"/>
        <w:ind w:left="284" w:hanging="284"/>
        <w:jc w:val="both"/>
        <w:rPr>
          <w:sz w:val="20"/>
          <w:szCs w:val="20"/>
        </w:rPr>
      </w:pPr>
      <w:proofErr w:type="spellStart"/>
      <w:r w:rsidRPr="00632EDB">
        <w:rPr>
          <w:sz w:val="20"/>
          <w:szCs w:val="20"/>
          <w:lang w:val="en-US"/>
        </w:rPr>
        <w:t>Resta</w:t>
      </w:r>
      <w:proofErr w:type="spellEnd"/>
      <w:r w:rsidRPr="00632EDB">
        <w:rPr>
          <w:sz w:val="20"/>
          <w:szCs w:val="20"/>
          <w:lang w:val="en-US"/>
        </w:rPr>
        <w:t xml:space="preserve">, B., </w:t>
      </w:r>
      <w:proofErr w:type="spellStart"/>
      <w:r w:rsidRPr="00632EDB">
        <w:rPr>
          <w:sz w:val="20"/>
          <w:szCs w:val="20"/>
          <w:lang w:val="en-US"/>
        </w:rPr>
        <w:t>Gaiardelli</w:t>
      </w:r>
      <w:proofErr w:type="spellEnd"/>
      <w:r w:rsidRPr="00632EDB">
        <w:rPr>
          <w:sz w:val="20"/>
          <w:szCs w:val="20"/>
          <w:lang w:val="en-US"/>
        </w:rPr>
        <w:t xml:space="preserve">, P., Pinto, R., &amp; Dotti, S. (2016). Enhancing environmental management in the textile sector: An </w:t>
      </w:r>
      <w:r w:rsidR="00711E23" w:rsidRPr="00632EDB">
        <w:rPr>
          <w:sz w:val="20"/>
          <w:szCs w:val="20"/>
          <w:lang w:val="en-US"/>
        </w:rPr>
        <w:t>organizational</w:t>
      </w:r>
      <w:r w:rsidRPr="00632EDB">
        <w:rPr>
          <w:sz w:val="20"/>
          <w:szCs w:val="20"/>
          <w:lang w:val="en-US"/>
        </w:rPr>
        <w:t xml:space="preserve">-life cycle assessment approach. </w:t>
      </w:r>
      <w:r w:rsidRPr="00632EDB">
        <w:rPr>
          <w:sz w:val="20"/>
          <w:szCs w:val="20"/>
        </w:rPr>
        <w:t xml:space="preserve">Journal of </w:t>
      </w:r>
      <w:proofErr w:type="spellStart"/>
      <w:r w:rsidRPr="00632EDB">
        <w:rPr>
          <w:sz w:val="20"/>
          <w:szCs w:val="20"/>
        </w:rPr>
        <w:t>Cleaner</w:t>
      </w:r>
      <w:proofErr w:type="spellEnd"/>
      <w:r w:rsidRPr="00632EDB">
        <w:rPr>
          <w:sz w:val="20"/>
          <w:szCs w:val="20"/>
        </w:rPr>
        <w:t xml:space="preserve"> Production, 135, 620-632. </w:t>
      </w:r>
    </w:p>
    <w:p w14:paraId="10FB9182" w14:textId="6BCC1BF9" w:rsidR="009879A8" w:rsidRPr="00632EDB" w:rsidRDefault="009879A8" w:rsidP="00A34AF9">
      <w:pPr>
        <w:pStyle w:val="NormaleWeb"/>
        <w:spacing w:before="0" w:beforeAutospacing="0" w:after="0" w:afterAutospacing="0" w:line="276" w:lineRule="auto"/>
        <w:ind w:left="284" w:hanging="284"/>
        <w:jc w:val="both"/>
        <w:rPr>
          <w:sz w:val="20"/>
          <w:szCs w:val="20"/>
          <w:shd w:val="clear" w:color="auto" w:fill="FFFFFF"/>
          <w:lang w:val="en-US"/>
        </w:rPr>
      </w:pPr>
      <w:r w:rsidRPr="00632EDB">
        <w:rPr>
          <w:sz w:val="20"/>
          <w:szCs w:val="20"/>
          <w:shd w:val="clear" w:color="auto" w:fill="FFFFFF"/>
        </w:rPr>
        <w:t xml:space="preserve">Rimano, M., Simboli, A., Taddeo, R., Del Grosso, M., &amp; Raggi, A. (2021). </w:t>
      </w:r>
      <w:r w:rsidRPr="00632EDB">
        <w:rPr>
          <w:sz w:val="20"/>
          <w:szCs w:val="20"/>
          <w:shd w:val="clear" w:color="auto" w:fill="FFFFFF"/>
          <w:lang w:val="en-US"/>
        </w:rPr>
        <w:t>The environmental impact of organizations: A pilot test from the packaging industry based on organizational life cycle assessment.</w:t>
      </w:r>
      <w:r w:rsidRPr="00632EDB">
        <w:rPr>
          <w:i/>
          <w:iCs/>
          <w:sz w:val="20"/>
          <w:szCs w:val="20"/>
          <w:shd w:val="clear" w:color="auto" w:fill="FFFFFF"/>
          <w:lang w:val="en-US"/>
        </w:rPr>
        <w:t> Sustainability (Switzerland), 13</w:t>
      </w:r>
      <w:r w:rsidRPr="00632EDB">
        <w:rPr>
          <w:sz w:val="20"/>
          <w:szCs w:val="20"/>
          <w:shd w:val="clear" w:color="auto" w:fill="FFFFFF"/>
          <w:lang w:val="en-US"/>
        </w:rPr>
        <w:t>(20) doi:10.3390/su132011402</w:t>
      </w:r>
    </w:p>
    <w:p w14:paraId="7CE21E2E" w14:textId="41C567B7" w:rsidR="009879A8" w:rsidRPr="00632EDB" w:rsidRDefault="009879A8" w:rsidP="00A34AF9">
      <w:pPr>
        <w:spacing w:line="276" w:lineRule="auto"/>
        <w:ind w:left="284" w:hanging="284"/>
        <w:rPr>
          <w:sz w:val="20"/>
        </w:rPr>
      </w:pPr>
      <w:r w:rsidRPr="00632EDB">
        <w:rPr>
          <w:sz w:val="20"/>
        </w:rPr>
        <w:t>UNEP/SETAC (2009). Guidelines for social life cycle assessment of products. ISBN: 978-92-807-3021-0</w:t>
      </w:r>
    </w:p>
    <w:p w14:paraId="3B72F03F" w14:textId="1AECE300" w:rsidR="009879A8" w:rsidRPr="00632EDB" w:rsidRDefault="009879A8" w:rsidP="00030009">
      <w:pPr>
        <w:spacing w:line="276" w:lineRule="auto"/>
        <w:ind w:left="284" w:hanging="284"/>
        <w:rPr>
          <w:sz w:val="20"/>
        </w:rPr>
      </w:pPr>
      <w:r w:rsidRPr="00632EDB">
        <w:rPr>
          <w:sz w:val="20"/>
        </w:rPr>
        <w:t xml:space="preserve">WRI and WBCSD (2011). Greenhouse Gas Protocol Corporate Value Chain (Scope 3) Accounting and Reporting Standard. </w:t>
      </w:r>
    </w:p>
    <w:sectPr w:rsidR="009879A8" w:rsidRPr="00632EDB" w:rsidSect="00E43F28">
      <w:headerReference w:type="even" r:id="rId10"/>
      <w:headerReference w:type="default" r:id="rId11"/>
      <w:headerReference w:type="first" r:id="rId12"/>
      <w:footerReference w:type="first" r:id="rId13"/>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842BB" w14:textId="77777777" w:rsidR="007D2D37" w:rsidRDefault="007D2D37">
      <w:pPr>
        <w:spacing w:line="240" w:lineRule="auto"/>
      </w:pPr>
      <w:r>
        <w:separator/>
      </w:r>
    </w:p>
  </w:endnote>
  <w:endnote w:type="continuationSeparator" w:id="0">
    <w:p w14:paraId="63A9BE7B" w14:textId="77777777" w:rsidR="007D2D37" w:rsidRDefault="007D2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A2A4" w14:textId="77777777" w:rsidR="00A138D7" w:rsidRPr="000343A6" w:rsidRDefault="00A138D7">
    <w:pPr>
      <w:jc w:val="center"/>
      <w:rPr>
        <w:sz w:val="18"/>
        <w:szCs w:val="18"/>
      </w:rP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sidR="00214440">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DCB01" w14:textId="77777777" w:rsidR="007D2D37" w:rsidRDefault="007D2D37">
      <w:pPr>
        <w:spacing w:line="240" w:lineRule="auto"/>
      </w:pPr>
      <w:r>
        <w:separator/>
      </w:r>
    </w:p>
  </w:footnote>
  <w:footnote w:type="continuationSeparator" w:id="0">
    <w:p w14:paraId="74CF4E5C" w14:textId="77777777" w:rsidR="007D2D37" w:rsidRDefault="007D2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5314" w14:textId="77777777" w:rsidR="00A138D7" w:rsidRDefault="00566851" w:rsidP="00A17B32">
    <w:pPr>
      <w:pStyle w:val="Intestazione"/>
      <w:tabs>
        <w:tab w:val="clear" w:pos="4320"/>
        <w:tab w:val="center" w:pos="3600"/>
      </w:tabs>
      <w:spacing w:after="280" w:line="180" w:lineRule="exact"/>
      <w:rPr>
        <w:i/>
        <w:sz w:val="18"/>
      </w:rPr>
    </w:pPr>
    <w:r>
      <w:rPr>
        <w:noProof/>
        <w:sz w:val="18"/>
        <w:lang w:val="it-IT" w:eastAsia="it-IT"/>
      </w:rPr>
      <mc:AlternateContent>
        <mc:Choice Requires="wpg">
          <w:drawing>
            <wp:anchor distT="0" distB="0" distL="114300" distR="114300" simplePos="0" relativeHeight="251657728"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054229CE"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00A56CDE" w:rsidRPr="000E2F27">
      <w:rPr>
        <w:rStyle w:val="Numeropagina"/>
        <w:sz w:val="18"/>
      </w:rPr>
      <w:fldChar w:fldCharType="begin"/>
    </w:r>
    <w:r w:rsidR="00A56CDE" w:rsidRPr="000E2F27">
      <w:rPr>
        <w:rStyle w:val="Numeropagina"/>
        <w:sz w:val="18"/>
      </w:rPr>
      <w:instrText xml:space="preserve">PAGE  </w:instrText>
    </w:r>
    <w:r w:rsidR="00A56CDE" w:rsidRPr="000E2F27">
      <w:rPr>
        <w:rStyle w:val="Numeropagina"/>
        <w:sz w:val="18"/>
      </w:rPr>
      <w:fldChar w:fldCharType="separate"/>
    </w:r>
    <w:r w:rsidR="00214440">
      <w:rPr>
        <w:rStyle w:val="Numeropagina"/>
        <w:noProof/>
        <w:sz w:val="18"/>
      </w:rPr>
      <w:t>4</w:t>
    </w:r>
    <w:r w:rsidR="00A56CDE" w:rsidRPr="000E2F27">
      <w:rPr>
        <w:rStyle w:val="Numeropagina"/>
        <w:sz w:val="18"/>
      </w:rPr>
      <w:fldChar w:fldCharType="end"/>
    </w:r>
    <w:r w:rsidR="00A56CDE">
      <w:rPr>
        <w:rStyle w:val="Numeropagina"/>
        <w:sz w:val="18"/>
      </w:rPr>
      <w:tab/>
    </w:r>
    <w:r w:rsidR="00A138D7" w:rsidRPr="000E2F27">
      <w:rPr>
        <w:i/>
        <w:sz w:val="18"/>
      </w:rPr>
      <w:t>F. Author &amp; S. 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3CC7" w14:textId="77777777" w:rsidR="00A138D7" w:rsidRDefault="00566851" w:rsidP="00A17B32">
    <w:pPr>
      <w:pStyle w:val="Intestazione"/>
      <w:tabs>
        <w:tab w:val="clear" w:pos="4320"/>
        <w:tab w:val="clear" w:pos="8640"/>
        <w:tab w:val="center" w:pos="3600"/>
        <w:tab w:val="right" w:pos="7200"/>
      </w:tabs>
      <w:spacing w:after="280" w:line="180" w:lineRule="exact"/>
      <w:rPr>
        <w:rStyle w:val="Numeropagina"/>
        <w:sz w:val="18"/>
      </w:rPr>
    </w:pPr>
    <w:r>
      <w:rPr>
        <w:noProof/>
        <w:lang w:val="it-IT" w:eastAsia="it-IT"/>
      </w:rPr>
      <mc:AlternateContent>
        <mc:Choice Requires="wpg">
          <w:drawing>
            <wp:anchor distT="0" distB="0" distL="114300" distR="114300" simplePos="0" relativeHeight="25165875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70D8D718"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476E8C">
      <w:tab/>
    </w:r>
    <w:r w:rsidR="004479AA">
      <w:rPr>
        <w:i/>
        <w:noProof/>
        <w:sz w:val="18"/>
        <w:lang w:val="en-SG" w:eastAsia="en-SG"/>
      </w:rPr>
      <w:t>Title of the paper</w:t>
    </w:r>
    <w:r w:rsidR="00476E8C" w:rsidRPr="000E2F27">
      <w:rPr>
        <w:i/>
        <w:noProof/>
        <w:sz w:val="18"/>
        <w:lang w:val="en-SG" w:eastAsia="en-SG"/>
      </w:rPr>
      <w:tab/>
    </w:r>
    <w:r w:rsidR="00476E8C" w:rsidRPr="000E2F27">
      <w:rPr>
        <w:rStyle w:val="Numeropagina"/>
        <w:sz w:val="18"/>
      </w:rPr>
      <w:fldChar w:fldCharType="begin"/>
    </w:r>
    <w:r w:rsidR="00476E8C" w:rsidRPr="000E2F27">
      <w:rPr>
        <w:rStyle w:val="Numeropagina"/>
        <w:sz w:val="18"/>
      </w:rPr>
      <w:instrText xml:space="preserve">PAGE  </w:instrText>
    </w:r>
    <w:r w:rsidR="00476E8C" w:rsidRPr="000E2F27">
      <w:rPr>
        <w:rStyle w:val="Numeropagina"/>
        <w:sz w:val="18"/>
      </w:rPr>
      <w:fldChar w:fldCharType="separate"/>
    </w:r>
    <w:r w:rsidR="00214440">
      <w:rPr>
        <w:rStyle w:val="Numeropagina"/>
        <w:noProof/>
        <w:sz w:val="18"/>
      </w:rPr>
      <w:t>5</w:t>
    </w:r>
    <w:r w:rsidR="00476E8C" w:rsidRPr="000E2F27">
      <w:rPr>
        <w:rStyle w:val="Numeropagina"/>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8310" w14:textId="77777777" w:rsidR="00CF74EC" w:rsidRDefault="00566851">
    <w:pPr>
      <w:pStyle w:val="Intestazione"/>
    </w:pPr>
    <w:r>
      <w:rPr>
        <w:noProof/>
        <w:lang w:val="it-IT" w:eastAsia="it-IT"/>
      </w:rPr>
      <mc:AlternateContent>
        <mc:Choice Requires="wpg">
          <w:drawing>
            <wp:anchor distT="0" distB="0" distL="114300" distR="114300" simplePos="0" relativeHeight="251656704"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2" name="Group 1"/>
                      <wpg:cNvGrpSpPr>
                        <a:grpSpLocks/>
                      </wpg:cNvGrpSpPr>
                      <wpg:grpSpPr bwMode="auto">
                        <a:xfrm>
                          <a:off x="0" y="0"/>
                          <a:ext cx="6929408" cy="415144"/>
                          <a:chOff x="496" y="843"/>
                          <a:chExt cx="10910" cy="654"/>
                        </a:xfrm>
                      </wpg:grpSpPr>
                      <wpg:grpSp>
                        <wpg:cNvPr id="3" name="Group 3"/>
                        <wpg:cNvGrpSpPr>
                          <a:grpSpLocks/>
                        </wpg:cNvGrpSpPr>
                        <wpg:grpSpPr bwMode="auto">
                          <a:xfrm>
                            <a:off x="10766" y="845"/>
                            <a:ext cx="640" cy="652"/>
                            <a:chOff x="10777" y="845"/>
                            <a:chExt cx="640" cy="652"/>
                          </a:xfrm>
                        </wpg:grpSpPr>
                        <wps:wsp>
                          <wps:cNvPr id="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6"/>
                        <wpg:cNvGrpSpPr>
                          <a:grpSpLocks/>
                        </wpg:cNvGrpSpPr>
                        <wpg:grpSpPr bwMode="auto">
                          <a:xfrm flipH="1">
                            <a:off x="496" y="843"/>
                            <a:ext cx="640" cy="652"/>
                            <a:chOff x="10777" y="845"/>
                            <a:chExt cx="640" cy="652"/>
                          </a:xfrm>
                        </wpg:grpSpPr>
                        <wps:wsp>
                          <wps:cNvPr id="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 name="Group 13"/>
                      <wpg:cNvGrpSpPr>
                        <a:grpSpLocks/>
                      </wpg:cNvGrpSpPr>
                      <wpg:grpSpPr bwMode="auto">
                        <a:xfrm flipV="1">
                          <a:off x="10886" y="9198429"/>
                          <a:ext cx="6929120" cy="414655"/>
                          <a:chOff x="496" y="843"/>
                          <a:chExt cx="10910" cy="654"/>
                        </a:xfrm>
                      </wpg:grpSpPr>
                      <wpg:grpSp>
                        <wpg:cNvPr id="10" name="Group 3"/>
                        <wpg:cNvGrpSpPr>
                          <a:grpSpLocks/>
                        </wpg:cNvGrpSpPr>
                        <wpg:grpSpPr bwMode="auto">
                          <a:xfrm>
                            <a:off x="10766" y="845"/>
                            <a:ext cx="640" cy="652"/>
                            <a:chOff x="10777" y="845"/>
                            <a:chExt cx="640" cy="652"/>
                          </a:xfrm>
                        </wpg:grpSpPr>
                        <wps:wsp>
                          <wps:cNvPr id="1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6"/>
                        <wpg:cNvGrpSpPr>
                          <a:grpSpLocks/>
                        </wpg:cNvGrpSpPr>
                        <wpg:grpSpPr bwMode="auto">
                          <a:xfrm flipH="1">
                            <a:off x="496" y="843"/>
                            <a:ext cx="640" cy="652"/>
                            <a:chOff x="10777" y="845"/>
                            <a:chExt cx="640" cy="652"/>
                          </a:xfrm>
                        </wpg:grpSpPr>
                        <wps:wsp>
                          <wps:cNvPr id="1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189E271"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CB6"/>
    <w:multiLevelType w:val="hybridMultilevel"/>
    <w:tmpl w:val="99164C0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A641BC"/>
    <w:multiLevelType w:val="hybridMultilevel"/>
    <w:tmpl w:val="8CA4F272"/>
    <w:lvl w:ilvl="0" w:tplc="A3F6C6FE">
      <w:start w:val="1"/>
      <w:numFmt w:val="decimal"/>
      <w:lvlText w:val="%1."/>
      <w:lvlJc w:val="right"/>
      <w:pPr>
        <w:tabs>
          <w:tab w:val="num" w:pos="936"/>
        </w:tabs>
        <w:ind w:left="936" w:hanging="36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 w15:restartNumberingAfterBreak="0">
    <w:nsid w:val="06B27F6A"/>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8AB46D0"/>
    <w:multiLevelType w:val="hybridMultilevel"/>
    <w:tmpl w:val="C5E0C59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5"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6" w15:restartNumberingAfterBreak="0">
    <w:nsid w:val="11CD2A2C"/>
    <w:multiLevelType w:val="hybridMultilevel"/>
    <w:tmpl w:val="F9BC50E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2713154"/>
    <w:multiLevelType w:val="multilevel"/>
    <w:tmpl w:val="59B04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2B903B9"/>
    <w:multiLevelType w:val="hybridMultilevel"/>
    <w:tmpl w:val="E95CF040"/>
    <w:lvl w:ilvl="0" w:tplc="641E5DA6">
      <w:start w:val="1"/>
      <w:numFmt w:val="decimal"/>
      <w:lvlText w:val="%1."/>
      <w:lvlJc w:val="left"/>
      <w:pPr>
        <w:ind w:left="720" w:hanging="360"/>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B751DFC"/>
    <w:multiLevelType w:val="multilevel"/>
    <w:tmpl w:val="BE185102"/>
    <w:lvl w:ilvl="0">
      <w:start w:val="1"/>
      <w:numFmt w:val="decimal"/>
      <w:lvlRestart w:val="0"/>
      <w:suff w:val="nothing"/>
      <w:lvlText w:val="%1.   "/>
      <w:lvlJc w:val="left"/>
      <w:pPr>
        <w:tabs>
          <w:tab w:val="num" w:pos="0"/>
        </w:tabs>
        <w:ind w:left="576" w:hanging="576"/>
      </w:pPr>
      <w:rPr>
        <w:rFonts w:ascii="Times New Roman" w:hAnsi="Times New Roman" w:cs="Times New Roman" w:hint="default"/>
        <w:b/>
        <w:i w:val="0"/>
        <w:sz w:val="22"/>
        <w:szCs w:val="20"/>
      </w:rPr>
    </w:lvl>
    <w:lvl w:ilvl="1">
      <w:start w:val="1"/>
      <w:numFmt w:val="decimal"/>
      <w:suff w:val="nothing"/>
      <w:lvlText w:val="%1.%2.  "/>
      <w:lvlJc w:val="left"/>
      <w:pPr>
        <w:tabs>
          <w:tab w:val="num" w:pos="0"/>
        </w:tabs>
        <w:ind w:left="576" w:hanging="576"/>
      </w:pPr>
      <w:rPr>
        <w:rFonts w:ascii="Times New Roman" w:hAnsi="Times New Roman" w:cs="Times New Roman" w:hint="default"/>
        <w:b/>
        <w:i w:val="0"/>
        <w:sz w:val="22"/>
        <w:szCs w:val="22"/>
      </w:rPr>
    </w:lvl>
    <w:lvl w:ilvl="2">
      <w:start w:val="1"/>
      <w:numFmt w:val="decimal"/>
      <w:suff w:val="nothing"/>
      <w:lvlText w:val="%1.%2.%3.   "/>
      <w:lvlJc w:val="left"/>
      <w:pPr>
        <w:tabs>
          <w:tab w:val="num" w:pos="0"/>
        </w:tabs>
        <w:ind w:left="576" w:hanging="576"/>
      </w:pPr>
      <w:rPr>
        <w:rFonts w:ascii="Times New Roman" w:hAnsi="Times New Roman" w:cs="Times New Roman" w:hint="default"/>
        <w:b w:val="0"/>
        <w:i w:val="0"/>
        <w:sz w:val="22"/>
        <w:szCs w:val="22"/>
      </w:rPr>
    </w:lvl>
    <w:lvl w:ilvl="3">
      <w:start w:val="1"/>
      <w:numFmt w:val="decimal"/>
      <w:lvlText w:val="(%4)"/>
      <w:lvlJc w:val="left"/>
      <w:pPr>
        <w:ind w:left="1440" w:hanging="360"/>
      </w:pPr>
      <w:rPr>
        <w:rFonts w:hint="default"/>
        <w:b/>
        <w:i w:val="0"/>
        <w:sz w:val="22"/>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i w:val="0"/>
        <w:sz w:val="20"/>
        <w:szCs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11"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926E83"/>
    <w:multiLevelType w:val="hybridMultilevel"/>
    <w:tmpl w:val="60589816"/>
    <w:lvl w:ilvl="0" w:tplc="630A0A0A">
      <w:start w:val="1"/>
      <w:numFmt w:val="bullet"/>
      <w:lvlText w:val=""/>
      <w:lvlJc w:val="left"/>
      <w:pPr>
        <w:tabs>
          <w:tab w:val="num" w:pos="634"/>
        </w:tabs>
        <w:ind w:left="634" w:hanging="360"/>
      </w:pPr>
      <w:rPr>
        <w:rFonts w:ascii="Symbol" w:hAnsi="Symbol" w:hint="default"/>
      </w:rPr>
    </w:lvl>
    <w:lvl w:ilvl="1" w:tplc="39CC9574" w:tentative="1">
      <w:start w:val="1"/>
      <w:numFmt w:val="bullet"/>
      <w:lvlText w:val="o"/>
      <w:lvlJc w:val="left"/>
      <w:pPr>
        <w:tabs>
          <w:tab w:val="num" w:pos="1714"/>
        </w:tabs>
        <w:ind w:left="1714" w:hanging="360"/>
      </w:pPr>
      <w:rPr>
        <w:rFonts w:ascii="Courier New" w:hAnsi="Courier New" w:hint="default"/>
      </w:rPr>
    </w:lvl>
    <w:lvl w:ilvl="2" w:tplc="0E08A0EA" w:tentative="1">
      <w:start w:val="1"/>
      <w:numFmt w:val="bullet"/>
      <w:lvlText w:val=""/>
      <w:lvlJc w:val="left"/>
      <w:pPr>
        <w:tabs>
          <w:tab w:val="num" w:pos="2434"/>
        </w:tabs>
        <w:ind w:left="2434" w:hanging="360"/>
      </w:pPr>
      <w:rPr>
        <w:rFonts w:ascii="Wingdings" w:hAnsi="Wingdings" w:hint="default"/>
      </w:rPr>
    </w:lvl>
    <w:lvl w:ilvl="3" w:tplc="A07C24E0" w:tentative="1">
      <w:start w:val="1"/>
      <w:numFmt w:val="bullet"/>
      <w:lvlText w:val=""/>
      <w:lvlJc w:val="left"/>
      <w:pPr>
        <w:tabs>
          <w:tab w:val="num" w:pos="3154"/>
        </w:tabs>
        <w:ind w:left="3154" w:hanging="360"/>
      </w:pPr>
      <w:rPr>
        <w:rFonts w:ascii="Symbol" w:hAnsi="Symbol" w:hint="default"/>
      </w:rPr>
    </w:lvl>
    <w:lvl w:ilvl="4" w:tplc="0046D2A6" w:tentative="1">
      <w:start w:val="1"/>
      <w:numFmt w:val="bullet"/>
      <w:lvlText w:val="o"/>
      <w:lvlJc w:val="left"/>
      <w:pPr>
        <w:tabs>
          <w:tab w:val="num" w:pos="3874"/>
        </w:tabs>
        <w:ind w:left="3874" w:hanging="360"/>
      </w:pPr>
      <w:rPr>
        <w:rFonts w:ascii="Courier New" w:hAnsi="Courier New" w:hint="default"/>
      </w:rPr>
    </w:lvl>
    <w:lvl w:ilvl="5" w:tplc="B4C8D214" w:tentative="1">
      <w:start w:val="1"/>
      <w:numFmt w:val="bullet"/>
      <w:lvlText w:val=""/>
      <w:lvlJc w:val="left"/>
      <w:pPr>
        <w:tabs>
          <w:tab w:val="num" w:pos="4594"/>
        </w:tabs>
        <w:ind w:left="4594" w:hanging="360"/>
      </w:pPr>
      <w:rPr>
        <w:rFonts w:ascii="Wingdings" w:hAnsi="Wingdings" w:hint="default"/>
      </w:rPr>
    </w:lvl>
    <w:lvl w:ilvl="6" w:tplc="C21E9BDE" w:tentative="1">
      <w:start w:val="1"/>
      <w:numFmt w:val="bullet"/>
      <w:lvlText w:val=""/>
      <w:lvlJc w:val="left"/>
      <w:pPr>
        <w:tabs>
          <w:tab w:val="num" w:pos="5314"/>
        </w:tabs>
        <w:ind w:left="5314" w:hanging="360"/>
      </w:pPr>
      <w:rPr>
        <w:rFonts w:ascii="Symbol" w:hAnsi="Symbol" w:hint="default"/>
      </w:rPr>
    </w:lvl>
    <w:lvl w:ilvl="7" w:tplc="33FCB884" w:tentative="1">
      <w:start w:val="1"/>
      <w:numFmt w:val="bullet"/>
      <w:lvlText w:val="o"/>
      <w:lvlJc w:val="left"/>
      <w:pPr>
        <w:tabs>
          <w:tab w:val="num" w:pos="6034"/>
        </w:tabs>
        <w:ind w:left="6034" w:hanging="360"/>
      </w:pPr>
      <w:rPr>
        <w:rFonts w:ascii="Courier New" w:hAnsi="Courier New" w:hint="default"/>
      </w:rPr>
    </w:lvl>
    <w:lvl w:ilvl="8" w:tplc="2E06222C" w:tentative="1">
      <w:start w:val="1"/>
      <w:numFmt w:val="bullet"/>
      <w:lvlText w:val=""/>
      <w:lvlJc w:val="left"/>
      <w:pPr>
        <w:tabs>
          <w:tab w:val="num" w:pos="6754"/>
        </w:tabs>
        <w:ind w:left="6754" w:hanging="360"/>
      </w:pPr>
      <w:rPr>
        <w:rFonts w:ascii="Wingdings" w:hAnsi="Wingdings" w:hint="default"/>
      </w:rPr>
    </w:lvl>
  </w:abstractNum>
  <w:abstractNum w:abstractNumId="14"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15" w15:restartNumberingAfterBreak="0">
    <w:nsid w:val="371B415F"/>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17"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18"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19" w15:restartNumberingAfterBreak="0">
    <w:nsid w:val="55655A33"/>
    <w:multiLevelType w:val="hybridMultilevel"/>
    <w:tmpl w:val="4B266D0A"/>
    <w:lvl w:ilvl="0" w:tplc="CCE2AB4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22" w15:restartNumberingAfterBreak="0">
    <w:nsid w:val="69F07533"/>
    <w:multiLevelType w:val="hybridMultilevel"/>
    <w:tmpl w:val="E1425A82"/>
    <w:lvl w:ilvl="0" w:tplc="B91E22B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24"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16cid:durableId="858274498">
    <w:abstractNumId w:val="23"/>
  </w:num>
  <w:num w:numId="2" w16cid:durableId="1154563820">
    <w:abstractNumId w:val="18"/>
  </w:num>
  <w:num w:numId="3" w16cid:durableId="1604875926">
    <w:abstractNumId w:val="17"/>
  </w:num>
  <w:num w:numId="4" w16cid:durableId="49157816">
    <w:abstractNumId w:val="10"/>
  </w:num>
  <w:num w:numId="5" w16cid:durableId="1591309000">
    <w:abstractNumId w:val="24"/>
  </w:num>
  <w:num w:numId="6" w16cid:durableId="1349022348">
    <w:abstractNumId w:val="11"/>
  </w:num>
  <w:num w:numId="7" w16cid:durableId="1804498611">
    <w:abstractNumId w:val="5"/>
  </w:num>
  <w:num w:numId="8" w16cid:durableId="346055658">
    <w:abstractNumId w:val="12"/>
  </w:num>
  <w:num w:numId="9" w16cid:durableId="992559295">
    <w:abstractNumId w:val="13"/>
  </w:num>
  <w:num w:numId="10" w16cid:durableId="420763820">
    <w:abstractNumId w:val="1"/>
  </w:num>
  <w:num w:numId="11" w16cid:durableId="8802148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850798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6527901">
    <w:abstractNumId w:val="14"/>
  </w:num>
  <w:num w:numId="14" w16cid:durableId="9340491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05355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9238802">
    <w:abstractNumId w:val="4"/>
  </w:num>
  <w:num w:numId="17" w16cid:durableId="13823626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12202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9878811">
    <w:abstractNumId w:val="20"/>
  </w:num>
  <w:num w:numId="20" w16cid:durableId="1830903244">
    <w:abstractNumId w:val="20"/>
  </w:num>
  <w:num w:numId="21" w16cid:durableId="373581445">
    <w:abstractNumId w:val="20"/>
  </w:num>
  <w:num w:numId="22" w16cid:durableId="1488940817">
    <w:abstractNumId w:val="11"/>
  </w:num>
  <w:num w:numId="23" w16cid:durableId="740298123">
    <w:abstractNumId w:val="11"/>
  </w:num>
  <w:num w:numId="24" w16cid:durableId="616567799">
    <w:abstractNumId w:val="0"/>
  </w:num>
  <w:num w:numId="25" w16cid:durableId="1992981592">
    <w:abstractNumId w:val="6"/>
  </w:num>
  <w:num w:numId="26" w16cid:durableId="1831822808">
    <w:abstractNumId w:val="3"/>
  </w:num>
  <w:num w:numId="27" w16cid:durableId="2101444383">
    <w:abstractNumId w:val="15"/>
  </w:num>
  <w:num w:numId="28" w16cid:durableId="434328944">
    <w:abstractNumId w:val="2"/>
  </w:num>
  <w:num w:numId="29" w16cid:durableId="311301568">
    <w:abstractNumId w:val="9"/>
  </w:num>
  <w:num w:numId="30" w16cid:durableId="1936404977">
    <w:abstractNumId w:val="11"/>
  </w:num>
  <w:num w:numId="31" w16cid:durableId="47920111">
    <w:abstractNumId w:val="11"/>
  </w:num>
  <w:num w:numId="32" w16cid:durableId="1782650537">
    <w:abstractNumId w:val="11"/>
  </w:num>
  <w:num w:numId="33" w16cid:durableId="497309139">
    <w:abstractNumId w:val="11"/>
  </w:num>
  <w:num w:numId="34" w16cid:durableId="1232734524">
    <w:abstractNumId w:val="11"/>
  </w:num>
  <w:num w:numId="35" w16cid:durableId="2052344652">
    <w:abstractNumId w:val="11"/>
  </w:num>
  <w:num w:numId="36" w16cid:durableId="227034539">
    <w:abstractNumId w:val="11"/>
  </w:num>
  <w:num w:numId="37" w16cid:durableId="1790934310">
    <w:abstractNumId w:val="11"/>
  </w:num>
  <w:num w:numId="38" w16cid:durableId="209810597">
    <w:abstractNumId w:val="11"/>
    <w:lvlOverride w:ilvl="0">
      <w:startOverride w:val="1"/>
    </w:lvlOverride>
  </w:num>
  <w:num w:numId="39" w16cid:durableId="1325159432">
    <w:abstractNumId w:val="7"/>
  </w:num>
  <w:num w:numId="40" w16cid:durableId="1979257215">
    <w:abstractNumId w:val="11"/>
  </w:num>
  <w:num w:numId="41" w16cid:durableId="1150750676">
    <w:abstractNumId w:val="11"/>
  </w:num>
  <w:num w:numId="42" w16cid:durableId="1071849616">
    <w:abstractNumId w:val="11"/>
  </w:num>
  <w:num w:numId="43" w16cid:durableId="462819901">
    <w:abstractNumId w:val="19"/>
  </w:num>
  <w:num w:numId="44" w16cid:durableId="1465583815">
    <w:abstractNumId w:val="22"/>
  </w:num>
  <w:num w:numId="45" w16cid:durableId="1880320814">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lignBordersAndEdges/>
  <w:bordersDoNotSurroundFooter/>
  <w:activeWritingStyle w:appName="MSWord" w:lang="en-US" w:vendorID="8" w:dllVersion="513" w:checkStyle="1"/>
  <w:proofState w:spelling="clean" w:grammar="clean"/>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50"/>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1"/>
    <w:rsid w:val="00002565"/>
    <w:rsid w:val="00006F22"/>
    <w:rsid w:val="00011663"/>
    <w:rsid w:val="00013FAC"/>
    <w:rsid w:val="000207D2"/>
    <w:rsid w:val="00030009"/>
    <w:rsid w:val="00034334"/>
    <w:rsid w:val="000343A6"/>
    <w:rsid w:val="000358C0"/>
    <w:rsid w:val="00041C51"/>
    <w:rsid w:val="00054B55"/>
    <w:rsid w:val="00055617"/>
    <w:rsid w:val="00062998"/>
    <w:rsid w:val="0007387C"/>
    <w:rsid w:val="0007584D"/>
    <w:rsid w:val="000771BE"/>
    <w:rsid w:val="00096B47"/>
    <w:rsid w:val="000A0084"/>
    <w:rsid w:val="000A596C"/>
    <w:rsid w:val="000D5C93"/>
    <w:rsid w:val="000E2F27"/>
    <w:rsid w:val="000F254D"/>
    <w:rsid w:val="000F5341"/>
    <w:rsid w:val="001002D8"/>
    <w:rsid w:val="00107A8A"/>
    <w:rsid w:val="00115B90"/>
    <w:rsid w:val="00120C4E"/>
    <w:rsid w:val="00122983"/>
    <w:rsid w:val="00124203"/>
    <w:rsid w:val="00125DB4"/>
    <w:rsid w:val="00132754"/>
    <w:rsid w:val="001334DD"/>
    <w:rsid w:val="001429F4"/>
    <w:rsid w:val="00151DC5"/>
    <w:rsid w:val="001540CF"/>
    <w:rsid w:val="00156E8A"/>
    <w:rsid w:val="00162338"/>
    <w:rsid w:val="001646F6"/>
    <w:rsid w:val="0016745B"/>
    <w:rsid w:val="00180BB3"/>
    <w:rsid w:val="00194854"/>
    <w:rsid w:val="00197107"/>
    <w:rsid w:val="00197312"/>
    <w:rsid w:val="001A52A5"/>
    <w:rsid w:val="001B1B69"/>
    <w:rsid w:val="001B43AB"/>
    <w:rsid w:val="001C2352"/>
    <w:rsid w:val="001C41D2"/>
    <w:rsid w:val="001D184B"/>
    <w:rsid w:val="001D480B"/>
    <w:rsid w:val="001E1C36"/>
    <w:rsid w:val="001E38A2"/>
    <w:rsid w:val="001E44C7"/>
    <w:rsid w:val="00200467"/>
    <w:rsid w:val="00201FCF"/>
    <w:rsid w:val="00205C1E"/>
    <w:rsid w:val="0020681C"/>
    <w:rsid w:val="00214440"/>
    <w:rsid w:val="00215D25"/>
    <w:rsid w:val="00231470"/>
    <w:rsid w:val="002415C4"/>
    <w:rsid w:val="00247384"/>
    <w:rsid w:val="00251C05"/>
    <w:rsid w:val="002524D4"/>
    <w:rsid w:val="00256E13"/>
    <w:rsid w:val="0026025E"/>
    <w:rsid w:val="00260E32"/>
    <w:rsid w:val="0026349E"/>
    <w:rsid w:val="00265A66"/>
    <w:rsid w:val="00265B71"/>
    <w:rsid w:val="002660BC"/>
    <w:rsid w:val="00276C2E"/>
    <w:rsid w:val="002807E5"/>
    <w:rsid w:val="00281505"/>
    <w:rsid w:val="00281F6D"/>
    <w:rsid w:val="00282157"/>
    <w:rsid w:val="00287F3D"/>
    <w:rsid w:val="002946A4"/>
    <w:rsid w:val="00296ECD"/>
    <w:rsid w:val="002A2910"/>
    <w:rsid w:val="002A45C3"/>
    <w:rsid w:val="002B45FA"/>
    <w:rsid w:val="002C06E7"/>
    <w:rsid w:val="002C3CED"/>
    <w:rsid w:val="002C5CB4"/>
    <w:rsid w:val="002D29FD"/>
    <w:rsid w:val="002D3231"/>
    <w:rsid w:val="002D414C"/>
    <w:rsid w:val="002E4DAC"/>
    <w:rsid w:val="002E6684"/>
    <w:rsid w:val="002F01ED"/>
    <w:rsid w:val="002F7330"/>
    <w:rsid w:val="003069D3"/>
    <w:rsid w:val="003111B2"/>
    <w:rsid w:val="00322A7A"/>
    <w:rsid w:val="00323789"/>
    <w:rsid w:val="00324DA4"/>
    <w:rsid w:val="0033032F"/>
    <w:rsid w:val="00332921"/>
    <w:rsid w:val="00335F68"/>
    <w:rsid w:val="003360BF"/>
    <w:rsid w:val="0033631D"/>
    <w:rsid w:val="00341D1E"/>
    <w:rsid w:val="003436C5"/>
    <w:rsid w:val="00354949"/>
    <w:rsid w:val="003609D7"/>
    <w:rsid w:val="00362D5B"/>
    <w:rsid w:val="00362DC1"/>
    <w:rsid w:val="00364272"/>
    <w:rsid w:val="003719E6"/>
    <w:rsid w:val="00372272"/>
    <w:rsid w:val="00373C13"/>
    <w:rsid w:val="003812D5"/>
    <w:rsid w:val="0038280F"/>
    <w:rsid w:val="003A4089"/>
    <w:rsid w:val="003A5EB4"/>
    <w:rsid w:val="003B2BC3"/>
    <w:rsid w:val="003B392B"/>
    <w:rsid w:val="003C2400"/>
    <w:rsid w:val="003E156F"/>
    <w:rsid w:val="003F21E5"/>
    <w:rsid w:val="00400544"/>
    <w:rsid w:val="00402E4D"/>
    <w:rsid w:val="00412D22"/>
    <w:rsid w:val="004136C5"/>
    <w:rsid w:val="00416BA3"/>
    <w:rsid w:val="004174BE"/>
    <w:rsid w:val="00417671"/>
    <w:rsid w:val="004178FA"/>
    <w:rsid w:val="00417DA2"/>
    <w:rsid w:val="004225DE"/>
    <w:rsid w:val="004226E9"/>
    <w:rsid w:val="00425A66"/>
    <w:rsid w:val="00430738"/>
    <w:rsid w:val="00445735"/>
    <w:rsid w:val="004479AA"/>
    <w:rsid w:val="00452DE7"/>
    <w:rsid w:val="00453F74"/>
    <w:rsid w:val="004554B8"/>
    <w:rsid w:val="00462CBA"/>
    <w:rsid w:val="00464BF3"/>
    <w:rsid w:val="00466742"/>
    <w:rsid w:val="00474C6A"/>
    <w:rsid w:val="00476E8C"/>
    <w:rsid w:val="0048706B"/>
    <w:rsid w:val="004A6ABE"/>
    <w:rsid w:val="004B0E7A"/>
    <w:rsid w:val="004C0B1B"/>
    <w:rsid w:val="004C7AE9"/>
    <w:rsid w:val="004D03EE"/>
    <w:rsid w:val="004D7CBE"/>
    <w:rsid w:val="004E54C3"/>
    <w:rsid w:val="004F3F3C"/>
    <w:rsid w:val="004F6371"/>
    <w:rsid w:val="005052EC"/>
    <w:rsid w:val="0050550F"/>
    <w:rsid w:val="00516571"/>
    <w:rsid w:val="005275B0"/>
    <w:rsid w:val="005308EB"/>
    <w:rsid w:val="005327E5"/>
    <w:rsid w:val="005501B1"/>
    <w:rsid w:val="00553BA1"/>
    <w:rsid w:val="005567E0"/>
    <w:rsid w:val="0056238C"/>
    <w:rsid w:val="00566851"/>
    <w:rsid w:val="00577E65"/>
    <w:rsid w:val="00594E12"/>
    <w:rsid w:val="00596504"/>
    <w:rsid w:val="005B22D7"/>
    <w:rsid w:val="005B238B"/>
    <w:rsid w:val="005B7822"/>
    <w:rsid w:val="005C400D"/>
    <w:rsid w:val="005C4AA9"/>
    <w:rsid w:val="005C503A"/>
    <w:rsid w:val="005D2441"/>
    <w:rsid w:val="005D278D"/>
    <w:rsid w:val="005D2BB9"/>
    <w:rsid w:val="005E4032"/>
    <w:rsid w:val="005F12D1"/>
    <w:rsid w:val="005F2C5F"/>
    <w:rsid w:val="00606A16"/>
    <w:rsid w:val="00607D09"/>
    <w:rsid w:val="00616655"/>
    <w:rsid w:val="00616FBE"/>
    <w:rsid w:val="00617AE9"/>
    <w:rsid w:val="00622050"/>
    <w:rsid w:val="006232D0"/>
    <w:rsid w:val="00626616"/>
    <w:rsid w:val="00632EDB"/>
    <w:rsid w:val="006334AA"/>
    <w:rsid w:val="00633639"/>
    <w:rsid w:val="0064475B"/>
    <w:rsid w:val="00647807"/>
    <w:rsid w:val="00680158"/>
    <w:rsid w:val="006913D2"/>
    <w:rsid w:val="006957D8"/>
    <w:rsid w:val="006A5F51"/>
    <w:rsid w:val="006A7075"/>
    <w:rsid w:val="006B2F24"/>
    <w:rsid w:val="006C12C8"/>
    <w:rsid w:val="006C7CB5"/>
    <w:rsid w:val="006D5BDA"/>
    <w:rsid w:val="006D7E12"/>
    <w:rsid w:val="006F55CA"/>
    <w:rsid w:val="00701A95"/>
    <w:rsid w:val="00706B35"/>
    <w:rsid w:val="00707D3A"/>
    <w:rsid w:val="00711743"/>
    <w:rsid w:val="00711E23"/>
    <w:rsid w:val="00712F61"/>
    <w:rsid w:val="00716164"/>
    <w:rsid w:val="00717EF2"/>
    <w:rsid w:val="007249E3"/>
    <w:rsid w:val="00734E09"/>
    <w:rsid w:val="00735538"/>
    <w:rsid w:val="00740C3C"/>
    <w:rsid w:val="007410FD"/>
    <w:rsid w:val="007456FD"/>
    <w:rsid w:val="00745D4D"/>
    <w:rsid w:val="00746831"/>
    <w:rsid w:val="00746E7B"/>
    <w:rsid w:val="00746EEB"/>
    <w:rsid w:val="007543F6"/>
    <w:rsid w:val="00757B23"/>
    <w:rsid w:val="007639DD"/>
    <w:rsid w:val="00770002"/>
    <w:rsid w:val="007733CE"/>
    <w:rsid w:val="007740B5"/>
    <w:rsid w:val="007743D3"/>
    <w:rsid w:val="007808F3"/>
    <w:rsid w:val="0078314F"/>
    <w:rsid w:val="00784F76"/>
    <w:rsid w:val="007854CD"/>
    <w:rsid w:val="00786B15"/>
    <w:rsid w:val="00787225"/>
    <w:rsid w:val="00791B0C"/>
    <w:rsid w:val="007960EE"/>
    <w:rsid w:val="007A7E8D"/>
    <w:rsid w:val="007B00A7"/>
    <w:rsid w:val="007B0738"/>
    <w:rsid w:val="007B567F"/>
    <w:rsid w:val="007D0E64"/>
    <w:rsid w:val="007D2D37"/>
    <w:rsid w:val="007D4C47"/>
    <w:rsid w:val="007D5E73"/>
    <w:rsid w:val="007E2A4C"/>
    <w:rsid w:val="007F1CE6"/>
    <w:rsid w:val="007F2C96"/>
    <w:rsid w:val="007F33D4"/>
    <w:rsid w:val="007F6492"/>
    <w:rsid w:val="007F7EDC"/>
    <w:rsid w:val="00811C43"/>
    <w:rsid w:val="00813091"/>
    <w:rsid w:val="00813818"/>
    <w:rsid w:val="00820F66"/>
    <w:rsid w:val="008235E8"/>
    <w:rsid w:val="008349D8"/>
    <w:rsid w:val="00836890"/>
    <w:rsid w:val="00842480"/>
    <w:rsid w:val="00855A7B"/>
    <w:rsid w:val="00856966"/>
    <w:rsid w:val="00864C5F"/>
    <w:rsid w:val="00867EB1"/>
    <w:rsid w:val="00870B2F"/>
    <w:rsid w:val="008743F1"/>
    <w:rsid w:val="00883ADA"/>
    <w:rsid w:val="00884B87"/>
    <w:rsid w:val="00885E21"/>
    <w:rsid w:val="00886930"/>
    <w:rsid w:val="00890039"/>
    <w:rsid w:val="008950D5"/>
    <w:rsid w:val="008A3CBB"/>
    <w:rsid w:val="008A6BEC"/>
    <w:rsid w:val="008A6F05"/>
    <w:rsid w:val="008B058F"/>
    <w:rsid w:val="008B0E64"/>
    <w:rsid w:val="008B4D69"/>
    <w:rsid w:val="008B5AAC"/>
    <w:rsid w:val="008C1A0D"/>
    <w:rsid w:val="008C42D6"/>
    <w:rsid w:val="008C4818"/>
    <w:rsid w:val="008C685C"/>
    <w:rsid w:val="008D1910"/>
    <w:rsid w:val="008D2D42"/>
    <w:rsid w:val="008D2D9E"/>
    <w:rsid w:val="008D59D4"/>
    <w:rsid w:val="008F2AE1"/>
    <w:rsid w:val="008F43D1"/>
    <w:rsid w:val="008F6B46"/>
    <w:rsid w:val="009128B3"/>
    <w:rsid w:val="00913BEA"/>
    <w:rsid w:val="00917D8A"/>
    <w:rsid w:val="00922EDF"/>
    <w:rsid w:val="00925C93"/>
    <w:rsid w:val="00926432"/>
    <w:rsid w:val="00926EF3"/>
    <w:rsid w:val="0093138F"/>
    <w:rsid w:val="00932A8F"/>
    <w:rsid w:val="00933404"/>
    <w:rsid w:val="00943340"/>
    <w:rsid w:val="00947FA5"/>
    <w:rsid w:val="0095003F"/>
    <w:rsid w:val="009520F0"/>
    <w:rsid w:val="00962F68"/>
    <w:rsid w:val="0096364B"/>
    <w:rsid w:val="0096745D"/>
    <w:rsid w:val="0097219A"/>
    <w:rsid w:val="00982020"/>
    <w:rsid w:val="009848F2"/>
    <w:rsid w:val="009879A8"/>
    <w:rsid w:val="00994A05"/>
    <w:rsid w:val="00994D6B"/>
    <w:rsid w:val="009A4835"/>
    <w:rsid w:val="009B02A3"/>
    <w:rsid w:val="009C4022"/>
    <w:rsid w:val="009C6B67"/>
    <w:rsid w:val="009D0521"/>
    <w:rsid w:val="009D0E30"/>
    <w:rsid w:val="009D3A6F"/>
    <w:rsid w:val="009D479A"/>
    <w:rsid w:val="009D6661"/>
    <w:rsid w:val="009D7165"/>
    <w:rsid w:val="009E23F3"/>
    <w:rsid w:val="009E690F"/>
    <w:rsid w:val="009F68F7"/>
    <w:rsid w:val="00A01B49"/>
    <w:rsid w:val="00A1065E"/>
    <w:rsid w:val="00A110F9"/>
    <w:rsid w:val="00A1240E"/>
    <w:rsid w:val="00A12967"/>
    <w:rsid w:val="00A138D7"/>
    <w:rsid w:val="00A168C4"/>
    <w:rsid w:val="00A17B32"/>
    <w:rsid w:val="00A34AF9"/>
    <w:rsid w:val="00A358B3"/>
    <w:rsid w:val="00A36643"/>
    <w:rsid w:val="00A370E2"/>
    <w:rsid w:val="00A45249"/>
    <w:rsid w:val="00A45CB2"/>
    <w:rsid w:val="00A468DC"/>
    <w:rsid w:val="00A46E86"/>
    <w:rsid w:val="00A53732"/>
    <w:rsid w:val="00A552C4"/>
    <w:rsid w:val="00A56CDE"/>
    <w:rsid w:val="00A61854"/>
    <w:rsid w:val="00A667EE"/>
    <w:rsid w:val="00A77727"/>
    <w:rsid w:val="00A80BE1"/>
    <w:rsid w:val="00AA44B5"/>
    <w:rsid w:val="00AB3AE7"/>
    <w:rsid w:val="00AD2AE9"/>
    <w:rsid w:val="00AE1F85"/>
    <w:rsid w:val="00AF1114"/>
    <w:rsid w:val="00AF3380"/>
    <w:rsid w:val="00AF7D8E"/>
    <w:rsid w:val="00B033BC"/>
    <w:rsid w:val="00B0708D"/>
    <w:rsid w:val="00B07E02"/>
    <w:rsid w:val="00B10CED"/>
    <w:rsid w:val="00B214D7"/>
    <w:rsid w:val="00B453CE"/>
    <w:rsid w:val="00B469F2"/>
    <w:rsid w:val="00B53A9E"/>
    <w:rsid w:val="00B6419A"/>
    <w:rsid w:val="00B817CF"/>
    <w:rsid w:val="00BB0078"/>
    <w:rsid w:val="00BB5183"/>
    <w:rsid w:val="00BC3E12"/>
    <w:rsid w:val="00BD4DA7"/>
    <w:rsid w:val="00BD5DF7"/>
    <w:rsid w:val="00BD75B5"/>
    <w:rsid w:val="00BE731C"/>
    <w:rsid w:val="00BF1316"/>
    <w:rsid w:val="00BF7DD9"/>
    <w:rsid w:val="00C05871"/>
    <w:rsid w:val="00C15C34"/>
    <w:rsid w:val="00C22525"/>
    <w:rsid w:val="00C25E10"/>
    <w:rsid w:val="00C32A69"/>
    <w:rsid w:val="00C43441"/>
    <w:rsid w:val="00C47221"/>
    <w:rsid w:val="00C527BF"/>
    <w:rsid w:val="00C56538"/>
    <w:rsid w:val="00C5684B"/>
    <w:rsid w:val="00C72DFB"/>
    <w:rsid w:val="00C764D5"/>
    <w:rsid w:val="00C82890"/>
    <w:rsid w:val="00C84C2F"/>
    <w:rsid w:val="00C87367"/>
    <w:rsid w:val="00CA001C"/>
    <w:rsid w:val="00CA1199"/>
    <w:rsid w:val="00CA21DA"/>
    <w:rsid w:val="00CA7FFA"/>
    <w:rsid w:val="00CB58DC"/>
    <w:rsid w:val="00CC03AA"/>
    <w:rsid w:val="00CC04A2"/>
    <w:rsid w:val="00CC07F8"/>
    <w:rsid w:val="00CC3E0D"/>
    <w:rsid w:val="00CD18DF"/>
    <w:rsid w:val="00CD5605"/>
    <w:rsid w:val="00CD74E8"/>
    <w:rsid w:val="00CE0383"/>
    <w:rsid w:val="00CE217F"/>
    <w:rsid w:val="00CE5D86"/>
    <w:rsid w:val="00CF0E98"/>
    <w:rsid w:val="00CF1075"/>
    <w:rsid w:val="00CF74EC"/>
    <w:rsid w:val="00D02AC5"/>
    <w:rsid w:val="00D02EA3"/>
    <w:rsid w:val="00D07C01"/>
    <w:rsid w:val="00D22B5A"/>
    <w:rsid w:val="00D24030"/>
    <w:rsid w:val="00D33858"/>
    <w:rsid w:val="00D37C34"/>
    <w:rsid w:val="00D40645"/>
    <w:rsid w:val="00D42278"/>
    <w:rsid w:val="00D42803"/>
    <w:rsid w:val="00D50412"/>
    <w:rsid w:val="00D5468B"/>
    <w:rsid w:val="00D551B9"/>
    <w:rsid w:val="00D5596B"/>
    <w:rsid w:val="00D56539"/>
    <w:rsid w:val="00D566BC"/>
    <w:rsid w:val="00D617D8"/>
    <w:rsid w:val="00D65CAD"/>
    <w:rsid w:val="00D66C5D"/>
    <w:rsid w:val="00D66ED0"/>
    <w:rsid w:val="00D84BE5"/>
    <w:rsid w:val="00D90731"/>
    <w:rsid w:val="00DB4AE0"/>
    <w:rsid w:val="00DB7B7D"/>
    <w:rsid w:val="00DD1B6E"/>
    <w:rsid w:val="00DD3D5B"/>
    <w:rsid w:val="00DD4ED3"/>
    <w:rsid w:val="00DD4F7A"/>
    <w:rsid w:val="00DD7D1D"/>
    <w:rsid w:val="00DE293F"/>
    <w:rsid w:val="00DE6CE1"/>
    <w:rsid w:val="00DF0510"/>
    <w:rsid w:val="00DF13A1"/>
    <w:rsid w:val="00DF1E35"/>
    <w:rsid w:val="00DF2FB4"/>
    <w:rsid w:val="00E02792"/>
    <w:rsid w:val="00E12E41"/>
    <w:rsid w:val="00E23375"/>
    <w:rsid w:val="00E364ED"/>
    <w:rsid w:val="00E43F28"/>
    <w:rsid w:val="00E478ED"/>
    <w:rsid w:val="00E5025A"/>
    <w:rsid w:val="00E5642A"/>
    <w:rsid w:val="00E66E69"/>
    <w:rsid w:val="00E73C1A"/>
    <w:rsid w:val="00E75785"/>
    <w:rsid w:val="00E8137F"/>
    <w:rsid w:val="00E83585"/>
    <w:rsid w:val="00E9559E"/>
    <w:rsid w:val="00EB31D3"/>
    <w:rsid w:val="00EB6346"/>
    <w:rsid w:val="00EB6EB5"/>
    <w:rsid w:val="00EC0855"/>
    <w:rsid w:val="00ED3556"/>
    <w:rsid w:val="00ED3BDA"/>
    <w:rsid w:val="00EE21D1"/>
    <w:rsid w:val="00EE3B7E"/>
    <w:rsid w:val="00EE6A5A"/>
    <w:rsid w:val="00EE75E6"/>
    <w:rsid w:val="00EF32B6"/>
    <w:rsid w:val="00F115BF"/>
    <w:rsid w:val="00F12BC6"/>
    <w:rsid w:val="00F244BF"/>
    <w:rsid w:val="00F26CCF"/>
    <w:rsid w:val="00F27400"/>
    <w:rsid w:val="00F30579"/>
    <w:rsid w:val="00F32081"/>
    <w:rsid w:val="00F43024"/>
    <w:rsid w:val="00F463C7"/>
    <w:rsid w:val="00F5081D"/>
    <w:rsid w:val="00F605AB"/>
    <w:rsid w:val="00F61060"/>
    <w:rsid w:val="00F645D6"/>
    <w:rsid w:val="00F73109"/>
    <w:rsid w:val="00F77123"/>
    <w:rsid w:val="00F87A09"/>
    <w:rsid w:val="00FA03BC"/>
    <w:rsid w:val="00FA394E"/>
    <w:rsid w:val="00FA6A4A"/>
    <w:rsid w:val="00FB037F"/>
    <w:rsid w:val="00FB126F"/>
    <w:rsid w:val="00FB3213"/>
    <w:rsid w:val="00FB55C5"/>
    <w:rsid w:val="00FB6DC9"/>
    <w:rsid w:val="00FB7056"/>
    <w:rsid w:val="00FC3A4D"/>
    <w:rsid w:val="00FE1FE0"/>
    <w:rsid w:val="00FE4DF1"/>
    <w:rsid w:val="00FF3871"/>
    <w:rsid w:val="00FF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22464"/>
  <w15:chartTrackingRefBased/>
  <w15:docId w15:val="{C57F6F2C-7C52-453E-A986-02E63641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80" w:lineRule="exact"/>
      <w:jc w:val="both"/>
    </w:pPr>
    <w:rPr>
      <w:sz w:val="22"/>
    </w:rPr>
  </w:style>
  <w:style w:type="paragraph" w:styleId="Titolo1">
    <w:name w:val="heading 1"/>
    <w:basedOn w:val="Normale"/>
    <w:next w:val="Normale"/>
    <w:link w:val="Titolo1Carattere"/>
    <w:qFormat/>
    <w:rsid w:val="00F61060"/>
    <w:pPr>
      <w:keepNext/>
      <w:numPr>
        <w:numId w:val="6"/>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6"/>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6"/>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5"/>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3"/>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4"/>
      </w:numPr>
    </w:pPr>
  </w:style>
  <w:style w:type="paragraph" w:customStyle="1" w:styleId="AList">
    <w:name w:val="AList"/>
    <w:basedOn w:val="Normale"/>
    <w:pPr>
      <w:numPr>
        <w:numId w:val="2"/>
      </w:numPr>
      <w:ind w:left="720"/>
    </w:pPr>
  </w:style>
  <w:style w:type="character" w:customStyle="1" w:styleId="Titolo1Carattere">
    <w:name w:val="Titolo 1 Carattere"/>
    <w:link w:val="Titolo1"/>
    <w:rsid w:val="00F61060"/>
    <w:rPr>
      <w:rFonts w:cs="Arial"/>
      <w:b/>
      <w:bCs/>
      <w:kern w:val="32"/>
      <w:sz w:val="22"/>
      <w:szCs w:val="32"/>
      <w:lang w:val="en-US" w:eastAsia="en-US"/>
    </w:rPr>
  </w:style>
  <w:style w:type="character" w:customStyle="1" w:styleId="Titolo2Carattere">
    <w:name w:val="Titolo 2 Carattere"/>
    <w:link w:val="Titolo2"/>
    <w:rsid w:val="00FA03BC"/>
    <w:rPr>
      <w:rFonts w:cs="Arial"/>
      <w:b/>
      <w:bCs/>
      <w:i/>
      <w:iCs/>
      <w:sz w:val="22"/>
      <w:szCs w:val="28"/>
      <w:lang w:val="en-US" w:eastAsia="en-US"/>
    </w:rPr>
  </w:style>
  <w:style w:type="character" w:customStyle="1" w:styleId="Titolo3Carattere">
    <w:name w:val="Titolo 3 Carattere"/>
    <w:link w:val="Titolo3"/>
    <w:rsid w:val="00200467"/>
    <w:rPr>
      <w:i/>
      <w:sz w:val="22"/>
      <w:szCs w:val="24"/>
      <w:lang w:val="en-US" w:eastAsia="en-US"/>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8"/>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7"/>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11"/>
      </w:numPr>
      <w:spacing w:before="120" w:after="120" w:line="280" w:lineRule="exact"/>
      <w:contextualSpacing/>
      <w:jc w:val="both"/>
    </w:pPr>
    <w:rPr>
      <w:sz w:val="22"/>
    </w:rPr>
  </w:style>
  <w:style w:type="paragraph" w:customStyle="1" w:styleId="Arabiclist">
    <w:name w:val="Arabic list"/>
    <w:basedOn w:val="Normale"/>
    <w:rsid w:val="002F7330"/>
    <w:pPr>
      <w:numPr>
        <w:numId w:val="16"/>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21"/>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unhideWhenUsed/>
    <w:rsid w:val="00EB6EB5"/>
    <w:pPr>
      <w:spacing w:before="100" w:beforeAutospacing="1" w:after="100" w:afterAutospacing="1" w:line="240" w:lineRule="auto"/>
      <w:jc w:val="left"/>
    </w:pPr>
    <w:rPr>
      <w:sz w:val="24"/>
      <w:szCs w:val="24"/>
      <w:lang w:val="it-IT" w:eastAsia="it-IT"/>
    </w:rPr>
  </w:style>
  <w:style w:type="character" w:styleId="Menzionenonrisolta">
    <w:name w:val="Unresolved Mention"/>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table" w:customStyle="1" w:styleId="Tabellasemplice-21">
    <w:name w:val="Tabella semplice - 21"/>
    <w:basedOn w:val="Tabellanormale"/>
    <w:next w:val="Tabellasemplice-2"/>
    <w:uiPriority w:val="42"/>
    <w:rsid w:val="00A01B49"/>
    <w:rPr>
      <w:rFonts w:ascii="Calibri" w:eastAsia="Calibri" w:hAnsi="Calibri"/>
      <w:sz w:val="22"/>
      <w:szCs w:val="22"/>
      <w:lang w:val="it-IT"/>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ellasemplice-2">
    <w:name w:val="Plain Table 2"/>
    <w:basedOn w:val="Tabellanormale"/>
    <w:uiPriority w:val="42"/>
    <w:rsid w:val="00A01B4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tml-italic">
    <w:name w:val="html-italic"/>
    <w:basedOn w:val="Carpredefinitoparagrafo"/>
    <w:rsid w:val="00C527BF"/>
  </w:style>
  <w:style w:type="paragraph" w:customStyle="1" w:styleId="html-x">
    <w:name w:val="html-x"/>
    <w:basedOn w:val="Normale"/>
    <w:rsid w:val="004B0E7A"/>
    <w:pPr>
      <w:spacing w:before="100" w:beforeAutospacing="1" w:after="100" w:afterAutospacing="1" w:line="240" w:lineRule="auto"/>
      <w:jc w:val="left"/>
    </w:pPr>
    <w:rPr>
      <w:sz w:val="24"/>
      <w:szCs w:val="24"/>
      <w:lang w:val="it-IT" w:eastAsia="it-IT"/>
    </w:rPr>
  </w:style>
  <w:style w:type="character" w:styleId="Enfasigrassetto">
    <w:name w:val="Strong"/>
    <w:basedOn w:val="Carpredefinitoparagrafo"/>
    <w:uiPriority w:val="22"/>
    <w:qFormat/>
    <w:rsid w:val="00BD75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6292">
      <w:bodyDiv w:val="1"/>
      <w:marLeft w:val="0"/>
      <w:marRight w:val="0"/>
      <w:marTop w:val="0"/>
      <w:marBottom w:val="0"/>
      <w:divBdr>
        <w:top w:val="none" w:sz="0" w:space="0" w:color="auto"/>
        <w:left w:val="none" w:sz="0" w:space="0" w:color="auto"/>
        <w:bottom w:val="none" w:sz="0" w:space="0" w:color="auto"/>
        <w:right w:val="none" w:sz="0" w:space="0" w:color="auto"/>
      </w:divBdr>
    </w:div>
    <w:div w:id="131025990">
      <w:bodyDiv w:val="1"/>
      <w:marLeft w:val="0"/>
      <w:marRight w:val="0"/>
      <w:marTop w:val="0"/>
      <w:marBottom w:val="0"/>
      <w:divBdr>
        <w:top w:val="none" w:sz="0" w:space="0" w:color="auto"/>
        <w:left w:val="none" w:sz="0" w:space="0" w:color="auto"/>
        <w:bottom w:val="none" w:sz="0" w:space="0" w:color="auto"/>
        <w:right w:val="none" w:sz="0" w:space="0" w:color="auto"/>
      </w:divBdr>
    </w:div>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ws-rv961x669_word</Template>
  <TotalTime>0</TotalTime>
  <Pages>10</Pages>
  <Words>2979</Words>
  <Characters>16984</Characters>
  <Application>Microsoft Office Word</Application>
  <DocSecurity>0</DocSecurity>
  <Lines>141</Lines>
  <Paragraphs>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Manager/>
  <Company/>
  <LinksUpToDate>false</LinksUpToDate>
  <CharactersWithSpaces>19924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Marco</cp:lastModifiedBy>
  <cp:revision>52</cp:revision>
  <cp:lastPrinted>2015-09-03T03:20:00Z</cp:lastPrinted>
  <dcterms:created xsi:type="dcterms:W3CDTF">2022-05-10T16:20:00Z</dcterms:created>
  <dcterms:modified xsi:type="dcterms:W3CDTF">2022-07-02T08:22:00Z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