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F642F30"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0F684C">
        <w:rPr>
          <w:color w:val="FF0000"/>
          <w:sz w:val="28"/>
        </w:rPr>
        <w:t xml:space="preserve">053 </w:t>
      </w:r>
    </w:p>
    <w:p w14:paraId="0AA38F2B" w14:textId="2BABD6F8" w:rsidR="009848F2" w:rsidRPr="00A25147" w:rsidRDefault="006E4379" w:rsidP="009848F2">
      <w:pPr>
        <w:pStyle w:val="ChapterTitle"/>
        <w:tabs>
          <w:tab w:val="left" w:pos="5812"/>
          <w:tab w:val="left" w:pos="5954"/>
          <w:tab w:val="left" w:pos="6096"/>
          <w:tab w:val="left" w:pos="6237"/>
        </w:tabs>
        <w:spacing w:after="0" w:line="240" w:lineRule="auto"/>
        <w:ind w:left="0" w:right="-28"/>
        <w:jc w:val="left"/>
        <w:rPr>
          <w:sz w:val="28"/>
        </w:rPr>
      </w:pPr>
      <w:r w:rsidRPr="00A25147">
        <w:rPr>
          <w:sz w:val="28"/>
        </w:rPr>
        <w:t>Carbon</w:t>
      </w:r>
      <w:r w:rsidR="007D0081" w:rsidRPr="00A25147">
        <w:rPr>
          <w:sz w:val="28"/>
        </w:rPr>
        <w:t xml:space="preserve">, </w:t>
      </w:r>
      <w:r w:rsidRPr="00A25147">
        <w:rPr>
          <w:sz w:val="28"/>
        </w:rPr>
        <w:t>Water</w:t>
      </w:r>
      <w:r w:rsidR="007D0081" w:rsidRPr="00A25147">
        <w:rPr>
          <w:sz w:val="28"/>
        </w:rPr>
        <w:t xml:space="preserve"> and Energy</w:t>
      </w:r>
      <w:r w:rsidRPr="00A25147">
        <w:rPr>
          <w:sz w:val="28"/>
        </w:rPr>
        <w:t xml:space="preserve"> Footprint. A sustainability assessment for fruit &amp; vegetable losses in Italy</w:t>
      </w:r>
    </w:p>
    <w:p w14:paraId="5832AD98" w14:textId="77777777" w:rsidR="006E4379" w:rsidRPr="00A25147" w:rsidRDefault="006E4379"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A25147" w:rsidRDefault="007B567F" w:rsidP="00D66ED0">
      <w:pPr>
        <w:pStyle w:val="Abstract"/>
        <w:tabs>
          <w:tab w:val="left" w:pos="6379"/>
        </w:tabs>
        <w:spacing w:line="276" w:lineRule="auto"/>
        <w:ind w:left="0" w:right="-30"/>
        <w:rPr>
          <w:b/>
          <w:sz w:val="22"/>
        </w:rPr>
      </w:pPr>
      <w:r w:rsidRPr="00A25147">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6A11FDF" w14:textId="7FBE0AB1" w:rsidR="00631909" w:rsidRPr="00A25147" w:rsidRDefault="004225DE" w:rsidP="00631909">
      <w:pPr>
        <w:pStyle w:val="Abstract"/>
        <w:tabs>
          <w:tab w:val="left" w:pos="6379"/>
        </w:tabs>
        <w:spacing w:line="276" w:lineRule="auto"/>
        <w:ind w:left="0" w:right="-30"/>
        <w:rPr>
          <w:snapToGrid/>
          <w:sz w:val="22"/>
        </w:rPr>
      </w:pPr>
      <w:r w:rsidRPr="00A25147">
        <w:rPr>
          <w:b/>
          <w:sz w:val="22"/>
        </w:rPr>
        <w:t>Abstract.</w:t>
      </w:r>
      <w:r w:rsidRPr="00A25147">
        <w:rPr>
          <w:sz w:val="22"/>
        </w:rPr>
        <w:t xml:space="preserve"> </w:t>
      </w:r>
      <w:r w:rsidR="003A1EFF" w:rsidRPr="00A25147">
        <w:rPr>
          <w:sz w:val="22"/>
        </w:rPr>
        <w:t>According to Boston Consulting Group, by 2050, food losses and waste</w:t>
      </w:r>
      <w:r w:rsidR="004A3DD0" w:rsidRPr="00A25147">
        <w:rPr>
          <w:sz w:val="22"/>
        </w:rPr>
        <w:t xml:space="preserve"> (FLW)</w:t>
      </w:r>
      <w:r w:rsidR="003A1EFF" w:rsidRPr="00A25147">
        <w:rPr>
          <w:sz w:val="22"/>
        </w:rPr>
        <w:t xml:space="preserve"> could reach 2.1 billion tons, up +40% from the estimates by the FAO in 2011.</w:t>
      </w:r>
      <w:r w:rsidR="004A3DD0" w:rsidRPr="00A25147">
        <w:rPr>
          <w:sz w:val="22"/>
        </w:rPr>
        <w:t xml:space="preserve"> </w:t>
      </w:r>
      <w:r w:rsidR="003A1EFF" w:rsidRPr="00A25147">
        <w:rPr>
          <w:sz w:val="22"/>
        </w:rPr>
        <w:t xml:space="preserve">So, reducing FLW becomes important, not only because of the social and economic impacts they cause but also because when food is lost or wasted, so many resources used in its production are also wasted, as well as large amounts of greenhouse gas emissions (GHGs) are also emitted. Therefore, linking the resource depletion and emissions generated to the production of that food that will be lost or wasted could help to frame the extent of the problem. In this study, therefore, an assessment of the environmental impacts related to fruit and vegetable losses in Italy was carried out through the Carbon and Water Footprint and Cumulative Energy Demand </w:t>
      </w:r>
      <w:proofErr w:type="gramStart"/>
      <w:r w:rsidR="003A1EFF" w:rsidRPr="00A25147">
        <w:rPr>
          <w:sz w:val="22"/>
        </w:rPr>
        <w:t>in order to</w:t>
      </w:r>
      <w:proofErr w:type="gramEnd"/>
      <w:r w:rsidR="003A1EFF" w:rsidRPr="00A25147">
        <w:rPr>
          <w:sz w:val="22"/>
        </w:rPr>
        <w:t xml:space="preserve"> link, based on available data and databases, resource depletion (water and energy) as well as GHGs to the production of that food that was lost in Italy between 2019 and 2020, especially taking fruit and vegetable losses as a reference. The results show that between 2019 and 2020, horticultural losses decreased, which induced a reduction in CF by ‒24% and WF and CED by ‒40%. </w:t>
      </w:r>
      <w:r w:rsidR="004A3DD0" w:rsidRPr="00A25147">
        <w:rPr>
          <w:sz w:val="22"/>
        </w:rPr>
        <w:t>This</w:t>
      </w:r>
      <w:r w:rsidR="003A1EFF" w:rsidRPr="00A25147">
        <w:rPr>
          <w:sz w:val="22"/>
        </w:rPr>
        <w:t xml:space="preserve"> could save and avoid significant amounts of emissions, water, and energy, and could thus fit into the context of achieving some national and international goals, </w:t>
      </w:r>
      <w:r w:rsidR="004A3DD0" w:rsidRPr="00A25147">
        <w:rPr>
          <w:sz w:val="22"/>
        </w:rPr>
        <w:t>as</w:t>
      </w:r>
      <w:r w:rsidR="003A1EFF" w:rsidRPr="00A25147">
        <w:rPr>
          <w:sz w:val="22"/>
        </w:rPr>
        <w:t xml:space="preserve"> the European Green Deal, SDGs, and Directive 2000/60/EC</w:t>
      </w:r>
      <w:r w:rsidR="00631909" w:rsidRPr="00A25147">
        <w:rPr>
          <w:snapToGrid/>
          <w:sz w:val="22"/>
        </w:rPr>
        <w:t>.</w:t>
      </w:r>
    </w:p>
    <w:p w14:paraId="38C60B63" w14:textId="77777777" w:rsidR="004225DE" w:rsidRPr="00A25147" w:rsidRDefault="004225DE" w:rsidP="00D66ED0">
      <w:pPr>
        <w:pStyle w:val="Abstract"/>
        <w:tabs>
          <w:tab w:val="left" w:pos="6379"/>
        </w:tabs>
        <w:spacing w:line="276" w:lineRule="auto"/>
        <w:ind w:left="0" w:right="-30"/>
        <w:rPr>
          <w:snapToGrid/>
          <w:sz w:val="22"/>
        </w:rPr>
      </w:pPr>
    </w:p>
    <w:p w14:paraId="20AF9FE5" w14:textId="6E3116AD" w:rsidR="004225DE" w:rsidRPr="00A25147" w:rsidRDefault="004225DE" w:rsidP="00D66ED0">
      <w:pPr>
        <w:pStyle w:val="Abstract"/>
        <w:tabs>
          <w:tab w:val="left" w:pos="6379"/>
        </w:tabs>
        <w:spacing w:line="276" w:lineRule="auto"/>
        <w:ind w:left="0" w:right="-30"/>
        <w:rPr>
          <w:snapToGrid/>
          <w:sz w:val="22"/>
        </w:rPr>
      </w:pPr>
      <w:r w:rsidRPr="00A25147">
        <w:rPr>
          <w:b/>
          <w:snapToGrid/>
          <w:sz w:val="22"/>
        </w:rPr>
        <w:t>Keywords.</w:t>
      </w:r>
      <w:r w:rsidRPr="00A25147">
        <w:rPr>
          <w:snapToGrid/>
          <w:sz w:val="22"/>
        </w:rPr>
        <w:t xml:space="preserve"> </w:t>
      </w:r>
      <w:r w:rsidR="00631909" w:rsidRPr="00A25147">
        <w:rPr>
          <w:snapToGrid/>
          <w:sz w:val="22"/>
        </w:rPr>
        <w:t>Carbon Footprint, Water Footprint, Cumulative Energy Demand, Italy, Food Losses, Sustainability</w:t>
      </w:r>
      <w:r w:rsidRPr="00A25147">
        <w:rPr>
          <w:snapToGrid/>
          <w:sz w:val="22"/>
        </w:rPr>
        <w:t xml:space="preserve"> </w:t>
      </w:r>
    </w:p>
    <w:p w14:paraId="6CC8925F" w14:textId="38AD2EF3" w:rsidR="007B567F" w:rsidRPr="00A25147" w:rsidRDefault="007B567F" w:rsidP="00D66ED0">
      <w:pPr>
        <w:pStyle w:val="Abstract"/>
        <w:tabs>
          <w:tab w:val="left" w:pos="6379"/>
        </w:tabs>
        <w:spacing w:line="276" w:lineRule="auto"/>
        <w:ind w:left="0" w:right="-30"/>
        <w:rPr>
          <w:snapToGrid/>
          <w:sz w:val="22"/>
        </w:rPr>
      </w:pPr>
      <w:r w:rsidRPr="00A25147">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4C8B5820" w14:textId="4C4F06EC" w:rsidR="00656247" w:rsidRPr="00A25147" w:rsidRDefault="00102024" w:rsidP="00656247">
      <w:pPr>
        <w:pStyle w:val="Titolo1"/>
        <w:numPr>
          <w:ilvl w:val="0"/>
          <w:numId w:val="43"/>
        </w:numPr>
        <w:spacing w:before="0" w:after="0" w:line="276" w:lineRule="auto"/>
        <w:rPr>
          <w:snapToGrid w:val="0"/>
          <w:sz w:val="24"/>
          <w:szCs w:val="36"/>
        </w:rPr>
      </w:pPr>
      <w:r w:rsidRPr="00A25147">
        <w:rPr>
          <w:snapToGrid w:val="0"/>
          <w:sz w:val="24"/>
          <w:szCs w:val="36"/>
        </w:rPr>
        <w:t>Introduction</w:t>
      </w:r>
    </w:p>
    <w:p w14:paraId="0994248F" w14:textId="2CE5BEB1" w:rsidR="00102024" w:rsidRPr="00A25147" w:rsidRDefault="00555AF1" w:rsidP="00AC3039">
      <w:pPr>
        <w:spacing w:line="276" w:lineRule="auto"/>
        <w:rPr>
          <w:sz w:val="24"/>
        </w:rPr>
      </w:pPr>
      <w:r w:rsidRPr="00A25147">
        <w:rPr>
          <w:sz w:val="24"/>
        </w:rPr>
        <w:t>As</w:t>
      </w:r>
      <w:r w:rsidR="003A1EFF" w:rsidRPr="00A25147">
        <w:rPr>
          <w:sz w:val="24"/>
        </w:rPr>
        <w:t xml:space="preserve"> recent</w:t>
      </w:r>
      <w:r w:rsidRPr="00A25147">
        <w:rPr>
          <w:sz w:val="24"/>
        </w:rPr>
        <w:t>ly</w:t>
      </w:r>
      <w:r w:rsidR="003A1EFF" w:rsidRPr="00A25147">
        <w:rPr>
          <w:sz w:val="24"/>
        </w:rPr>
        <w:t xml:space="preserve"> estimate</w:t>
      </w:r>
      <w:r w:rsidRPr="00A25147">
        <w:rPr>
          <w:sz w:val="24"/>
        </w:rPr>
        <w:t>d</w:t>
      </w:r>
      <w:r w:rsidR="003A1EFF" w:rsidRPr="00A25147">
        <w:rPr>
          <w:sz w:val="24"/>
        </w:rPr>
        <w:t xml:space="preserve"> by the Food and Agriculture Organization (FAO), the agri-food sector annually causes about 16.5 billion tons of greenhouse gases (GHGs) (including 400 million tons of CO</w:t>
      </w:r>
      <w:r w:rsidR="003A1EFF" w:rsidRPr="00A25147">
        <w:rPr>
          <w:sz w:val="24"/>
          <w:vertAlign w:val="subscript"/>
        </w:rPr>
        <w:t>2</w:t>
      </w:r>
      <w:r w:rsidR="003A1EFF" w:rsidRPr="00A25147">
        <w:rPr>
          <w:sz w:val="24"/>
        </w:rPr>
        <w:t xml:space="preserve"> eq in Europe) (European Environment Agency, 2021) corresponding to 31% of total anthropogenic emissions, as well as the depletion of significant amounts of natural resources, including water, soil, energy, fossil fuels and fertilizers (</w:t>
      </w:r>
      <w:proofErr w:type="spellStart"/>
      <w:r w:rsidR="003A1EFF" w:rsidRPr="00A25147">
        <w:rPr>
          <w:sz w:val="24"/>
        </w:rPr>
        <w:t>Tubiello</w:t>
      </w:r>
      <w:proofErr w:type="spellEnd"/>
      <w:r w:rsidR="003A1EFF" w:rsidRPr="00A25147">
        <w:rPr>
          <w:sz w:val="24"/>
        </w:rPr>
        <w:t xml:space="preserve"> et al., 2022). Agri-food production, therefore, has a great impact on the environment, whether food is consumed or not, and in a context of competition for limited natural resources, FLW is a particularly sensitive </w:t>
      </w:r>
      <w:r w:rsidR="003A1EFF" w:rsidRPr="00A25147">
        <w:rPr>
          <w:sz w:val="24"/>
        </w:rPr>
        <w:lastRenderedPageBreak/>
        <w:t>issue, as well as a threat to the livelihood of future generations. The management of FLW is taken up in the 17 Sustainable Development Goals (SDGs), especially in sub-goal 12.3</w:t>
      </w:r>
      <w:r w:rsidR="00E81B98" w:rsidRPr="00A25147">
        <w:rPr>
          <w:sz w:val="24"/>
        </w:rPr>
        <w:t xml:space="preserve"> (</w:t>
      </w:r>
      <w:r w:rsidR="00E81B98" w:rsidRPr="00A25147">
        <w:rPr>
          <w:i/>
          <w:iCs/>
          <w:sz w:val="24"/>
        </w:rPr>
        <w:t>h</w:t>
      </w:r>
      <w:r w:rsidR="003A1EFF" w:rsidRPr="00A25147">
        <w:rPr>
          <w:i/>
          <w:iCs/>
          <w:sz w:val="24"/>
        </w:rPr>
        <w:t>alve global food waste per capita by 2030</w:t>
      </w:r>
      <w:r w:rsidR="00E81B98" w:rsidRPr="00A25147">
        <w:rPr>
          <w:sz w:val="24"/>
        </w:rPr>
        <w:t>)</w:t>
      </w:r>
      <w:r w:rsidR="003A1EFF" w:rsidRPr="00A25147">
        <w:rPr>
          <w:sz w:val="24"/>
        </w:rPr>
        <w:t>. To date, in reality, very little progress has been made, and even risks going in the opposite direction, so much so that according to the Boston Consulting Group (2018), by 2050, FLW could reach 2.1 billion tons, up +40% from the figures estimated by the FAO in 2011 (Gustavsson et al., 2011). In the face of this, reducing FLW becomes important, not only because of the social and economic impacts (BCG, 2018) that they cause but also because when food is lost or wasted, so many resources such as water</w:t>
      </w:r>
      <w:r w:rsidR="000104D9" w:rsidRPr="00A25147">
        <w:rPr>
          <w:sz w:val="24"/>
        </w:rPr>
        <w:t>,</w:t>
      </w:r>
      <w:r w:rsidR="003A1EFF" w:rsidRPr="00A25147">
        <w:rPr>
          <w:sz w:val="24"/>
        </w:rPr>
        <w:t xml:space="preserve"> energy</w:t>
      </w:r>
      <w:r w:rsidR="000104D9" w:rsidRPr="00A25147">
        <w:rPr>
          <w:sz w:val="24"/>
        </w:rPr>
        <w:t xml:space="preserve">, </w:t>
      </w:r>
      <w:r w:rsidR="003A1EFF" w:rsidRPr="00A25147">
        <w:rPr>
          <w:sz w:val="24"/>
        </w:rPr>
        <w:t>fossil fuels</w:t>
      </w:r>
      <w:r w:rsidR="00E81B98" w:rsidRPr="00A25147">
        <w:rPr>
          <w:sz w:val="24"/>
        </w:rPr>
        <w:t xml:space="preserve">, </w:t>
      </w:r>
      <w:r w:rsidR="003A1EFF" w:rsidRPr="00A25147">
        <w:rPr>
          <w:sz w:val="24"/>
        </w:rPr>
        <w:t xml:space="preserve">fertilizers used in its production are also wasted (FAO, 2013). Therefore, linking resource depletion and the emissions generated to the </w:t>
      </w:r>
      <w:r w:rsidR="000104D9" w:rsidRPr="00A25147">
        <w:rPr>
          <w:sz w:val="24"/>
        </w:rPr>
        <w:t>food production that will be lost or wasted could help frame the problem's extent</w:t>
      </w:r>
      <w:r w:rsidR="003A1EFF" w:rsidRPr="00A25147">
        <w:rPr>
          <w:sz w:val="24"/>
        </w:rPr>
        <w:t>. This is also part of the ambitions set out in the European Green Deal, which aims to make Europe climate neutral by 2050, and a key to this could be reducing emissions from the agricultural sector by reducing leakage. In this study, therefore, an assessment of environmental impacts related to food losses in Italy was carried out, and Carbon Footprint (CF) (IPCC, 2006), Water Footprint (WF) (</w:t>
      </w:r>
      <w:proofErr w:type="spellStart"/>
      <w:r w:rsidR="003A1EFF" w:rsidRPr="00A25147">
        <w:rPr>
          <w:sz w:val="24"/>
        </w:rPr>
        <w:t>Mekkonnen</w:t>
      </w:r>
      <w:proofErr w:type="spellEnd"/>
      <w:r w:rsidR="003A1EFF" w:rsidRPr="00A25147">
        <w:rPr>
          <w:sz w:val="24"/>
        </w:rPr>
        <w:t xml:space="preserve"> &amp; Hoekstra, 2011) and Cumulative Energy Demand (CED) (VDI, 1997) </w:t>
      </w:r>
      <w:r w:rsidR="000104D9" w:rsidRPr="00A25147">
        <w:rPr>
          <w:sz w:val="24"/>
        </w:rPr>
        <w:t xml:space="preserve">were used for this purpose. </w:t>
      </w:r>
      <w:r w:rsidR="003A1EFF" w:rsidRPr="00A25147">
        <w:rPr>
          <w:sz w:val="24"/>
        </w:rPr>
        <w:t xml:space="preserve">The objective was to link, based on available data and databases, resource depletion (water and energy) as well as </w:t>
      </w:r>
      <w:r w:rsidR="00E81B98" w:rsidRPr="00A25147">
        <w:rPr>
          <w:sz w:val="24"/>
        </w:rPr>
        <w:t>GHGs</w:t>
      </w:r>
      <w:r w:rsidR="003A1EFF" w:rsidRPr="00A25147">
        <w:rPr>
          <w:sz w:val="24"/>
        </w:rPr>
        <w:t xml:space="preserve"> emissions to the production of that food lost in Italy between 2019 and 2020 (pre</w:t>
      </w:r>
      <w:r w:rsidR="00540D3A" w:rsidRPr="00A25147">
        <w:rPr>
          <w:sz w:val="24"/>
        </w:rPr>
        <w:t>-</w:t>
      </w:r>
      <w:r w:rsidR="003A1EFF" w:rsidRPr="00A25147">
        <w:rPr>
          <w:sz w:val="24"/>
        </w:rPr>
        <w:t xml:space="preserve"> and post-pandemic), especially taking fruit and vegetable losses as a reference. The data used within the study were compiled based on fruit and vegetable production in Italy (ISTAT, 2021), and thus fruit and vegetable losses as of 2019 and those as of 2020</w:t>
      </w:r>
      <w:r w:rsidR="00CD5786" w:rsidRPr="00A25147">
        <w:rPr>
          <w:sz w:val="24"/>
        </w:rPr>
        <w:t xml:space="preserve"> were considered</w:t>
      </w:r>
      <w:r w:rsidR="003A1EFF" w:rsidRPr="00A25147">
        <w:rPr>
          <w:sz w:val="24"/>
        </w:rPr>
        <w:t xml:space="preserve">. Due to the limited availability of data, some foods were excluded, while due to the absence of a specific database for Italian fruit and vegetable production, it was assumed to consider international databases that estimate an average production of a given type of food </w:t>
      </w:r>
      <w:r w:rsidR="00603EFB" w:rsidRPr="00A25147">
        <w:rPr>
          <w:sz w:val="24"/>
        </w:rPr>
        <w:t>globally</w:t>
      </w:r>
      <w:r w:rsidR="00102024" w:rsidRPr="00A25147">
        <w:rPr>
          <w:sz w:val="24"/>
        </w:rPr>
        <w:t>.</w:t>
      </w:r>
    </w:p>
    <w:p w14:paraId="4252E073" w14:textId="77777777" w:rsidR="00656247" w:rsidRPr="00A25147" w:rsidRDefault="00656247" w:rsidP="00102024">
      <w:pPr>
        <w:rPr>
          <w:sz w:val="24"/>
        </w:rPr>
      </w:pPr>
    </w:p>
    <w:p w14:paraId="0AA0E32A" w14:textId="6EBC9813" w:rsidR="00656247" w:rsidRPr="00A25147" w:rsidRDefault="00656247" w:rsidP="00BB4022">
      <w:pPr>
        <w:pStyle w:val="Titolo1"/>
        <w:numPr>
          <w:ilvl w:val="0"/>
          <w:numId w:val="43"/>
        </w:numPr>
        <w:spacing w:before="0" w:after="0" w:line="276" w:lineRule="auto"/>
        <w:rPr>
          <w:snapToGrid w:val="0"/>
          <w:sz w:val="24"/>
          <w:szCs w:val="36"/>
        </w:rPr>
      </w:pPr>
      <w:r w:rsidRPr="00A25147">
        <w:rPr>
          <w:snapToGrid w:val="0"/>
          <w:sz w:val="24"/>
          <w:szCs w:val="36"/>
        </w:rPr>
        <w:t>Material and methods</w:t>
      </w:r>
    </w:p>
    <w:p w14:paraId="542305CA" w14:textId="4B0E3E6D" w:rsidR="004A5FF5" w:rsidRPr="00A25147" w:rsidRDefault="004A5FF5" w:rsidP="004A5FF5">
      <w:pPr>
        <w:pStyle w:val="Paragrafoelenco"/>
        <w:numPr>
          <w:ilvl w:val="1"/>
          <w:numId w:val="44"/>
        </w:numPr>
        <w:rPr>
          <w:b/>
          <w:bCs/>
          <w:i/>
          <w:iCs/>
          <w:sz w:val="24"/>
          <w:szCs w:val="22"/>
        </w:rPr>
      </w:pPr>
      <w:r w:rsidRPr="00A25147">
        <w:rPr>
          <w:b/>
          <w:bCs/>
          <w:i/>
          <w:iCs/>
          <w:sz w:val="24"/>
          <w:szCs w:val="22"/>
        </w:rPr>
        <w:t>Methods</w:t>
      </w:r>
    </w:p>
    <w:p w14:paraId="60647001" w14:textId="34CC80E1" w:rsidR="00BB4022" w:rsidRPr="00A25147" w:rsidRDefault="00BB4022" w:rsidP="004A5FF5">
      <w:pPr>
        <w:pStyle w:val="Titolo2"/>
        <w:numPr>
          <w:ilvl w:val="2"/>
          <w:numId w:val="44"/>
        </w:numPr>
        <w:spacing w:before="0" w:after="0" w:line="276" w:lineRule="auto"/>
        <w:rPr>
          <w:b w:val="0"/>
          <w:bCs w:val="0"/>
          <w:sz w:val="24"/>
          <w:szCs w:val="32"/>
        </w:rPr>
      </w:pPr>
      <w:r w:rsidRPr="00A25147">
        <w:rPr>
          <w:b w:val="0"/>
          <w:bCs w:val="0"/>
          <w:sz w:val="24"/>
          <w:szCs w:val="32"/>
        </w:rPr>
        <w:lastRenderedPageBreak/>
        <w:t>Carbon Footprint</w:t>
      </w:r>
    </w:p>
    <w:p w14:paraId="45B2CFCB" w14:textId="10D33D33" w:rsidR="00BB4022" w:rsidRPr="00A25147" w:rsidRDefault="003A1EFF" w:rsidP="00AC3039">
      <w:pPr>
        <w:spacing w:line="276" w:lineRule="auto"/>
        <w:rPr>
          <w:sz w:val="24"/>
        </w:rPr>
      </w:pPr>
      <w:r w:rsidRPr="00A25147">
        <w:rPr>
          <w:sz w:val="24"/>
        </w:rPr>
        <w:t>CF expresses in kg CO</w:t>
      </w:r>
      <w:r w:rsidRPr="00A25147">
        <w:rPr>
          <w:sz w:val="24"/>
          <w:vertAlign w:val="subscript"/>
        </w:rPr>
        <w:t>2</w:t>
      </w:r>
      <w:r w:rsidRPr="00A25147">
        <w:rPr>
          <w:sz w:val="24"/>
        </w:rPr>
        <w:t xml:space="preserve"> eq the direct and indirect climate-change emissions caused by a product or process, taking Carbon Dioxide (CO</w:t>
      </w:r>
      <w:r w:rsidRPr="00A25147">
        <w:rPr>
          <w:sz w:val="24"/>
          <w:vertAlign w:val="subscript"/>
        </w:rPr>
        <w:t>2</w:t>
      </w:r>
      <w:r w:rsidRPr="00A25147">
        <w:rPr>
          <w:sz w:val="24"/>
        </w:rPr>
        <w:t>), Methane (CH</w:t>
      </w:r>
      <w:r w:rsidRPr="00A25147">
        <w:rPr>
          <w:sz w:val="24"/>
          <w:vertAlign w:val="subscript"/>
        </w:rPr>
        <w:t>4</w:t>
      </w:r>
      <w:r w:rsidRPr="00A25147">
        <w:rPr>
          <w:sz w:val="24"/>
        </w:rPr>
        <w:t>), Nitrous Oxide (N</w:t>
      </w:r>
      <w:r w:rsidRPr="00A25147">
        <w:rPr>
          <w:sz w:val="24"/>
          <w:vertAlign w:val="subscript"/>
        </w:rPr>
        <w:t>2</w:t>
      </w:r>
      <w:r w:rsidRPr="00A25147">
        <w:rPr>
          <w:sz w:val="24"/>
        </w:rPr>
        <w:t>O), Hydrocarbons, Hydrofluorocarbons (HFCs), Sulfur Hexafluoride (SF</w:t>
      </w:r>
      <w:r w:rsidRPr="00A25147">
        <w:rPr>
          <w:sz w:val="24"/>
          <w:vertAlign w:val="subscript"/>
        </w:rPr>
        <w:t>6</w:t>
      </w:r>
      <w:r w:rsidRPr="00A25147">
        <w:rPr>
          <w:sz w:val="24"/>
        </w:rPr>
        <w:t xml:space="preserve">) and Perfluorocarbons (PFCs) </w:t>
      </w:r>
      <w:r w:rsidR="00603EFB" w:rsidRPr="00A25147">
        <w:rPr>
          <w:sz w:val="24"/>
        </w:rPr>
        <w:t xml:space="preserve">as a reference </w:t>
      </w:r>
      <w:r w:rsidRPr="00A25147">
        <w:rPr>
          <w:sz w:val="24"/>
        </w:rPr>
        <w:t>(IPCC, 2006)</w:t>
      </w:r>
      <w:r w:rsidR="00CD5786" w:rsidRPr="00A25147">
        <w:rPr>
          <w:sz w:val="24"/>
        </w:rPr>
        <w:t xml:space="preserve">, and </w:t>
      </w:r>
      <w:r w:rsidRPr="00A25147">
        <w:rPr>
          <w:sz w:val="24"/>
        </w:rPr>
        <w:t xml:space="preserve">calculated in accordance with Forster et al. (2007) </w:t>
      </w:r>
      <w:r w:rsidR="00CD5786" w:rsidRPr="00A25147">
        <w:rPr>
          <w:sz w:val="24"/>
        </w:rPr>
        <w:t>(eq.1)</w:t>
      </w:r>
      <w:r w:rsidRPr="00A25147">
        <w:rPr>
          <w:sz w:val="24"/>
        </w:rPr>
        <w:t xml:space="preserve"> </w:t>
      </w:r>
    </w:p>
    <w:p w14:paraId="0FE602BA" w14:textId="77777777" w:rsidR="003A1EFF" w:rsidRPr="00A25147" w:rsidRDefault="003A1EFF" w:rsidP="00BB4022">
      <w:pPr>
        <w:rPr>
          <w:sz w:val="24"/>
        </w:rPr>
      </w:pPr>
    </w:p>
    <w:p w14:paraId="0986374C" w14:textId="650BF388" w:rsidR="00BB4022" w:rsidRPr="00A25147" w:rsidRDefault="00CD5786" w:rsidP="00CD5786">
      <w:pPr>
        <w:tabs>
          <w:tab w:val="left" w:pos="560"/>
          <w:tab w:val="left" w:pos="4382"/>
          <w:tab w:val="right" w:pos="7200"/>
        </w:tabs>
        <w:spacing w:line="240" w:lineRule="auto"/>
        <w:jc w:val="center"/>
        <w:rPr>
          <w:sz w:val="24"/>
        </w:rPr>
      </w:pPr>
      <m:oMath>
        <m:r>
          <w:rPr>
            <w:rFonts w:ascii="Cambria Math" w:eastAsia="Palatino Linotype" w:hAnsi="Cambria Math"/>
          </w:rPr>
          <m:t>CF=</m:t>
        </m:r>
        <m:nary>
          <m:naryPr>
            <m:chr m:val="∑"/>
            <m:limLoc m:val="undOvr"/>
            <m:subHide m:val="1"/>
            <m:supHide m:val="1"/>
            <m:ctrlPr>
              <w:rPr>
                <w:rFonts w:ascii="Cambria Math" w:eastAsia="Palatino Linotype" w:hAnsi="Cambria Math"/>
                <w:i/>
              </w:rPr>
            </m:ctrlPr>
          </m:naryPr>
          <m:sub/>
          <m:sup/>
          <m:e>
            <m:sSub>
              <m:sSubPr>
                <m:ctrlPr>
                  <w:rPr>
                    <w:rFonts w:ascii="Cambria Math" w:eastAsia="Palatino Linotype" w:hAnsi="Cambria Math"/>
                    <w:i/>
                  </w:rPr>
                </m:ctrlPr>
              </m:sSubPr>
              <m:e>
                <m:r>
                  <w:rPr>
                    <w:rFonts w:ascii="Cambria Math" w:eastAsia="Palatino Linotype" w:hAnsi="Cambria Math"/>
                  </w:rPr>
                  <m:t>(G.G.</m:t>
                </m:r>
              </m:e>
              <m:sub>
                <m:r>
                  <w:rPr>
                    <w:rFonts w:ascii="Cambria Math" w:eastAsia="Palatino Linotype" w:hAnsi="Cambria Math"/>
                  </w:rPr>
                  <m:t>i</m:t>
                </m:r>
              </m:sub>
            </m:sSub>
            <m:r>
              <w:rPr>
                <w:rFonts w:ascii="Cambria Math" w:eastAsia="Palatino Linotype" w:hAnsi="Cambria Math"/>
              </w:rPr>
              <m:t xml:space="preserve"> × </m:t>
            </m:r>
            <m:sSub>
              <m:sSubPr>
                <m:ctrlPr>
                  <w:rPr>
                    <w:rFonts w:ascii="Cambria Math" w:eastAsia="Palatino Linotype" w:hAnsi="Cambria Math"/>
                    <w:i/>
                  </w:rPr>
                </m:ctrlPr>
              </m:sSubPr>
              <m:e>
                <m:r>
                  <w:rPr>
                    <w:rFonts w:ascii="Cambria Math" w:eastAsia="Palatino Linotype" w:hAnsi="Cambria Math"/>
                  </w:rPr>
                  <m:t>k</m:t>
                </m:r>
              </m:e>
              <m:sub>
                <m:r>
                  <w:rPr>
                    <w:rFonts w:ascii="Cambria Math" w:eastAsia="Palatino Linotype" w:hAnsi="Cambria Math"/>
                  </w:rPr>
                  <m:t>i</m:t>
                </m:r>
              </m:sub>
            </m:sSub>
            <m:r>
              <w:rPr>
                <w:rFonts w:ascii="Cambria Math" w:eastAsia="Palatino Linotype" w:hAnsi="Cambria Math"/>
              </w:rPr>
              <m:t>)</m:t>
            </m:r>
          </m:e>
        </m:nary>
      </m:oMath>
      <w:r w:rsidR="00BB4022" w:rsidRPr="00A25147">
        <w:t xml:space="preserve"> </w:t>
      </w:r>
      <w:r w:rsidR="00BB4022" w:rsidRPr="00A25147">
        <w:tab/>
        <w:t>(1)</w:t>
      </w:r>
    </w:p>
    <w:p w14:paraId="074F746A" w14:textId="77777777" w:rsidR="00BB4022" w:rsidRPr="00A25147" w:rsidRDefault="00BB4022" w:rsidP="00BB4022">
      <w:pPr>
        <w:rPr>
          <w:sz w:val="24"/>
        </w:rPr>
      </w:pPr>
    </w:p>
    <w:p w14:paraId="78FC85AB" w14:textId="3524DC36" w:rsidR="00656247" w:rsidRPr="00A25147" w:rsidRDefault="00BB4022" w:rsidP="00BB4022">
      <w:pPr>
        <w:rPr>
          <w:sz w:val="24"/>
        </w:rPr>
      </w:pPr>
      <w:r w:rsidRPr="00A25147">
        <w:rPr>
          <w:sz w:val="24"/>
        </w:rPr>
        <w:t xml:space="preserve">Where </w:t>
      </w:r>
      <w:proofErr w:type="spellStart"/>
      <w:r w:rsidRPr="00A25147">
        <w:rPr>
          <w:sz w:val="24"/>
        </w:rPr>
        <w:t>G.G.</w:t>
      </w:r>
      <w:r w:rsidRPr="00A25147">
        <w:rPr>
          <w:sz w:val="24"/>
          <w:vertAlign w:val="subscript"/>
        </w:rPr>
        <w:t>i</w:t>
      </w:r>
      <w:proofErr w:type="spellEnd"/>
      <w:r w:rsidRPr="00A25147">
        <w:rPr>
          <w:sz w:val="24"/>
        </w:rPr>
        <w:t xml:space="preserve"> is the amount of </w:t>
      </w:r>
      <w:r w:rsidR="00555AF1" w:rsidRPr="00A25147">
        <w:rPr>
          <w:sz w:val="24"/>
        </w:rPr>
        <w:t>GHGs</w:t>
      </w:r>
      <w:r w:rsidRPr="00A25147">
        <w:rPr>
          <w:sz w:val="24"/>
        </w:rPr>
        <w:t xml:space="preserve"> produced and k</w:t>
      </w:r>
      <w:r w:rsidRPr="00A25147">
        <w:rPr>
          <w:sz w:val="24"/>
          <w:vertAlign w:val="subscript"/>
        </w:rPr>
        <w:t>i</w:t>
      </w:r>
      <w:r w:rsidRPr="00A25147">
        <w:rPr>
          <w:sz w:val="24"/>
        </w:rPr>
        <w:t xml:space="preserve"> is the CO</w:t>
      </w:r>
      <w:r w:rsidRPr="00A25147">
        <w:rPr>
          <w:sz w:val="24"/>
          <w:vertAlign w:val="subscript"/>
        </w:rPr>
        <w:t>2</w:t>
      </w:r>
      <w:r w:rsidRPr="00A25147">
        <w:rPr>
          <w:sz w:val="24"/>
        </w:rPr>
        <w:t xml:space="preserve"> </w:t>
      </w:r>
      <w:r w:rsidR="00555AF1" w:rsidRPr="00A25147">
        <w:rPr>
          <w:sz w:val="24"/>
        </w:rPr>
        <w:t>eq</w:t>
      </w:r>
      <w:r w:rsidRPr="00A25147">
        <w:rPr>
          <w:sz w:val="24"/>
        </w:rPr>
        <w:t xml:space="preserve"> coefficient for that gas.</w:t>
      </w:r>
    </w:p>
    <w:p w14:paraId="69FD2E8A" w14:textId="77777777" w:rsidR="00102024" w:rsidRPr="00A25147" w:rsidRDefault="00102024" w:rsidP="00D66ED0">
      <w:pPr>
        <w:pStyle w:val="Abstract"/>
        <w:tabs>
          <w:tab w:val="left" w:pos="6379"/>
        </w:tabs>
        <w:spacing w:line="276" w:lineRule="auto"/>
        <w:ind w:left="0" w:right="-30"/>
        <w:rPr>
          <w:snapToGrid/>
          <w:sz w:val="24"/>
        </w:rPr>
      </w:pPr>
    </w:p>
    <w:p w14:paraId="6603E4E2" w14:textId="1CC6043F" w:rsidR="00BB4022" w:rsidRPr="00A25147" w:rsidRDefault="00BB4022" w:rsidP="004A5FF5">
      <w:pPr>
        <w:pStyle w:val="Titolo2"/>
        <w:numPr>
          <w:ilvl w:val="2"/>
          <w:numId w:val="46"/>
        </w:numPr>
        <w:spacing w:before="0" w:after="0" w:line="276" w:lineRule="auto"/>
        <w:rPr>
          <w:b w:val="0"/>
          <w:bCs w:val="0"/>
          <w:sz w:val="24"/>
          <w:szCs w:val="32"/>
        </w:rPr>
      </w:pPr>
      <w:r w:rsidRPr="00A25147">
        <w:rPr>
          <w:b w:val="0"/>
          <w:bCs w:val="0"/>
          <w:sz w:val="24"/>
          <w:szCs w:val="32"/>
        </w:rPr>
        <w:t>Water Footprint</w:t>
      </w:r>
    </w:p>
    <w:p w14:paraId="00F4545D" w14:textId="2800ED8B" w:rsidR="00BB4022" w:rsidRPr="00A25147" w:rsidRDefault="00555AF1" w:rsidP="00BB4022">
      <w:pPr>
        <w:pStyle w:val="Abstract"/>
        <w:tabs>
          <w:tab w:val="left" w:pos="6379"/>
        </w:tabs>
        <w:spacing w:line="276" w:lineRule="auto"/>
        <w:ind w:left="0" w:right="-30"/>
        <w:rPr>
          <w:snapToGrid/>
          <w:sz w:val="24"/>
        </w:rPr>
      </w:pPr>
      <w:r w:rsidRPr="00A25147">
        <w:rPr>
          <w:snapToGrid/>
          <w:sz w:val="24"/>
        </w:rPr>
        <w:t>WF</w:t>
      </w:r>
      <w:r w:rsidR="003A1EFF" w:rsidRPr="00A25147">
        <w:rPr>
          <w:snapToGrid/>
          <w:sz w:val="24"/>
        </w:rPr>
        <w:t xml:space="preserve"> (i.e., the direct and indirect use of freshwater required to arrive at the production of a good) was calculated following the framework of </w:t>
      </w:r>
      <w:proofErr w:type="spellStart"/>
      <w:r w:rsidR="003A1EFF" w:rsidRPr="00A25147">
        <w:rPr>
          <w:snapToGrid/>
          <w:sz w:val="24"/>
        </w:rPr>
        <w:t>Mekonnen</w:t>
      </w:r>
      <w:proofErr w:type="spellEnd"/>
      <w:r w:rsidR="003A1EFF" w:rsidRPr="00A25147">
        <w:rPr>
          <w:snapToGrid/>
          <w:sz w:val="24"/>
        </w:rPr>
        <w:t xml:space="preserve"> and Hoekstra et al. (2011) as the sum of the blue</w:t>
      </w:r>
      <w:r w:rsidR="00FD5A7D" w:rsidRPr="00A25147">
        <w:rPr>
          <w:snapToGrid/>
          <w:sz w:val="24"/>
        </w:rPr>
        <w:t xml:space="preserve"> </w:t>
      </w:r>
      <w:r w:rsidR="00FD5A7D" w:rsidRPr="00A25147">
        <w:rPr>
          <w:sz w:val="24"/>
          <w:szCs w:val="24"/>
        </w:rPr>
        <w:t>(</w:t>
      </w:r>
      <w:proofErr w:type="spellStart"/>
      <w:r w:rsidR="00FD5A7D" w:rsidRPr="00A25147">
        <w:rPr>
          <w:sz w:val="24"/>
          <w:szCs w:val="24"/>
        </w:rPr>
        <w:t>WF</w:t>
      </w:r>
      <w:r w:rsidR="00FD5A7D" w:rsidRPr="00A25147">
        <w:rPr>
          <w:sz w:val="24"/>
          <w:szCs w:val="24"/>
          <w:vertAlign w:val="subscript"/>
        </w:rPr>
        <w:t>blue</w:t>
      </w:r>
      <w:proofErr w:type="spellEnd"/>
      <w:r w:rsidR="00FD5A7D" w:rsidRPr="00A25147">
        <w:rPr>
          <w:sz w:val="24"/>
          <w:szCs w:val="24"/>
        </w:rPr>
        <w:t>)</w:t>
      </w:r>
      <w:r w:rsidR="003A1EFF" w:rsidRPr="00A25147">
        <w:rPr>
          <w:snapToGrid/>
          <w:sz w:val="24"/>
        </w:rPr>
        <w:t>, green</w:t>
      </w:r>
      <w:r w:rsidR="00FD5A7D" w:rsidRPr="00A25147">
        <w:rPr>
          <w:snapToGrid/>
          <w:sz w:val="24"/>
        </w:rPr>
        <w:t xml:space="preserve"> </w:t>
      </w:r>
      <w:r w:rsidR="00FD5A7D" w:rsidRPr="00A25147">
        <w:rPr>
          <w:sz w:val="24"/>
          <w:szCs w:val="24"/>
        </w:rPr>
        <w:t>(</w:t>
      </w:r>
      <w:proofErr w:type="spellStart"/>
      <w:r w:rsidR="00FD5A7D" w:rsidRPr="00A25147">
        <w:rPr>
          <w:sz w:val="24"/>
          <w:szCs w:val="24"/>
        </w:rPr>
        <w:t>WF</w:t>
      </w:r>
      <w:r w:rsidR="00FD5A7D" w:rsidRPr="00A25147">
        <w:rPr>
          <w:sz w:val="24"/>
          <w:szCs w:val="24"/>
          <w:vertAlign w:val="subscript"/>
        </w:rPr>
        <w:t>green</w:t>
      </w:r>
      <w:proofErr w:type="spellEnd"/>
      <w:r w:rsidR="00FD5A7D" w:rsidRPr="00A25147">
        <w:rPr>
          <w:sz w:val="24"/>
          <w:szCs w:val="24"/>
        </w:rPr>
        <w:t>)</w:t>
      </w:r>
      <w:r w:rsidR="003A1EFF" w:rsidRPr="00A25147">
        <w:rPr>
          <w:snapToGrid/>
          <w:sz w:val="24"/>
        </w:rPr>
        <w:t>, and gr</w:t>
      </w:r>
      <w:r w:rsidR="005300D8" w:rsidRPr="00A25147">
        <w:rPr>
          <w:snapToGrid/>
          <w:sz w:val="24"/>
        </w:rPr>
        <w:t>e</w:t>
      </w:r>
      <w:r w:rsidR="003A1EFF" w:rsidRPr="00A25147">
        <w:rPr>
          <w:snapToGrid/>
          <w:sz w:val="24"/>
        </w:rPr>
        <w:t xml:space="preserve">y </w:t>
      </w:r>
      <w:r w:rsidR="00FD5A7D" w:rsidRPr="00A25147">
        <w:rPr>
          <w:snapToGrid/>
          <w:sz w:val="24"/>
        </w:rPr>
        <w:t>(</w:t>
      </w:r>
      <w:proofErr w:type="spellStart"/>
      <w:r w:rsidR="00FD5A7D" w:rsidRPr="00A25147">
        <w:rPr>
          <w:snapToGrid/>
          <w:sz w:val="24"/>
        </w:rPr>
        <w:t>WF</w:t>
      </w:r>
      <w:r w:rsidR="00FD5A7D" w:rsidRPr="00A25147">
        <w:rPr>
          <w:snapToGrid/>
          <w:sz w:val="24"/>
          <w:vertAlign w:val="subscript"/>
        </w:rPr>
        <w:t>grey</w:t>
      </w:r>
      <w:proofErr w:type="spellEnd"/>
      <w:r w:rsidR="00FD5A7D" w:rsidRPr="00A25147">
        <w:rPr>
          <w:snapToGrid/>
          <w:sz w:val="24"/>
        </w:rPr>
        <w:t xml:space="preserve">) </w:t>
      </w:r>
      <w:r w:rsidR="003A1EFF" w:rsidRPr="00A25147">
        <w:rPr>
          <w:snapToGrid/>
          <w:sz w:val="24"/>
        </w:rPr>
        <w:t xml:space="preserve">water footprint of the </w:t>
      </w:r>
      <w:proofErr w:type="spellStart"/>
      <w:r w:rsidR="003A1EFF" w:rsidRPr="00A25147">
        <w:rPr>
          <w:snapToGrid/>
          <w:sz w:val="24"/>
        </w:rPr>
        <w:t>i-th</w:t>
      </w:r>
      <w:proofErr w:type="spellEnd"/>
      <w:r w:rsidR="003A1EFF" w:rsidRPr="00A25147">
        <w:rPr>
          <w:snapToGrid/>
          <w:sz w:val="24"/>
        </w:rPr>
        <w:t xml:space="preserve"> agri-food products (eq. 2).</w:t>
      </w:r>
    </w:p>
    <w:p w14:paraId="2A6827CF" w14:textId="77777777" w:rsidR="000104D9" w:rsidRPr="00A25147" w:rsidRDefault="000104D9" w:rsidP="00BB4022">
      <w:pPr>
        <w:pStyle w:val="Abstract"/>
        <w:tabs>
          <w:tab w:val="left" w:pos="6379"/>
        </w:tabs>
        <w:spacing w:line="276" w:lineRule="auto"/>
        <w:ind w:left="0" w:right="-30"/>
        <w:rPr>
          <w:snapToGrid/>
          <w:sz w:val="24"/>
        </w:rPr>
      </w:pPr>
    </w:p>
    <w:p w14:paraId="32F5E7DD" w14:textId="7184C52B" w:rsidR="00BB4022" w:rsidRPr="00A25147" w:rsidRDefault="000104D9" w:rsidP="000104D9">
      <w:pPr>
        <w:pStyle w:val="Abstract"/>
        <w:tabs>
          <w:tab w:val="left" w:pos="6379"/>
        </w:tabs>
        <w:spacing w:line="276" w:lineRule="auto"/>
        <w:ind w:left="0" w:right="-30"/>
        <w:jc w:val="center"/>
        <w:rPr>
          <w:snapToGrid/>
          <w:sz w:val="22"/>
          <w:szCs w:val="22"/>
        </w:rPr>
      </w:pPr>
      <m:oMath>
        <m:r>
          <w:rPr>
            <w:rFonts w:ascii="Cambria Math" w:hAnsi="Cambria Math"/>
            <w:snapToGrid/>
            <w:sz w:val="22"/>
            <w:szCs w:val="22"/>
          </w:rPr>
          <m:t xml:space="preserve">WF= </m:t>
        </m:r>
        <m:nary>
          <m:naryPr>
            <m:chr m:val="∑"/>
            <m:limLoc m:val="undOvr"/>
            <m:subHide m:val="1"/>
            <m:supHide m:val="1"/>
            <m:ctrlPr>
              <w:rPr>
                <w:rFonts w:ascii="Cambria Math" w:hAnsi="Cambria Math"/>
                <w:i/>
                <w:snapToGrid/>
                <w:sz w:val="22"/>
                <w:szCs w:val="22"/>
              </w:rPr>
            </m:ctrlPr>
          </m:naryPr>
          <m:sub/>
          <m:sup/>
          <m:e>
            <m:sSub>
              <m:sSubPr>
                <m:ctrlPr>
                  <w:rPr>
                    <w:rFonts w:ascii="Cambria Math" w:hAnsi="Cambria Math"/>
                    <w:i/>
                    <w:sz w:val="22"/>
                    <w:szCs w:val="22"/>
                  </w:rPr>
                </m:ctrlPr>
              </m:sSubPr>
              <m:e>
                <m:r>
                  <w:rPr>
                    <w:rFonts w:ascii="Cambria Math" w:hAnsi="Cambria Math"/>
                    <w:sz w:val="22"/>
                    <w:szCs w:val="22"/>
                  </w:rPr>
                  <m:t>(WF</m:t>
                </m:r>
              </m:e>
              <m:sub>
                <m:r>
                  <w:rPr>
                    <w:rFonts w:ascii="Cambria Math" w:hAnsi="Cambria Math"/>
                    <w:sz w:val="22"/>
                    <w:szCs w:val="22"/>
                  </w:rPr>
                  <m:t>i, blue</m:t>
                </m:r>
              </m:sub>
            </m:sSub>
            <m:r>
              <w:rPr>
                <w:rFonts w:ascii="Cambria Math"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WF</m:t>
                </m:r>
              </m:e>
              <m:sub>
                <m:r>
                  <w:rPr>
                    <w:rFonts w:ascii="Cambria Math" w:eastAsiaTheme="minorEastAsia" w:hAnsi="Cambria Math"/>
                    <w:sz w:val="22"/>
                    <w:szCs w:val="22"/>
                  </w:rPr>
                  <m:t>i, green</m:t>
                </m:r>
              </m:sub>
            </m:sSub>
            <m:r>
              <w:rPr>
                <w:rFonts w:ascii="Cambria Math" w:hAnsi="Cambria Math"/>
                <w:sz w:val="22"/>
                <w:szCs w:val="22"/>
              </w:rPr>
              <m:t xml:space="preserve">+ </m:t>
            </m:r>
          </m:e>
        </m:nary>
        <m:sSub>
          <m:sSubPr>
            <m:ctrlPr>
              <w:rPr>
                <w:rFonts w:ascii="Cambria Math" w:eastAsiaTheme="minorEastAsia" w:hAnsi="Cambria Math"/>
                <w:i/>
                <w:sz w:val="22"/>
                <w:szCs w:val="22"/>
              </w:rPr>
            </m:ctrlPr>
          </m:sSubPr>
          <m:e>
            <m:r>
              <w:rPr>
                <w:rFonts w:ascii="Cambria Math" w:eastAsiaTheme="minorEastAsia" w:hAnsi="Cambria Math"/>
                <w:sz w:val="22"/>
                <w:szCs w:val="22"/>
              </w:rPr>
              <m:t>WF</m:t>
            </m:r>
          </m:e>
          <m:sub>
            <m:r>
              <w:rPr>
                <w:rFonts w:ascii="Cambria Math" w:eastAsiaTheme="minorEastAsia" w:hAnsi="Cambria Math"/>
                <w:sz w:val="22"/>
                <w:szCs w:val="22"/>
              </w:rPr>
              <m:t>i, grey</m:t>
            </m:r>
          </m:sub>
        </m:sSub>
      </m:oMath>
      <w:proofErr w:type="gramStart"/>
      <w:r w:rsidRPr="00A25147">
        <w:rPr>
          <w:sz w:val="22"/>
          <w:szCs w:val="22"/>
        </w:rPr>
        <w:t xml:space="preserve">) </w:t>
      </w:r>
      <w:r w:rsidR="00CD5786" w:rsidRPr="00A25147">
        <w:rPr>
          <w:sz w:val="22"/>
          <w:szCs w:val="22"/>
        </w:rPr>
        <w:t xml:space="preserve">  </w:t>
      </w:r>
      <w:proofErr w:type="gramEnd"/>
      <w:r w:rsidR="00CD5786" w:rsidRPr="00A25147">
        <w:rPr>
          <w:sz w:val="22"/>
          <w:szCs w:val="22"/>
        </w:rPr>
        <w:t xml:space="preserve"> </w:t>
      </w:r>
      <w:r w:rsidR="003B0CBD" w:rsidRPr="00A25147">
        <w:rPr>
          <w:sz w:val="22"/>
          <w:szCs w:val="22"/>
        </w:rPr>
        <w:t xml:space="preserve">  </w:t>
      </w:r>
      <w:r w:rsidRPr="00A25147">
        <w:rPr>
          <w:sz w:val="22"/>
          <w:szCs w:val="22"/>
        </w:rPr>
        <w:t>(2)</w:t>
      </w:r>
    </w:p>
    <w:p w14:paraId="1D429E6A" w14:textId="77777777" w:rsidR="000104D9" w:rsidRPr="00A25147" w:rsidRDefault="000104D9" w:rsidP="00BB4022">
      <w:pPr>
        <w:spacing w:line="276" w:lineRule="auto"/>
        <w:rPr>
          <w:sz w:val="24"/>
          <w:szCs w:val="24"/>
        </w:rPr>
      </w:pPr>
    </w:p>
    <w:p w14:paraId="1B8718C0" w14:textId="4D3C5874" w:rsidR="003A1EFF" w:rsidRPr="00A25147" w:rsidRDefault="00BB4022" w:rsidP="00BB4022">
      <w:pPr>
        <w:spacing w:line="276" w:lineRule="auto"/>
        <w:rPr>
          <w:sz w:val="24"/>
          <w:szCs w:val="24"/>
        </w:rPr>
      </w:pPr>
      <w:r w:rsidRPr="00A25147">
        <w:rPr>
          <w:sz w:val="24"/>
          <w:szCs w:val="24"/>
        </w:rPr>
        <w:t xml:space="preserve">Specifically, </w:t>
      </w:r>
      <w:proofErr w:type="spellStart"/>
      <w:r w:rsidR="00FD5A7D" w:rsidRPr="00A25147">
        <w:rPr>
          <w:sz w:val="24"/>
          <w:szCs w:val="24"/>
        </w:rPr>
        <w:t>WF</w:t>
      </w:r>
      <w:r w:rsidR="00FD5A7D" w:rsidRPr="00A25147">
        <w:rPr>
          <w:sz w:val="24"/>
          <w:szCs w:val="24"/>
          <w:vertAlign w:val="subscript"/>
        </w:rPr>
        <w:t>blue</w:t>
      </w:r>
      <w:proofErr w:type="spellEnd"/>
      <w:r w:rsidR="00FD5A7D" w:rsidRPr="00A25147">
        <w:rPr>
          <w:sz w:val="24"/>
          <w:szCs w:val="24"/>
        </w:rPr>
        <w:t xml:space="preserve"> is the freshwater withdrawal from a reservoir that does not return directly to where it was withdrawn, </w:t>
      </w:r>
      <w:proofErr w:type="spellStart"/>
      <w:r w:rsidR="0004179E" w:rsidRPr="00A25147">
        <w:rPr>
          <w:sz w:val="24"/>
          <w:szCs w:val="24"/>
        </w:rPr>
        <w:t>WF</w:t>
      </w:r>
      <w:r w:rsidR="0004179E" w:rsidRPr="00A25147">
        <w:rPr>
          <w:sz w:val="24"/>
          <w:szCs w:val="24"/>
          <w:vertAlign w:val="subscript"/>
        </w:rPr>
        <w:t>green</w:t>
      </w:r>
      <w:proofErr w:type="spellEnd"/>
      <w:r w:rsidRPr="00A25147">
        <w:rPr>
          <w:sz w:val="24"/>
          <w:szCs w:val="24"/>
        </w:rPr>
        <w:t xml:space="preserve"> </w:t>
      </w:r>
      <w:r w:rsidR="004A3DD0" w:rsidRPr="00A25147">
        <w:rPr>
          <w:sz w:val="24"/>
          <w:szCs w:val="24"/>
        </w:rPr>
        <w:t>is</w:t>
      </w:r>
      <w:r w:rsidRPr="00A25147">
        <w:rPr>
          <w:sz w:val="24"/>
          <w:szCs w:val="24"/>
        </w:rPr>
        <w:t xml:space="preserve"> the amount of rainwater used by a crop to </w:t>
      </w:r>
      <w:proofErr w:type="spellStart"/>
      <w:r w:rsidRPr="00A25147">
        <w:rPr>
          <w:sz w:val="24"/>
          <w:szCs w:val="24"/>
        </w:rPr>
        <w:t>evapotranspire</w:t>
      </w:r>
      <w:proofErr w:type="spellEnd"/>
      <w:r w:rsidRPr="00A25147">
        <w:rPr>
          <w:sz w:val="24"/>
          <w:szCs w:val="24"/>
        </w:rPr>
        <w:t xml:space="preserve">, and </w:t>
      </w:r>
      <w:bookmarkStart w:id="0" w:name="_Hlk107143676"/>
      <w:proofErr w:type="spellStart"/>
      <w:r w:rsidR="0004179E" w:rsidRPr="00A25147">
        <w:rPr>
          <w:sz w:val="24"/>
          <w:szCs w:val="24"/>
        </w:rPr>
        <w:t>WF</w:t>
      </w:r>
      <w:r w:rsidR="0004179E" w:rsidRPr="00A25147">
        <w:rPr>
          <w:sz w:val="24"/>
          <w:szCs w:val="24"/>
          <w:vertAlign w:val="subscript"/>
        </w:rPr>
        <w:t>grey</w:t>
      </w:r>
      <w:proofErr w:type="spellEnd"/>
      <w:r w:rsidRPr="00A25147">
        <w:rPr>
          <w:sz w:val="24"/>
          <w:szCs w:val="24"/>
        </w:rPr>
        <w:t xml:space="preserve"> </w:t>
      </w:r>
      <w:bookmarkEnd w:id="0"/>
      <w:r w:rsidR="00CD5786" w:rsidRPr="00A25147">
        <w:rPr>
          <w:sz w:val="24"/>
          <w:szCs w:val="24"/>
        </w:rPr>
        <w:t>is</w:t>
      </w:r>
      <w:r w:rsidRPr="00A25147">
        <w:rPr>
          <w:sz w:val="24"/>
          <w:szCs w:val="24"/>
        </w:rPr>
        <w:t xml:space="preserve"> the volume of water needed to dilute pollutants generated during the production cycle below certain legal and toxicological limits.</w:t>
      </w:r>
    </w:p>
    <w:p w14:paraId="389072C4" w14:textId="340C37A0" w:rsidR="003A1EFF" w:rsidRPr="00A25147" w:rsidRDefault="003A1EFF" w:rsidP="00BB4022">
      <w:pPr>
        <w:pStyle w:val="Titolo2"/>
        <w:numPr>
          <w:ilvl w:val="2"/>
          <w:numId w:val="46"/>
        </w:numPr>
        <w:spacing w:before="0" w:after="0" w:line="276" w:lineRule="auto"/>
        <w:rPr>
          <w:b w:val="0"/>
          <w:bCs w:val="0"/>
          <w:sz w:val="24"/>
          <w:szCs w:val="32"/>
        </w:rPr>
      </w:pPr>
      <w:r w:rsidRPr="00A25147">
        <w:rPr>
          <w:b w:val="0"/>
          <w:bCs w:val="0"/>
          <w:sz w:val="24"/>
          <w:szCs w:val="32"/>
        </w:rPr>
        <w:t>Cumulative Energy Demand</w:t>
      </w:r>
    </w:p>
    <w:p w14:paraId="57358846" w14:textId="0CF423EC" w:rsidR="003A1EFF" w:rsidRPr="00A25147" w:rsidRDefault="003A1EFF" w:rsidP="00BB4022">
      <w:pPr>
        <w:spacing w:line="276" w:lineRule="auto"/>
        <w:rPr>
          <w:sz w:val="24"/>
          <w:szCs w:val="24"/>
        </w:rPr>
      </w:pPr>
      <w:r w:rsidRPr="00A25147">
        <w:rPr>
          <w:sz w:val="24"/>
          <w:szCs w:val="24"/>
        </w:rPr>
        <w:t xml:space="preserve">The CED of a product represents the direct and indirect energy use during its entire life cycle, including energy consumed during the extraction, production, and disposal of raw and auxiliary materials (VDI, 1997). In this study, for each product, cumulative fossil energy demand, i.e., from hard coal, lignite, natural gas, and crude oil, was calculated based on the methodology proposed by </w:t>
      </w:r>
      <w:proofErr w:type="spellStart"/>
      <w:r w:rsidRPr="00A25147">
        <w:rPr>
          <w:sz w:val="24"/>
          <w:szCs w:val="24"/>
        </w:rPr>
        <w:t>Frischknecht</w:t>
      </w:r>
      <w:proofErr w:type="spellEnd"/>
      <w:r w:rsidRPr="00A25147">
        <w:rPr>
          <w:sz w:val="24"/>
          <w:szCs w:val="24"/>
        </w:rPr>
        <w:t xml:space="preserve"> and </w:t>
      </w:r>
      <w:proofErr w:type="spellStart"/>
      <w:r w:rsidRPr="00A25147">
        <w:rPr>
          <w:sz w:val="24"/>
          <w:szCs w:val="24"/>
        </w:rPr>
        <w:t>Jungbluth</w:t>
      </w:r>
      <w:proofErr w:type="spellEnd"/>
      <w:r w:rsidRPr="00A25147">
        <w:rPr>
          <w:sz w:val="24"/>
          <w:szCs w:val="24"/>
        </w:rPr>
        <w:t xml:space="preserve"> (2004)</w:t>
      </w:r>
    </w:p>
    <w:p w14:paraId="674AD655" w14:textId="3DADA636" w:rsidR="0004179E" w:rsidRPr="00A25147" w:rsidRDefault="0004179E" w:rsidP="002D29FD">
      <w:pPr>
        <w:pStyle w:val="Abstract"/>
        <w:tabs>
          <w:tab w:val="left" w:pos="6379"/>
        </w:tabs>
        <w:spacing w:line="276" w:lineRule="auto"/>
        <w:ind w:left="0" w:right="-30"/>
        <w:rPr>
          <w:snapToGrid/>
          <w:sz w:val="24"/>
        </w:rPr>
      </w:pPr>
    </w:p>
    <w:p w14:paraId="0E93A60D" w14:textId="7562AF43" w:rsidR="004A5FF5" w:rsidRPr="00A25147" w:rsidRDefault="004A5FF5" w:rsidP="00085022">
      <w:pPr>
        <w:pStyle w:val="Abstract"/>
        <w:numPr>
          <w:ilvl w:val="1"/>
          <w:numId w:val="46"/>
        </w:numPr>
        <w:tabs>
          <w:tab w:val="left" w:pos="6379"/>
        </w:tabs>
        <w:spacing w:line="276" w:lineRule="auto"/>
        <w:ind w:right="-30"/>
        <w:rPr>
          <w:b/>
          <w:bCs/>
          <w:i/>
          <w:iCs/>
          <w:snapToGrid/>
          <w:sz w:val="24"/>
        </w:rPr>
      </w:pPr>
      <w:r w:rsidRPr="00A25147">
        <w:rPr>
          <w:b/>
          <w:bCs/>
          <w:i/>
          <w:iCs/>
          <w:snapToGrid/>
          <w:sz w:val="24"/>
        </w:rPr>
        <w:t>Materials</w:t>
      </w:r>
    </w:p>
    <w:p w14:paraId="4970C5E2" w14:textId="14E80D34" w:rsidR="00E81B98" w:rsidRPr="00A25147" w:rsidRDefault="003A1EFF" w:rsidP="00E81B98">
      <w:pPr>
        <w:pStyle w:val="Abstract"/>
        <w:tabs>
          <w:tab w:val="left" w:pos="6379"/>
        </w:tabs>
        <w:spacing w:line="276" w:lineRule="auto"/>
        <w:ind w:left="42" w:right="-30"/>
        <w:rPr>
          <w:snapToGrid/>
          <w:sz w:val="24"/>
        </w:rPr>
      </w:pPr>
      <w:r w:rsidRPr="00A25147">
        <w:rPr>
          <w:snapToGrid/>
          <w:sz w:val="24"/>
        </w:rPr>
        <w:lastRenderedPageBreak/>
        <w:t xml:space="preserve">Two cases were considered for the assessment: fruit and vegetable losses in Italy as of 2019 and 2020. </w:t>
      </w:r>
      <w:r w:rsidR="003E40E0" w:rsidRPr="00A25147">
        <w:rPr>
          <w:snapToGrid/>
          <w:sz w:val="24"/>
        </w:rPr>
        <w:t>I</w:t>
      </w:r>
      <w:r w:rsidRPr="00A25147">
        <w:rPr>
          <w:snapToGrid/>
          <w:sz w:val="24"/>
        </w:rPr>
        <w:t>t is good to clarify the distinction that ISTAT makes in fruit and vegetable production between total production and harvested production. By total production, it means the "</w:t>
      </w:r>
      <w:r w:rsidRPr="00A25147">
        <w:rPr>
          <w:i/>
          <w:iCs/>
          <w:snapToGrid/>
          <w:sz w:val="24"/>
        </w:rPr>
        <w:t>totality of the product present on the plant in the hanging fruit state at the time when normal harvesting operations have begun</w:t>
      </w:r>
      <w:r w:rsidRPr="00A25147">
        <w:rPr>
          <w:snapToGrid/>
          <w:sz w:val="24"/>
        </w:rPr>
        <w:t>". Harvested production, on the other hand, means the "</w:t>
      </w:r>
      <w:r w:rsidRPr="00A25147">
        <w:rPr>
          <w:i/>
          <w:iCs/>
          <w:snapToGrid/>
          <w:sz w:val="24"/>
        </w:rPr>
        <w:t>quantity of a product actually removed from the place of production regardless of its use</w:t>
      </w:r>
      <w:r w:rsidRPr="00A25147">
        <w:rPr>
          <w:snapToGrid/>
          <w:sz w:val="24"/>
        </w:rPr>
        <w:t xml:space="preserve">". Thus, harvested production turns out to be equal to the difference between total production and the share not harvested or lost. In contrast, food losses can be understood as the difference between total production and harvested production. As shown in </w:t>
      </w:r>
      <w:r w:rsidRPr="00A25147">
        <w:rPr>
          <w:b/>
          <w:bCs/>
          <w:snapToGrid/>
          <w:sz w:val="24"/>
        </w:rPr>
        <w:t>Table 1</w:t>
      </w:r>
      <w:r w:rsidRPr="00A25147">
        <w:rPr>
          <w:snapToGrid/>
          <w:sz w:val="24"/>
        </w:rPr>
        <w:t>, in 2020 vegetable losses were about 843 thousand tons, while in 2019 they were about 865 thousand tons</w:t>
      </w:r>
      <w:r w:rsidR="009464AF" w:rsidRPr="00A25147">
        <w:rPr>
          <w:snapToGrid/>
          <w:sz w:val="24"/>
        </w:rPr>
        <w:t xml:space="preserve">. </w:t>
      </w:r>
      <w:r w:rsidR="00E81B98" w:rsidRPr="00A25147">
        <w:rPr>
          <w:snapToGrid/>
          <w:sz w:val="24"/>
        </w:rPr>
        <w:t>In fruit</w:t>
      </w:r>
      <w:r w:rsidRPr="00A25147">
        <w:rPr>
          <w:snapToGrid/>
          <w:sz w:val="24"/>
        </w:rPr>
        <w:t xml:space="preserve"> production, in 2020 in Italy</w:t>
      </w:r>
      <w:r w:rsidR="00E81B98" w:rsidRPr="00A25147">
        <w:rPr>
          <w:snapToGrid/>
          <w:sz w:val="24"/>
        </w:rPr>
        <w:t>,</w:t>
      </w:r>
      <w:r w:rsidRPr="00A25147">
        <w:rPr>
          <w:snapToGrid/>
          <w:sz w:val="24"/>
        </w:rPr>
        <w:t xml:space="preserve"> the losses were 436 thousand tons</w:t>
      </w:r>
      <w:r w:rsidR="009464AF" w:rsidRPr="00A25147">
        <w:rPr>
          <w:snapToGrid/>
          <w:sz w:val="24"/>
        </w:rPr>
        <w:t xml:space="preserve"> </w:t>
      </w:r>
      <w:r w:rsidRPr="00A25147">
        <w:rPr>
          <w:snapToGrid/>
          <w:sz w:val="24"/>
        </w:rPr>
        <w:t>compared to 2019 when the losses were 485 thousand</w:t>
      </w:r>
      <w:r w:rsidR="005300D8" w:rsidRPr="00A25147">
        <w:rPr>
          <w:snapToGrid/>
          <w:sz w:val="24"/>
        </w:rPr>
        <w:t>. Therefore, considering total fruit and vegetables, food losses in 20</w:t>
      </w:r>
      <w:r w:rsidR="00AF61BC" w:rsidRPr="00A25147">
        <w:rPr>
          <w:snapToGrid/>
          <w:sz w:val="24"/>
        </w:rPr>
        <w:t>19</w:t>
      </w:r>
      <w:r w:rsidR="005300D8" w:rsidRPr="00A25147">
        <w:rPr>
          <w:snapToGrid/>
          <w:sz w:val="24"/>
        </w:rPr>
        <w:t xml:space="preserve"> were about </w:t>
      </w:r>
      <w:r w:rsidR="00AF61BC" w:rsidRPr="00A25147">
        <w:rPr>
          <w:snapToGrid/>
          <w:sz w:val="24"/>
        </w:rPr>
        <w:t xml:space="preserve">1.35 </w:t>
      </w:r>
      <w:r w:rsidR="005300D8" w:rsidRPr="00A25147">
        <w:rPr>
          <w:snapToGrid/>
          <w:sz w:val="24"/>
        </w:rPr>
        <w:t xml:space="preserve">million tons, while in </w:t>
      </w:r>
      <w:r w:rsidR="00AF61BC" w:rsidRPr="00A25147">
        <w:rPr>
          <w:snapToGrid/>
          <w:sz w:val="24"/>
        </w:rPr>
        <w:t>2020</w:t>
      </w:r>
      <w:r w:rsidR="005300D8" w:rsidRPr="00A25147">
        <w:rPr>
          <w:snapToGrid/>
          <w:sz w:val="24"/>
        </w:rPr>
        <w:t xml:space="preserve"> they were about </w:t>
      </w:r>
      <w:r w:rsidR="00AF61BC" w:rsidRPr="00A25147">
        <w:rPr>
          <w:snapToGrid/>
          <w:sz w:val="24"/>
        </w:rPr>
        <w:t xml:space="preserve">1.27 </w:t>
      </w:r>
      <w:r w:rsidR="005300D8" w:rsidRPr="00A25147">
        <w:rPr>
          <w:snapToGrid/>
          <w:sz w:val="24"/>
        </w:rPr>
        <w:t>million tons</w:t>
      </w:r>
      <w:r w:rsidR="00AF61BC" w:rsidRPr="00A25147">
        <w:rPr>
          <w:snapToGrid/>
          <w:sz w:val="24"/>
        </w:rPr>
        <w:t>, with a reduction of 72,315 tons (</w:t>
      </w:r>
      <w:r w:rsidR="005300D8" w:rsidRPr="00A25147">
        <w:rPr>
          <w:snapToGrid/>
          <w:sz w:val="24"/>
        </w:rPr>
        <w:t>‒5%</w:t>
      </w:r>
      <w:r w:rsidR="00AF61BC" w:rsidRPr="00A25147">
        <w:rPr>
          <w:snapToGrid/>
          <w:sz w:val="24"/>
        </w:rPr>
        <w:t>)</w:t>
      </w:r>
      <w:r w:rsidR="005300D8" w:rsidRPr="00A25147">
        <w:rPr>
          <w:snapToGrid/>
          <w:sz w:val="24"/>
        </w:rPr>
        <w:t>, although food production increased.</w:t>
      </w:r>
      <w:r w:rsidR="00515114" w:rsidRPr="00A25147">
        <w:rPr>
          <w:snapToGrid/>
          <w:sz w:val="24"/>
        </w:rPr>
        <w:t xml:space="preserve"> The first point that can be made is that assuming </w:t>
      </w:r>
      <w:r w:rsidR="00AF61BC" w:rsidRPr="00A25147">
        <w:rPr>
          <w:snapToGrid/>
          <w:sz w:val="24"/>
        </w:rPr>
        <w:t>the</w:t>
      </w:r>
      <w:r w:rsidR="00515114" w:rsidRPr="00A25147">
        <w:rPr>
          <w:snapToGrid/>
          <w:sz w:val="24"/>
        </w:rPr>
        <w:t xml:space="preserve"> average consumption of 160 kg/year of fruits and vegetables in Italy</w:t>
      </w:r>
      <w:r w:rsidR="00AF61BC" w:rsidRPr="00A25147">
        <w:rPr>
          <w:snapToGrid/>
          <w:sz w:val="24"/>
        </w:rPr>
        <w:t xml:space="preserve">, </w:t>
      </w:r>
      <w:r w:rsidR="00515114" w:rsidRPr="00A25147">
        <w:rPr>
          <w:snapToGrid/>
          <w:sz w:val="24"/>
        </w:rPr>
        <w:t>avoiding 72,315 tons of fruit and vegetable losses could have fed 451,000 more people.</w:t>
      </w:r>
      <w:r w:rsidR="00E81B98" w:rsidRPr="00A25147">
        <w:rPr>
          <w:snapToGrid/>
          <w:sz w:val="24"/>
        </w:rPr>
        <w:t xml:space="preserve"> However, it is noteworthy that, as a percentage, in both 2019 and 2020, the ratio of quantity produced to quantity lost is the same or about 3%. The reduction shown could most likely be attributable to the fact that the Lockdown following the Covid-19 emergency, has led to a greater need for food and therefore a greater focus on agricultural losses. </w:t>
      </w:r>
    </w:p>
    <w:p w14:paraId="12FDEFCA" w14:textId="77777777" w:rsidR="00E81B98" w:rsidRPr="00A25147" w:rsidRDefault="00E81B98" w:rsidP="003E40E0">
      <w:pPr>
        <w:pStyle w:val="Abstract"/>
        <w:tabs>
          <w:tab w:val="left" w:pos="6379"/>
        </w:tabs>
        <w:spacing w:after="240" w:line="276" w:lineRule="auto"/>
        <w:ind w:left="0" w:right="0"/>
        <w:rPr>
          <w:b/>
          <w:bCs/>
          <w:snapToGrid/>
          <w:sz w:val="18"/>
          <w:szCs w:val="18"/>
        </w:rPr>
      </w:pPr>
    </w:p>
    <w:p w14:paraId="63DC7D22" w14:textId="1DB265D4" w:rsidR="004A5FF5" w:rsidRPr="00A25147" w:rsidRDefault="002C58A2" w:rsidP="005300D8">
      <w:pPr>
        <w:pStyle w:val="Abstract"/>
        <w:tabs>
          <w:tab w:val="left" w:pos="6379"/>
        </w:tabs>
        <w:spacing w:after="240" w:line="276" w:lineRule="auto"/>
        <w:ind w:left="0" w:right="0"/>
        <w:jc w:val="center"/>
        <w:rPr>
          <w:snapToGrid/>
          <w:sz w:val="18"/>
          <w:szCs w:val="18"/>
        </w:rPr>
      </w:pPr>
      <w:r w:rsidRPr="00A25147">
        <w:rPr>
          <w:snapToGrid/>
          <w:sz w:val="18"/>
          <w:szCs w:val="18"/>
        </w:rPr>
        <w:t>Table 1.</w:t>
      </w:r>
      <w:r w:rsidRPr="00A25147">
        <w:rPr>
          <w:b/>
          <w:bCs/>
          <w:snapToGrid/>
          <w:sz w:val="18"/>
          <w:szCs w:val="18"/>
        </w:rPr>
        <w:t xml:space="preserve"> </w:t>
      </w:r>
      <w:r w:rsidRPr="00A25147">
        <w:rPr>
          <w:snapToGrid/>
          <w:sz w:val="18"/>
          <w:szCs w:val="18"/>
        </w:rPr>
        <w:t>Fruit and vegetable production in Italy, 2019 – 2020 (Million tons)</w:t>
      </w:r>
    </w:p>
    <w:tbl>
      <w:tblPr>
        <w:tblStyle w:val="Tabellasemplice-2"/>
        <w:tblW w:w="5130" w:type="pct"/>
        <w:tblLook w:val="04A0" w:firstRow="1" w:lastRow="0" w:firstColumn="1" w:lastColumn="0" w:noHBand="0" w:noVBand="1"/>
      </w:tblPr>
      <w:tblGrid>
        <w:gridCol w:w="1051"/>
        <w:gridCol w:w="1077"/>
        <w:gridCol w:w="907"/>
        <w:gridCol w:w="717"/>
        <w:gridCol w:w="1449"/>
        <w:gridCol w:w="1469"/>
        <w:gridCol w:w="717"/>
      </w:tblGrid>
      <w:tr w:rsidR="00A25147" w:rsidRPr="00A25147" w14:paraId="432CD163" w14:textId="77777777" w:rsidTr="0063190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11" w:type="pct"/>
            <w:noWrap/>
            <w:vAlign w:val="center"/>
            <w:hideMark/>
          </w:tcPr>
          <w:p w14:paraId="189FB644" w14:textId="77777777" w:rsidR="004A5FF5" w:rsidRPr="00A25147" w:rsidRDefault="004A5FF5" w:rsidP="00631909">
            <w:pPr>
              <w:spacing w:line="276" w:lineRule="auto"/>
              <w:jc w:val="center"/>
              <w:rPr>
                <w:rFonts w:ascii="Times New Roman" w:eastAsia="Times New Roman" w:hAnsi="Times New Roman" w:cs="Times New Roman"/>
                <w:b w:val="0"/>
                <w:bCs w:val="0"/>
                <w:sz w:val="18"/>
                <w:szCs w:val="18"/>
                <w:lang w:val="en-US" w:eastAsia="it-IT"/>
              </w:rPr>
            </w:pPr>
          </w:p>
        </w:tc>
        <w:tc>
          <w:tcPr>
            <w:tcW w:w="1828" w:type="pct"/>
            <w:gridSpan w:val="3"/>
            <w:noWrap/>
            <w:vAlign w:val="center"/>
            <w:hideMark/>
          </w:tcPr>
          <w:p w14:paraId="42200E3E" w14:textId="77777777" w:rsidR="004A5FF5" w:rsidRPr="00A25147" w:rsidRDefault="004A5FF5" w:rsidP="0063190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it-IT"/>
              </w:rPr>
            </w:pPr>
            <w:r w:rsidRPr="00A25147">
              <w:rPr>
                <w:rFonts w:ascii="Times New Roman" w:eastAsia="Times New Roman" w:hAnsi="Times New Roman" w:cs="Times New Roman"/>
                <w:b w:val="0"/>
                <w:bCs w:val="0"/>
                <w:sz w:val="18"/>
                <w:szCs w:val="18"/>
                <w:lang w:eastAsia="it-IT"/>
              </w:rPr>
              <w:t>2019</w:t>
            </w:r>
          </w:p>
        </w:tc>
        <w:tc>
          <w:tcPr>
            <w:tcW w:w="2460" w:type="pct"/>
            <w:gridSpan w:val="3"/>
            <w:noWrap/>
            <w:vAlign w:val="center"/>
            <w:hideMark/>
          </w:tcPr>
          <w:p w14:paraId="62CF3B8F" w14:textId="77777777" w:rsidR="004A5FF5" w:rsidRPr="00A25147" w:rsidRDefault="004A5FF5" w:rsidP="0063190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it-IT"/>
              </w:rPr>
            </w:pPr>
            <w:r w:rsidRPr="00A25147">
              <w:rPr>
                <w:rFonts w:ascii="Times New Roman" w:eastAsia="Times New Roman" w:hAnsi="Times New Roman" w:cs="Times New Roman"/>
                <w:b w:val="0"/>
                <w:bCs w:val="0"/>
                <w:sz w:val="18"/>
                <w:szCs w:val="18"/>
                <w:lang w:eastAsia="it-IT"/>
              </w:rPr>
              <w:t>2020</w:t>
            </w:r>
          </w:p>
        </w:tc>
      </w:tr>
      <w:tr w:rsidR="00A25147" w:rsidRPr="00A25147" w14:paraId="3270D3B2" w14:textId="77777777" w:rsidTr="006319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 w:type="pct"/>
            <w:noWrap/>
            <w:vAlign w:val="center"/>
            <w:hideMark/>
          </w:tcPr>
          <w:p w14:paraId="2969A725" w14:textId="77777777" w:rsidR="004A5FF5" w:rsidRPr="00A25147" w:rsidRDefault="004A5FF5" w:rsidP="00631909">
            <w:pPr>
              <w:spacing w:line="276" w:lineRule="auto"/>
              <w:jc w:val="center"/>
              <w:rPr>
                <w:rFonts w:ascii="Times New Roman" w:eastAsia="Times New Roman" w:hAnsi="Times New Roman" w:cs="Times New Roman"/>
                <w:b w:val="0"/>
                <w:bCs w:val="0"/>
                <w:sz w:val="18"/>
                <w:szCs w:val="18"/>
                <w:lang w:eastAsia="it-IT"/>
              </w:rPr>
            </w:pPr>
          </w:p>
        </w:tc>
        <w:tc>
          <w:tcPr>
            <w:tcW w:w="729" w:type="pct"/>
            <w:noWrap/>
            <w:vAlign w:val="center"/>
            <w:hideMark/>
          </w:tcPr>
          <w:p w14:paraId="553E0AA9" w14:textId="717C5EEF" w:rsidR="004A5FF5" w:rsidRPr="00A25147" w:rsidRDefault="002C58A2"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eastAsia="Times New Roman" w:hAnsi="Times New Roman" w:cs="Times New Roman"/>
                <w:sz w:val="18"/>
                <w:szCs w:val="18"/>
                <w:lang w:eastAsia="it-IT"/>
              </w:rPr>
              <w:t>Production</w:t>
            </w:r>
          </w:p>
        </w:tc>
        <w:tc>
          <w:tcPr>
            <w:tcW w:w="614" w:type="pct"/>
            <w:noWrap/>
            <w:vAlign w:val="center"/>
            <w:hideMark/>
          </w:tcPr>
          <w:p w14:paraId="482BD587" w14:textId="396BDD09" w:rsidR="004A5FF5" w:rsidRPr="00A25147" w:rsidRDefault="002C58A2"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proofErr w:type="spellStart"/>
            <w:r w:rsidRPr="00A25147">
              <w:rPr>
                <w:rFonts w:ascii="Times New Roman" w:eastAsia="Times New Roman" w:hAnsi="Times New Roman" w:cs="Times New Roman"/>
                <w:sz w:val="18"/>
                <w:szCs w:val="18"/>
                <w:lang w:eastAsia="it-IT"/>
              </w:rPr>
              <w:t>Harvest</w:t>
            </w:r>
            <w:proofErr w:type="spellEnd"/>
          </w:p>
        </w:tc>
        <w:tc>
          <w:tcPr>
            <w:tcW w:w="485" w:type="pct"/>
            <w:noWrap/>
            <w:vAlign w:val="center"/>
            <w:hideMark/>
          </w:tcPr>
          <w:p w14:paraId="54AB779B" w14:textId="77777777"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proofErr w:type="spellStart"/>
            <w:r w:rsidRPr="00A25147">
              <w:rPr>
                <w:rFonts w:ascii="Times New Roman" w:eastAsia="Times New Roman" w:hAnsi="Times New Roman" w:cs="Times New Roman"/>
                <w:sz w:val="18"/>
                <w:szCs w:val="18"/>
                <w:lang w:eastAsia="it-IT"/>
              </w:rPr>
              <w:t>Losses</w:t>
            </w:r>
            <w:proofErr w:type="spellEnd"/>
          </w:p>
        </w:tc>
        <w:tc>
          <w:tcPr>
            <w:tcW w:w="981" w:type="pct"/>
            <w:noWrap/>
            <w:vAlign w:val="center"/>
            <w:hideMark/>
          </w:tcPr>
          <w:p w14:paraId="51184DCC" w14:textId="680F869B" w:rsidR="004A5FF5" w:rsidRPr="00A25147" w:rsidRDefault="002C58A2"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eastAsia="Times New Roman" w:hAnsi="Times New Roman" w:cs="Times New Roman"/>
                <w:sz w:val="18"/>
                <w:szCs w:val="18"/>
                <w:lang w:eastAsia="it-IT"/>
              </w:rPr>
              <w:t>Production</w:t>
            </w:r>
          </w:p>
        </w:tc>
        <w:tc>
          <w:tcPr>
            <w:tcW w:w="994" w:type="pct"/>
            <w:noWrap/>
            <w:vAlign w:val="center"/>
            <w:hideMark/>
          </w:tcPr>
          <w:p w14:paraId="2C6D78CE" w14:textId="2CB8679E" w:rsidR="004A5FF5" w:rsidRPr="00A25147" w:rsidRDefault="002C58A2"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proofErr w:type="spellStart"/>
            <w:r w:rsidRPr="00A25147">
              <w:rPr>
                <w:rFonts w:ascii="Times New Roman" w:eastAsia="Times New Roman" w:hAnsi="Times New Roman" w:cs="Times New Roman"/>
                <w:sz w:val="18"/>
                <w:szCs w:val="18"/>
                <w:lang w:eastAsia="it-IT"/>
              </w:rPr>
              <w:t>Harvest</w:t>
            </w:r>
            <w:proofErr w:type="spellEnd"/>
          </w:p>
        </w:tc>
        <w:tc>
          <w:tcPr>
            <w:tcW w:w="485" w:type="pct"/>
            <w:noWrap/>
            <w:vAlign w:val="center"/>
            <w:hideMark/>
          </w:tcPr>
          <w:p w14:paraId="7EC04DAD" w14:textId="77777777"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proofErr w:type="spellStart"/>
            <w:r w:rsidRPr="00A25147">
              <w:rPr>
                <w:rFonts w:ascii="Times New Roman" w:eastAsia="Times New Roman" w:hAnsi="Times New Roman" w:cs="Times New Roman"/>
                <w:sz w:val="18"/>
                <w:szCs w:val="18"/>
                <w:lang w:eastAsia="it-IT"/>
              </w:rPr>
              <w:t>Losses</w:t>
            </w:r>
            <w:proofErr w:type="spellEnd"/>
          </w:p>
        </w:tc>
      </w:tr>
      <w:tr w:rsidR="00A25147" w:rsidRPr="00A25147" w14:paraId="3BE2D80E" w14:textId="77777777" w:rsidTr="00631909">
        <w:trPr>
          <w:trHeight w:val="300"/>
        </w:trPr>
        <w:tc>
          <w:tcPr>
            <w:cnfStyle w:val="001000000000" w:firstRow="0" w:lastRow="0" w:firstColumn="1" w:lastColumn="0" w:oddVBand="0" w:evenVBand="0" w:oddHBand="0" w:evenHBand="0" w:firstRowFirstColumn="0" w:firstRowLastColumn="0" w:lastRowFirstColumn="0" w:lastRowLastColumn="0"/>
            <w:tcW w:w="711" w:type="pct"/>
            <w:noWrap/>
            <w:vAlign w:val="center"/>
            <w:hideMark/>
          </w:tcPr>
          <w:p w14:paraId="2D76123B" w14:textId="77777777" w:rsidR="004A5FF5" w:rsidRPr="00A25147" w:rsidRDefault="004A5FF5" w:rsidP="00631909">
            <w:pPr>
              <w:spacing w:line="276" w:lineRule="auto"/>
              <w:jc w:val="center"/>
              <w:rPr>
                <w:rFonts w:ascii="Times New Roman" w:eastAsia="Times New Roman" w:hAnsi="Times New Roman" w:cs="Times New Roman"/>
                <w:b w:val="0"/>
                <w:bCs w:val="0"/>
                <w:sz w:val="18"/>
                <w:szCs w:val="18"/>
                <w:lang w:eastAsia="it-IT"/>
              </w:rPr>
            </w:pPr>
            <w:proofErr w:type="spellStart"/>
            <w:r w:rsidRPr="00A25147">
              <w:rPr>
                <w:rFonts w:ascii="Times New Roman" w:eastAsia="Times New Roman" w:hAnsi="Times New Roman" w:cs="Times New Roman"/>
                <w:b w:val="0"/>
                <w:bCs w:val="0"/>
                <w:sz w:val="18"/>
                <w:szCs w:val="18"/>
                <w:lang w:eastAsia="it-IT"/>
              </w:rPr>
              <w:t>Vegetables</w:t>
            </w:r>
            <w:proofErr w:type="spellEnd"/>
          </w:p>
        </w:tc>
        <w:tc>
          <w:tcPr>
            <w:tcW w:w="729" w:type="pct"/>
            <w:noWrap/>
            <w:vAlign w:val="center"/>
            <w:hideMark/>
          </w:tcPr>
          <w:p w14:paraId="25A62E9D" w14:textId="5A780A02"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30.6</w:t>
            </w:r>
          </w:p>
        </w:tc>
        <w:tc>
          <w:tcPr>
            <w:tcW w:w="614" w:type="pct"/>
            <w:noWrap/>
            <w:vAlign w:val="center"/>
            <w:hideMark/>
          </w:tcPr>
          <w:p w14:paraId="7356F3F4" w14:textId="7544FA0F"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29.7</w:t>
            </w:r>
          </w:p>
        </w:tc>
        <w:tc>
          <w:tcPr>
            <w:tcW w:w="485" w:type="pct"/>
            <w:noWrap/>
            <w:vAlign w:val="center"/>
            <w:hideMark/>
          </w:tcPr>
          <w:p w14:paraId="69D9DD4F" w14:textId="4933A82C"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0.865</w:t>
            </w:r>
          </w:p>
        </w:tc>
        <w:tc>
          <w:tcPr>
            <w:tcW w:w="981" w:type="pct"/>
            <w:noWrap/>
            <w:vAlign w:val="center"/>
            <w:hideMark/>
          </w:tcPr>
          <w:p w14:paraId="660C21B3" w14:textId="5F8E2333"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31.4</w:t>
            </w:r>
          </w:p>
        </w:tc>
        <w:tc>
          <w:tcPr>
            <w:tcW w:w="994" w:type="pct"/>
            <w:noWrap/>
            <w:vAlign w:val="center"/>
            <w:hideMark/>
          </w:tcPr>
          <w:p w14:paraId="7A75AF7C" w14:textId="23BC13C9"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30.5</w:t>
            </w:r>
          </w:p>
        </w:tc>
        <w:tc>
          <w:tcPr>
            <w:tcW w:w="485" w:type="pct"/>
            <w:noWrap/>
            <w:vAlign w:val="center"/>
            <w:hideMark/>
          </w:tcPr>
          <w:p w14:paraId="0FDA11A0" w14:textId="1CC5C06F"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0.843</w:t>
            </w:r>
          </w:p>
        </w:tc>
      </w:tr>
      <w:tr w:rsidR="00A25147" w:rsidRPr="00A25147" w14:paraId="695E8A05" w14:textId="77777777" w:rsidTr="006319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 w:type="pct"/>
            <w:noWrap/>
            <w:vAlign w:val="center"/>
            <w:hideMark/>
          </w:tcPr>
          <w:p w14:paraId="08875C05" w14:textId="77777777" w:rsidR="004A5FF5" w:rsidRPr="00A25147" w:rsidRDefault="004A5FF5" w:rsidP="00631909">
            <w:pPr>
              <w:spacing w:line="276" w:lineRule="auto"/>
              <w:jc w:val="center"/>
              <w:rPr>
                <w:rFonts w:ascii="Times New Roman" w:eastAsia="Times New Roman" w:hAnsi="Times New Roman" w:cs="Times New Roman"/>
                <w:b w:val="0"/>
                <w:bCs w:val="0"/>
                <w:sz w:val="18"/>
                <w:szCs w:val="18"/>
                <w:lang w:eastAsia="it-IT"/>
              </w:rPr>
            </w:pPr>
            <w:proofErr w:type="spellStart"/>
            <w:r w:rsidRPr="00A25147">
              <w:rPr>
                <w:rFonts w:ascii="Times New Roman" w:eastAsia="Times New Roman" w:hAnsi="Times New Roman" w:cs="Times New Roman"/>
                <w:b w:val="0"/>
                <w:bCs w:val="0"/>
                <w:sz w:val="18"/>
                <w:szCs w:val="18"/>
                <w:lang w:eastAsia="it-IT"/>
              </w:rPr>
              <w:t>Fruits</w:t>
            </w:r>
            <w:proofErr w:type="spellEnd"/>
          </w:p>
        </w:tc>
        <w:tc>
          <w:tcPr>
            <w:tcW w:w="729" w:type="pct"/>
            <w:noWrap/>
            <w:vAlign w:val="center"/>
            <w:hideMark/>
          </w:tcPr>
          <w:p w14:paraId="4BE1D181" w14:textId="5C965E1C"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13.0</w:t>
            </w:r>
          </w:p>
        </w:tc>
        <w:tc>
          <w:tcPr>
            <w:tcW w:w="614" w:type="pct"/>
            <w:noWrap/>
            <w:vAlign w:val="center"/>
            <w:hideMark/>
          </w:tcPr>
          <w:p w14:paraId="312F29B7" w14:textId="339FF005"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12.5</w:t>
            </w:r>
          </w:p>
        </w:tc>
        <w:tc>
          <w:tcPr>
            <w:tcW w:w="485" w:type="pct"/>
            <w:noWrap/>
            <w:vAlign w:val="center"/>
            <w:hideMark/>
          </w:tcPr>
          <w:p w14:paraId="796021E0" w14:textId="7722DB25"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0.485</w:t>
            </w:r>
          </w:p>
        </w:tc>
        <w:tc>
          <w:tcPr>
            <w:tcW w:w="981" w:type="pct"/>
            <w:noWrap/>
            <w:vAlign w:val="center"/>
            <w:hideMark/>
          </w:tcPr>
          <w:p w14:paraId="78008AC1" w14:textId="76FF91EF"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13.1</w:t>
            </w:r>
          </w:p>
        </w:tc>
        <w:tc>
          <w:tcPr>
            <w:tcW w:w="994" w:type="pct"/>
            <w:noWrap/>
            <w:vAlign w:val="center"/>
            <w:hideMark/>
          </w:tcPr>
          <w:p w14:paraId="47D7FC08" w14:textId="6A2C6A06"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12.6</w:t>
            </w:r>
          </w:p>
        </w:tc>
        <w:tc>
          <w:tcPr>
            <w:tcW w:w="485" w:type="pct"/>
            <w:noWrap/>
            <w:vAlign w:val="center"/>
            <w:hideMark/>
          </w:tcPr>
          <w:p w14:paraId="43ECAABA" w14:textId="588C3E8C" w:rsidR="004A5FF5" w:rsidRPr="00A25147" w:rsidRDefault="004A5FF5" w:rsidP="0063190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0.435</w:t>
            </w:r>
          </w:p>
        </w:tc>
      </w:tr>
      <w:tr w:rsidR="00A25147" w:rsidRPr="00A25147" w14:paraId="1E7EBB47" w14:textId="77777777" w:rsidTr="00631909">
        <w:trPr>
          <w:trHeight w:val="288"/>
        </w:trPr>
        <w:tc>
          <w:tcPr>
            <w:cnfStyle w:val="001000000000" w:firstRow="0" w:lastRow="0" w:firstColumn="1" w:lastColumn="0" w:oddVBand="0" w:evenVBand="0" w:oddHBand="0" w:evenHBand="0" w:firstRowFirstColumn="0" w:firstRowLastColumn="0" w:lastRowFirstColumn="0" w:lastRowLastColumn="0"/>
            <w:tcW w:w="711" w:type="pct"/>
            <w:noWrap/>
            <w:vAlign w:val="center"/>
            <w:hideMark/>
          </w:tcPr>
          <w:p w14:paraId="6AE1C398" w14:textId="77777777" w:rsidR="004A5FF5" w:rsidRPr="00A25147" w:rsidRDefault="004A5FF5" w:rsidP="00631909">
            <w:pPr>
              <w:spacing w:line="276" w:lineRule="auto"/>
              <w:jc w:val="center"/>
              <w:rPr>
                <w:rFonts w:ascii="Times New Roman" w:eastAsia="Times New Roman" w:hAnsi="Times New Roman" w:cs="Times New Roman"/>
                <w:b w:val="0"/>
                <w:bCs w:val="0"/>
                <w:sz w:val="18"/>
                <w:szCs w:val="18"/>
                <w:lang w:eastAsia="it-IT"/>
              </w:rPr>
            </w:pPr>
            <w:r w:rsidRPr="00A25147">
              <w:rPr>
                <w:rFonts w:ascii="Times New Roman" w:eastAsia="Times New Roman" w:hAnsi="Times New Roman" w:cs="Times New Roman"/>
                <w:b w:val="0"/>
                <w:bCs w:val="0"/>
                <w:sz w:val="18"/>
                <w:szCs w:val="18"/>
                <w:lang w:eastAsia="it-IT"/>
              </w:rPr>
              <w:t>Total</w:t>
            </w:r>
          </w:p>
        </w:tc>
        <w:tc>
          <w:tcPr>
            <w:tcW w:w="729" w:type="pct"/>
            <w:noWrap/>
            <w:vAlign w:val="center"/>
            <w:hideMark/>
          </w:tcPr>
          <w:p w14:paraId="72199FFE" w14:textId="71AC070E"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43.6</w:t>
            </w:r>
          </w:p>
        </w:tc>
        <w:tc>
          <w:tcPr>
            <w:tcW w:w="614" w:type="pct"/>
            <w:noWrap/>
            <w:vAlign w:val="center"/>
            <w:hideMark/>
          </w:tcPr>
          <w:p w14:paraId="5C1BC430" w14:textId="1EA7EA04"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42.3</w:t>
            </w:r>
          </w:p>
        </w:tc>
        <w:tc>
          <w:tcPr>
            <w:tcW w:w="485" w:type="pct"/>
            <w:noWrap/>
            <w:vAlign w:val="center"/>
            <w:hideMark/>
          </w:tcPr>
          <w:p w14:paraId="30425B73" w14:textId="5B210E3E"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 xml:space="preserve">1.35 </w:t>
            </w:r>
          </w:p>
        </w:tc>
        <w:tc>
          <w:tcPr>
            <w:tcW w:w="981" w:type="pct"/>
            <w:noWrap/>
            <w:vAlign w:val="center"/>
            <w:hideMark/>
          </w:tcPr>
          <w:p w14:paraId="7CBB27D6" w14:textId="60C11360"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44.5</w:t>
            </w:r>
          </w:p>
        </w:tc>
        <w:tc>
          <w:tcPr>
            <w:tcW w:w="994" w:type="pct"/>
            <w:noWrap/>
            <w:vAlign w:val="center"/>
            <w:hideMark/>
          </w:tcPr>
          <w:p w14:paraId="32F42D83" w14:textId="36449D08"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43.2</w:t>
            </w:r>
          </w:p>
        </w:tc>
        <w:tc>
          <w:tcPr>
            <w:tcW w:w="485" w:type="pct"/>
            <w:noWrap/>
            <w:vAlign w:val="center"/>
            <w:hideMark/>
          </w:tcPr>
          <w:p w14:paraId="5C82BC4D" w14:textId="3FFDDBE2" w:rsidR="004A5FF5" w:rsidRPr="00A25147" w:rsidRDefault="004A5FF5" w:rsidP="0063190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it-IT"/>
              </w:rPr>
            </w:pPr>
            <w:r w:rsidRPr="00A25147">
              <w:rPr>
                <w:rFonts w:ascii="Times New Roman" w:hAnsi="Times New Roman" w:cs="Times New Roman"/>
                <w:sz w:val="18"/>
                <w:szCs w:val="18"/>
              </w:rPr>
              <w:t>1.27</w:t>
            </w:r>
          </w:p>
        </w:tc>
      </w:tr>
    </w:tbl>
    <w:p w14:paraId="5CF8C002" w14:textId="5AD0F819" w:rsidR="004A5FF5" w:rsidRPr="00A25147" w:rsidRDefault="00631909" w:rsidP="00631909">
      <w:pPr>
        <w:pStyle w:val="Abstract"/>
        <w:tabs>
          <w:tab w:val="left" w:pos="6379"/>
        </w:tabs>
        <w:spacing w:line="276" w:lineRule="auto"/>
        <w:ind w:left="57" w:right="0"/>
        <w:jc w:val="center"/>
        <w:rPr>
          <w:snapToGrid/>
          <w:sz w:val="18"/>
          <w:szCs w:val="18"/>
        </w:rPr>
      </w:pPr>
      <w:r w:rsidRPr="00A25147">
        <w:rPr>
          <w:snapToGrid/>
          <w:sz w:val="18"/>
          <w:szCs w:val="18"/>
        </w:rPr>
        <w:t>Source: (ISTAT, 2021)</w:t>
      </w:r>
    </w:p>
    <w:p w14:paraId="1DCAC501" w14:textId="06F47CC0" w:rsidR="00085022" w:rsidRPr="00A25147" w:rsidRDefault="00085022" w:rsidP="00631909">
      <w:pPr>
        <w:pStyle w:val="Abstract"/>
        <w:tabs>
          <w:tab w:val="left" w:pos="6379"/>
        </w:tabs>
        <w:spacing w:line="276" w:lineRule="auto"/>
        <w:ind w:left="57" w:right="0"/>
        <w:jc w:val="center"/>
        <w:rPr>
          <w:snapToGrid/>
          <w:sz w:val="18"/>
          <w:szCs w:val="18"/>
        </w:rPr>
      </w:pPr>
    </w:p>
    <w:p w14:paraId="2974D6ED" w14:textId="3DFB5D50" w:rsidR="003A1EFF" w:rsidRPr="00A25147" w:rsidRDefault="003D1040" w:rsidP="004A3DD0">
      <w:pPr>
        <w:pStyle w:val="Abstract"/>
        <w:tabs>
          <w:tab w:val="left" w:pos="6379"/>
        </w:tabs>
        <w:spacing w:line="276" w:lineRule="auto"/>
        <w:ind w:left="0" w:right="0"/>
        <w:rPr>
          <w:snapToGrid/>
          <w:sz w:val="24"/>
        </w:rPr>
      </w:pPr>
      <w:r w:rsidRPr="00A25147">
        <w:rPr>
          <w:snapToGrid/>
          <w:sz w:val="24"/>
        </w:rPr>
        <w:lastRenderedPageBreak/>
        <w:t>In all three assessments, fruit and vegetable productions lost for both the years, 2020 (1.35 million tons of fruit and vegetables) and 2019 (1.28 million tons) were considered as functional units. The two situations were then compared</w:t>
      </w:r>
      <w:r w:rsidR="009464AF" w:rsidRPr="00A25147">
        <w:rPr>
          <w:snapToGrid/>
          <w:sz w:val="24"/>
        </w:rPr>
        <w:t xml:space="preserve">, and </w:t>
      </w:r>
      <w:r w:rsidRPr="00A25147">
        <w:rPr>
          <w:snapToGrid/>
          <w:sz w:val="24"/>
        </w:rPr>
        <w:t xml:space="preserve">CF, WF and CED were conducted from cradle to farmgate, i.e., considering the production process from seed purchase to ripening, excluding harvesting of the finished product. Specifically, all individual fruit and vegetable products (and their related production processes) that contribute to agricultural losses of fruits and vegetables in Italy were considered as inputs, and the total amount of fruit and vegetable losses, as well as emissions from production processes, were considered as outputs. As a matter of data availability, rice, artichokes, eggplants, figs, prickly pears, and beans, which are not in any database, were excluded from fruit and vegetable losses. In addition, since </w:t>
      </w:r>
      <w:proofErr w:type="gramStart"/>
      <w:r w:rsidRPr="00A25147">
        <w:rPr>
          <w:snapToGrid/>
          <w:sz w:val="24"/>
        </w:rPr>
        <w:t>at the moment</w:t>
      </w:r>
      <w:proofErr w:type="gramEnd"/>
      <w:r w:rsidRPr="00A25147">
        <w:rPr>
          <w:snapToGrid/>
          <w:sz w:val="24"/>
        </w:rPr>
        <w:t xml:space="preserve"> there is still no specific database for Italian fruit and vegetable production, a database that will see the light of day in 2023 (</w:t>
      </w:r>
      <w:proofErr w:type="spellStart"/>
      <w:r w:rsidRPr="00A25147">
        <w:rPr>
          <w:snapToGrid/>
          <w:sz w:val="24"/>
        </w:rPr>
        <w:t>Notarnicola</w:t>
      </w:r>
      <w:proofErr w:type="spellEnd"/>
      <w:r w:rsidRPr="00A25147">
        <w:rPr>
          <w:snapToGrid/>
          <w:sz w:val="24"/>
        </w:rPr>
        <w:t xml:space="preserve"> et al., 2021), the average production of a given type of food at the global level was considered in the study by taking international databases as a reference</w:t>
      </w:r>
      <w:r w:rsidR="004A3DD0" w:rsidRPr="00A25147">
        <w:rPr>
          <w:snapToGrid/>
          <w:sz w:val="24"/>
        </w:rPr>
        <w:t>.</w:t>
      </w:r>
    </w:p>
    <w:p w14:paraId="026DD3A9" w14:textId="77777777" w:rsidR="005300D8" w:rsidRPr="00A25147" w:rsidRDefault="005300D8" w:rsidP="004A3DD0">
      <w:pPr>
        <w:pStyle w:val="Abstract"/>
        <w:tabs>
          <w:tab w:val="left" w:pos="6379"/>
        </w:tabs>
        <w:spacing w:line="276" w:lineRule="auto"/>
        <w:ind w:left="0" w:right="0"/>
        <w:rPr>
          <w:snapToGrid/>
          <w:sz w:val="24"/>
        </w:rPr>
      </w:pPr>
    </w:p>
    <w:p w14:paraId="116A58C9" w14:textId="403416AF" w:rsidR="004A5FF5" w:rsidRPr="00A25147" w:rsidRDefault="002C58A2" w:rsidP="005300D8">
      <w:pPr>
        <w:pStyle w:val="Abstract"/>
        <w:numPr>
          <w:ilvl w:val="0"/>
          <w:numId w:val="46"/>
        </w:numPr>
        <w:tabs>
          <w:tab w:val="left" w:pos="6379"/>
        </w:tabs>
        <w:spacing w:line="276" w:lineRule="auto"/>
        <w:ind w:right="0"/>
        <w:rPr>
          <w:b/>
          <w:bCs/>
          <w:snapToGrid/>
          <w:sz w:val="24"/>
        </w:rPr>
      </w:pPr>
      <w:r w:rsidRPr="00A25147">
        <w:rPr>
          <w:b/>
          <w:bCs/>
          <w:snapToGrid/>
          <w:sz w:val="24"/>
        </w:rPr>
        <w:t>Results and discussions</w:t>
      </w:r>
    </w:p>
    <w:p w14:paraId="1C11FBA5" w14:textId="1B945E64" w:rsidR="003D1040" w:rsidRPr="00A25147" w:rsidRDefault="003D1040" w:rsidP="005300D8">
      <w:pPr>
        <w:pStyle w:val="Abstract"/>
        <w:tabs>
          <w:tab w:val="left" w:pos="6379"/>
        </w:tabs>
        <w:spacing w:line="276" w:lineRule="auto"/>
        <w:ind w:left="57" w:right="0"/>
        <w:rPr>
          <w:snapToGrid/>
          <w:sz w:val="24"/>
        </w:rPr>
      </w:pPr>
      <w:r w:rsidRPr="00A25147">
        <w:rPr>
          <w:snapToGrid/>
          <w:sz w:val="24"/>
        </w:rPr>
        <w:t>Analysis of the results shows that food losses in 2019 generated a CF of 3.16 × 10</w:t>
      </w:r>
      <w:r w:rsidRPr="00A25147">
        <w:rPr>
          <w:snapToGrid/>
          <w:sz w:val="24"/>
          <w:vertAlign w:val="superscript"/>
        </w:rPr>
        <w:t>8</w:t>
      </w:r>
      <w:r w:rsidRPr="00A25147">
        <w:rPr>
          <w:snapToGrid/>
          <w:sz w:val="24"/>
        </w:rPr>
        <w:t xml:space="preserve"> kg CO</w:t>
      </w:r>
      <w:r w:rsidRPr="00A25147">
        <w:rPr>
          <w:snapToGrid/>
          <w:sz w:val="24"/>
          <w:vertAlign w:val="subscript"/>
        </w:rPr>
        <w:t>2</w:t>
      </w:r>
      <w:r w:rsidRPr="00A25147">
        <w:rPr>
          <w:snapToGrid/>
          <w:sz w:val="24"/>
        </w:rPr>
        <w:t xml:space="preserve"> eq. while in 2020 the CF was 2.55 × 10</w:t>
      </w:r>
      <w:r w:rsidRPr="00A25147">
        <w:rPr>
          <w:snapToGrid/>
          <w:sz w:val="24"/>
          <w:vertAlign w:val="superscript"/>
        </w:rPr>
        <w:t>8</w:t>
      </w:r>
      <w:r w:rsidRPr="00A25147">
        <w:rPr>
          <w:snapToGrid/>
          <w:sz w:val="24"/>
        </w:rPr>
        <w:t xml:space="preserve"> kg CO</w:t>
      </w:r>
      <w:r w:rsidRPr="00A25147">
        <w:rPr>
          <w:snapToGrid/>
          <w:sz w:val="24"/>
          <w:vertAlign w:val="subscript"/>
        </w:rPr>
        <w:t>2</w:t>
      </w:r>
      <w:r w:rsidRPr="00A25147">
        <w:rPr>
          <w:snapToGrid/>
          <w:sz w:val="24"/>
        </w:rPr>
        <w:t xml:space="preserve"> eq (Figure 1).</w:t>
      </w:r>
      <w:r w:rsidR="00EB5CD9" w:rsidRPr="00A25147">
        <w:rPr>
          <w:snapToGrid/>
          <w:sz w:val="24"/>
        </w:rPr>
        <w:t xml:space="preserve"> Therefore, between 2019 and 2020, the reduction in fruit and vegetable losses, could have induced a saving of ‒6.10 × 10</w:t>
      </w:r>
      <w:r w:rsidR="00EB5CD9" w:rsidRPr="00A25147">
        <w:rPr>
          <w:snapToGrid/>
          <w:sz w:val="24"/>
          <w:vertAlign w:val="superscript"/>
        </w:rPr>
        <w:t>7</w:t>
      </w:r>
      <w:r w:rsidR="00EB5CD9" w:rsidRPr="00A25147">
        <w:rPr>
          <w:snapToGrid/>
          <w:sz w:val="24"/>
        </w:rPr>
        <w:t xml:space="preserve"> kg CO</w:t>
      </w:r>
      <w:r w:rsidR="00EB5CD9" w:rsidRPr="00A25147">
        <w:rPr>
          <w:snapToGrid/>
          <w:sz w:val="24"/>
          <w:vertAlign w:val="subscript"/>
        </w:rPr>
        <w:t>2</w:t>
      </w:r>
      <w:r w:rsidR="00EB5CD9" w:rsidRPr="00A25147">
        <w:rPr>
          <w:snapToGrid/>
          <w:sz w:val="24"/>
        </w:rPr>
        <w:t xml:space="preserve"> eq, or a reduction of ‒24%. Especially, this reduction could be attributable to less wastage of inputs, including less use of fuels, nitrogen fertilizers, </w:t>
      </w:r>
      <w:proofErr w:type="gramStart"/>
      <w:r w:rsidR="00EB5CD9" w:rsidRPr="00A25147">
        <w:rPr>
          <w:snapToGrid/>
          <w:sz w:val="24"/>
        </w:rPr>
        <w:t>pesticides</w:t>
      </w:r>
      <w:proofErr w:type="gramEnd"/>
      <w:r w:rsidR="00EB5CD9" w:rsidRPr="00A25147">
        <w:rPr>
          <w:snapToGrid/>
          <w:sz w:val="24"/>
        </w:rPr>
        <w:t xml:space="preserve"> and irrigation water.</w:t>
      </w:r>
    </w:p>
    <w:p w14:paraId="66A165DE" w14:textId="11654E55" w:rsidR="00D86AFC" w:rsidRPr="00A25147" w:rsidRDefault="00C122E2" w:rsidP="003D1040">
      <w:pPr>
        <w:pStyle w:val="Abstract"/>
        <w:tabs>
          <w:tab w:val="left" w:pos="6379"/>
        </w:tabs>
        <w:spacing w:line="276" w:lineRule="auto"/>
        <w:ind w:left="57" w:right="0"/>
        <w:jc w:val="center"/>
        <w:rPr>
          <w:snapToGrid/>
          <w:sz w:val="24"/>
          <w:lang w:val="it-IT"/>
        </w:rPr>
      </w:pPr>
      <w:r w:rsidRPr="00A25147">
        <w:rPr>
          <w:noProof/>
          <w:snapToGrid/>
          <w:sz w:val="24"/>
          <w:lang w:val="it-IT"/>
        </w:rPr>
        <w:lastRenderedPageBreak/>
        <w:drawing>
          <wp:inline distT="0" distB="0" distL="0" distR="0" wp14:anchorId="6ED3F661" wp14:editId="5E8EB791">
            <wp:extent cx="4191000" cy="2341072"/>
            <wp:effectExtent l="0" t="0" r="0" b="254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19" cy="2355271"/>
                    </a:xfrm>
                    <a:prstGeom prst="rect">
                      <a:avLst/>
                    </a:prstGeom>
                    <a:noFill/>
                  </pic:spPr>
                </pic:pic>
              </a:graphicData>
            </a:graphic>
          </wp:inline>
        </w:drawing>
      </w:r>
    </w:p>
    <w:p w14:paraId="30742E80" w14:textId="1978884F" w:rsidR="00C122E2" w:rsidRPr="00A25147" w:rsidRDefault="00C122E2" w:rsidP="00C122E2">
      <w:pPr>
        <w:pStyle w:val="Abstract"/>
        <w:tabs>
          <w:tab w:val="left" w:pos="6379"/>
        </w:tabs>
        <w:spacing w:after="240" w:line="276" w:lineRule="auto"/>
        <w:ind w:left="57" w:right="0"/>
        <w:jc w:val="center"/>
        <w:rPr>
          <w:snapToGrid/>
          <w:sz w:val="18"/>
          <w:szCs w:val="18"/>
        </w:rPr>
      </w:pPr>
      <w:r w:rsidRPr="00A25147">
        <w:rPr>
          <w:snapToGrid/>
          <w:sz w:val="18"/>
          <w:szCs w:val="18"/>
        </w:rPr>
        <w:t xml:space="preserve">Fig 1. </w:t>
      </w:r>
      <w:bookmarkStart w:id="1" w:name="_Hlk105597930"/>
      <w:r w:rsidR="00983608" w:rsidRPr="00A25147">
        <w:rPr>
          <w:snapToGrid/>
          <w:sz w:val="18"/>
          <w:szCs w:val="18"/>
        </w:rPr>
        <w:t>Carbon Footprint of fruit and vegetable losses in Italy (2019 and 2020)</w:t>
      </w:r>
      <w:bookmarkEnd w:id="1"/>
    </w:p>
    <w:p w14:paraId="67F080F3" w14:textId="477806FF" w:rsidR="00EB5CD9" w:rsidRPr="00A25147" w:rsidRDefault="003D1040" w:rsidP="00EB5CD9">
      <w:pPr>
        <w:spacing w:line="276" w:lineRule="auto"/>
        <w:rPr>
          <w:sz w:val="24"/>
          <w:szCs w:val="24"/>
        </w:rPr>
      </w:pPr>
      <w:r w:rsidRPr="00A25147">
        <w:rPr>
          <w:sz w:val="24"/>
          <w:szCs w:val="24"/>
        </w:rPr>
        <w:tab/>
        <w:t xml:space="preserve">Especially, the mechanization of fields is a significant source of climate-changing emissions due to the extraction of primary energy sources (crude oil and fossil carbon) for diesel production and its combustion during the agricultural phase (Morandini et al., 2020). Fertilizers, on the other hand, being synthetic products generate direct impacts related to their production processes and indirect impacts related to their use, since the nitrogen present in them, as is well known, </w:t>
      </w:r>
      <w:r w:rsidR="00C6025A" w:rsidRPr="00A25147">
        <w:rPr>
          <w:sz w:val="24"/>
          <w:szCs w:val="24"/>
        </w:rPr>
        <w:t>tends</w:t>
      </w:r>
      <w:r w:rsidRPr="00A25147">
        <w:rPr>
          <w:sz w:val="24"/>
          <w:szCs w:val="24"/>
        </w:rPr>
        <w:t xml:space="preserve"> to dissipate, either into </w:t>
      </w:r>
      <w:r w:rsidR="00C6025A" w:rsidRPr="00A25147">
        <w:rPr>
          <w:sz w:val="24"/>
          <w:szCs w:val="24"/>
        </w:rPr>
        <w:t xml:space="preserve">the </w:t>
      </w:r>
      <w:r w:rsidRPr="00A25147">
        <w:rPr>
          <w:sz w:val="24"/>
          <w:szCs w:val="24"/>
        </w:rPr>
        <w:t>water in the form of nitrates or into the atmosphere as N</w:t>
      </w:r>
      <w:r w:rsidRPr="00A25147">
        <w:rPr>
          <w:sz w:val="24"/>
          <w:szCs w:val="24"/>
          <w:vertAlign w:val="subscript"/>
        </w:rPr>
        <w:t>2</w:t>
      </w:r>
      <w:r w:rsidRPr="00A25147">
        <w:rPr>
          <w:sz w:val="24"/>
          <w:szCs w:val="24"/>
        </w:rPr>
        <w:t xml:space="preserve">O. To give an idea, </w:t>
      </w:r>
      <w:r w:rsidR="00C6025A" w:rsidRPr="00A25147">
        <w:rPr>
          <w:sz w:val="24"/>
          <w:szCs w:val="24"/>
        </w:rPr>
        <w:t xml:space="preserve">the </w:t>
      </w:r>
      <w:r w:rsidRPr="00A25147">
        <w:rPr>
          <w:sz w:val="24"/>
          <w:szCs w:val="24"/>
        </w:rPr>
        <w:t xml:space="preserve">production, </w:t>
      </w:r>
      <w:proofErr w:type="gramStart"/>
      <w:r w:rsidRPr="00A25147">
        <w:rPr>
          <w:sz w:val="24"/>
          <w:szCs w:val="24"/>
        </w:rPr>
        <w:t>transportation</w:t>
      </w:r>
      <w:proofErr w:type="gramEnd"/>
      <w:r w:rsidRPr="00A25147">
        <w:rPr>
          <w:sz w:val="24"/>
          <w:szCs w:val="24"/>
        </w:rPr>
        <w:t xml:space="preserve"> and application of fertilizers make the synthetic fertilizer industry responsible for the emission of 1.25 billion tons of CO</w:t>
      </w:r>
      <w:r w:rsidRPr="00A25147">
        <w:rPr>
          <w:sz w:val="24"/>
          <w:szCs w:val="24"/>
          <w:vertAlign w:val="subscript"/>
        </w:rPr>
        <w:t>2</w:t>
      </w:r>
      <w:r w:rsidRPr="00A25147">
        <w:rPr>
          <w:sz w:val="24"/>
          <w:szCs w:val="24"/>
        </w:rPr>
        <w:t xml:space="preserve"> per year (25</w:t>
      </w:r>
      <w:r w:rsidR="004A3DD0" w:rsidRPr="00A25147">
        <w:rPr>
          <w:sz w:val="24"/>
          <w:szCs w:val="24"/>
        </w:rPr>
        <w:t xml:space="preserve">% </w:t>
      </w:r>
      <w:r w:rsidRPr="00A25147">
        <w:rPr>
          <w:sz w:val="24"/>
          <w:szCs w:val="24"/>
        </w:rPr>
        <w:t>of the agricultural sector's emission contribution) (</w:t>
      </w:r>
      <w:proofErr w:type="spellStart"/>
      <w:r w:rsidRPr="00A25147">
        <w:rPr>
          <w:sz w:val="24"/>
          <w:szCs w:val="24"/>
        </w:rPr>
        <w:t>Menegat</w:t>
      </w:r>
      <w:proofErr w:type="spellEnd"/>
      <w:r w:rsidRPr="00A25147">
        <w:rPr>
          <w:sz w:val="24"/>
          <w:szCs w:val="24"/>
        </w:rPr>
        <w:t xml:space="preserve"> et al., 2021). Regarding the lower water consumption, finally, irrigation processes being highly energy intensive, have a high environmental impact due to the process of electricity production, which in the case of the Italian mix, despite coming for a 41.74% share from renewable sources, remains mainly composed of natural gas (methane) (43.2%), coal (7.9%), nuclear (3.55%), oil (0.50%) and other sources (3.1%) (GSE, 2022). Energy production, therefore, being based on the use of fossil fuels, is responsible for the direct emission of GHGs from, for example, lignite and bituminous coal from mines that are used for the electricity generation mix, and consumed for water pumping (</w:t>
      </w:r>
      <w:proofErr w:type="spellStart"/>
      <w:r w:rsidRPr="00A25147">
        <w:rPr>
          <w:sz w:val="24"/>
          <w:szCs w:val="24"/>
        </w:rPr>
        <w:t>Dincer</w:t>
      </w:r>
      <w:proofErr w:type="spellEnd"/>
      <w:r w:rsidRPr="00A25147">
        <w:rPr>
          <w:sz w:val="24"/>
          <w:szCs w:val="24"/>
        </w:rPr>
        <w:t xml:space="preserve"> &amp; </w:t>
      </w:r>
      <w:proofErr w:type="spellStart"/>
      <w:r w:rsidRPr="00A25147">
        <w:rPr>
          <w:sz w:val="24"/>
          <w:szCs w:val="24"/>
        </w:rPr>
        <w:t>Bicer</w:t>
      </w:r>
      <w:proofErr w:type="spellEnd"/>
      <w:r w:rsidRPr="00A25147">
        <w:rPr>
          <w:sz w:val="24"/>
          <w:szCs w:val="24"/>
        </w:rPr>
        <w:t xml:space="preserve">, 2018), which inevitably </w:t>
      </w:r>
      <w:r w:rsidRPr="00A25147">
        <w:rPr>
          <w:sz w:val="24"/>
          <w:szCs w:val="24"/>
        </w:rPr>
        <w:lastRenderedPageBreak/>
        <w:t xml:space="preserve">affect the GWP, as well as particulate matter. The CF results show the importance of reducing horticultural losses, as potential savings in terms of </w:t>
      </w:r>
      <w:r w:rsidR="00A913FF" w:rsidRPr="00A25147">
        <w:rPr>
          <w:sz w:val="24"/>
          <w:szCs w:val="24"/>
        </w:rPr>
        <w:t>GHGs</w:t>
      </w:r>
      <w:r w:rsidRPr="00A25147">
        <w:rPr>
          <w:sz w:val="24"/>
          <w:szCs w:val="24"/>
        </w:rPr>
        <w:t xml:space="preserve"> emissions could be particularly significant, especially considering that in Italy, the average annual temperature has already increased by +1.1°C in the last 30 years (1981-2010) compared to the 30-year period 1971-2000 (ISPRA, 2013). Moreover, variations in climate could exacerbate this situation even more, with predictive studies (</w:t>
      </w:r>
      <w:proofErr w:type="spellStart"/>
      <w:r w:rsidRPr="00A25147">
        <w:rPr>
          <w:sz w:val="24"/>
          <w:szCs w:val="24"/>
        </w:rPr>
        <w:t>Michetti</w:t>
      </w:r>
      <w:proofErr w:type="spellEnd"/>
      <w:r w:rsidRPr="00A25147">
        <w:rPr>
          <w:sz w:val="24"/>
          <w:szCs w:val="24"/>
        </w:rPr>
        <w:t xml:space="preserve"> et al, 2022) showing that in Italy between 2021 and 2050 there could be an increase of </w:t>
      </w:r>
      <w:r w:rsidR="009464AF" w:rsidRPr="00A25147">
        <w:rPr>
          <w:sz w:val="24"/>
          <w:szCs w:val="24"/>
        </w:rPr>
        <w:t>+</w:t>
      </w:r>
      <w:r w:rsidRPr="00A25147">
        <w:rPr>
          <w:sz w:val="24"/>
          <w:szCs w:val="24"/>
        </w:rPr>
        <w:t xml:space="preserve">2°C compared to 1981-2010 and </w:t>
      </w:r>
      <w:r w:rsidR="009464AF" w:rsidRPr="00A25147">
        <w:rPr>
          <w:sz w:val="24"/>
          <w:szCs w:val="24"/>
        </w:rPr>
        <w:t>+</w:t>
      </w:r>
      <w:r w:rsidRPr="00A25147">
        <w:rPr>
          <w:sz w:val="24"/>
          <w:szCs w:val="24"/>
        </w:rPr>
        <w:t>5°C by 2100, with even worse scenarios, such as higher intensity rainfall, more frequent in winter in the North and less frequent in summer in the Centre-South, tropical nights (with temperatures never below 20°C), prolonged droughts and sea level rise (6 cm for the Adriatic and 8 cm for the Tyrrhenian Sea</w:t>
      </w:r>
      <w:r w:rsidR="00A913FF" w:rsidRPr="00A25147">
        <w:rPr>
          <w:sz w:val="24"/>
          <w:szCs w:val="24"/>
        </w:rPr>
        <w:t>)</w:t>
      </w:r>
      <w:r w:rsidR="00D455D2" w:rsidRPr="00A25147">
        <w:rPr>
          <w:sz w:val="24"/>
          <w:szCs w:val="24"/>
        </w:rPr>
        <w:t xml:space="preserve">. </w:t>
      </w:r>
      <w:r w:rsidRPr="00A25147">
        <w:rPr>
          <w:sz w:val="24"/>
          <w:szCs w:val="24"/>
        </w:rPr>
        <w:t>Therefore, in the context of the pursuit of climate neutrality, also in view of the dialogue on the zero-emission measure, approved by the European Parliament (but subject to a further negotiation phase) that aims to halt the production of endothermic-powered cars by 2035, a reduction in horticultural leakage could help to cut even more of a share of climate-altering emissions that could be avoidable. The CF results are also confirmed in the reduction of WF. In fact, the analysis of the results shows that horticultural losses in 2019 generated a WF of 1.37 × 10</w:t>
      </w:r>
      <w:r w:rsidRPr="00A25147">
        <w:rPr>
          <w:sz w:val="24"/>
          <w:szCs w:val="24"/>
          <w:vertAlign w:val="superscript"/>
        </w:rPr>
        <w:t>8</w:t>
      </w:r>
      <w:r w:rsidRPr="00A25147">
        <w:rPr>
          <w:sz w:val="24"/>
          <w:szCs w:val="24"/>
        </w:rPr>
        <w:t xml:space="preserve"> m</w:t>
      </w:r>
      <w:r w:rsidRPr="00A25147">
        <w:rPr>
          <w:sz w:val="24"/>
          <w:szCs w:val="24"/>
          <w:vertAlign w:val="superscript"/>
        </w:rPr>
        <w:t>3</w:t>
      </w:r>
      <w:r w:rsidRPr="00A25147">
        <w:rPr>
          <w:sz w:val="24"/>
          <w:szCs w:val="24"/>
        </w:rPr>
        <w:t xml:space="preserve"> while in 2020 the WF was 9.79 × 10</w:t>
      </w:r>
      <w:r w:rsidRPr="00A25147">
        <w:rPr>
          <w:sz w:val="24"/>
          <w:szCs w:val="24"/>
          <w:vertAlign w:val="superscript"/>
        </w:rPr>
        <w:t>7</w:t>
      </w:r>
      <w:r w:rsidRPr="00A25147">
        <w:rPr>
          <w:sz w:val="24"/>
          <w:szCs w:val="24"/>
        </w:rPr>
        <w:t xml:space="preserve"> m</w:t>
      </w:r>
      <w:r w:rsidRPr="00A25147">
        <w:rPr>
          <w:sz w:val="24"/>
          <w:szCs w:val="24"/>
          <w:vertAlign w:val="superscript"/>
        </w:rPr>
        <w:t>3</w:t>
      </w:r>
      <w:r w:rsidRPr="00A25147">
        <w:rPr>
          <w:sz w:val="24"/>
          <w:szCs w:val="24"/>
        </w:rPr>
        <w:t xml:space="preserve"> (Figure 2), a saving of 3.91 × 10</w:t>
      </w:r>
      <w:r w:rsidRPr="00A25147">
        <w:rPr>
          <w:sz w:val="24"/>
          <w:szCs w:val="24"/>
          <w:vertAlign w:val="superscript"/>
        </w:rPr>
        <w:t>7</w:t>
      </w:r>
      <w:r w:rsidRPr="00A25147">
        <w:rPr>
          <w:sz w:val="24"/>
          <w:szCs w:val="24"/>
        </w:rPr>
        <w:t xml:space="preserve"> m</w:t>
      </w:r>
      <w:r w:rsidRPr="00A25147">
        <w:rPr>
          <w:sz w:val="24"/>
          <w:szCs w:val="24"/>
          <w:vertAlign w:val="superscript"/>
        </w:rPr>
        <w:t>3</w:t>
      </w:r>
      <w:r w:rsidRPr="00A25147">
        <w:rPr>
          <w:sz w:val="24"/>
          <w:szCs w:val="24"/>
        </w:rPr>
        <w:t xml:space="preserve"> of water and a reduction of </w:t>
      </w:r>
      <w:r w:rsidR="009464AF" w:rsidRPr="00A25147">
        <w:rPr>
          <w:sz w:val="24"/>
          <w:szCs w:val="24"/>
        </w:rPr>
        <w:t>‒</w:t>
      </w:r>
      <w:r w:rsidRPr="00A25147">
        <w:rPr>
          <w:sz w:val="24"/>
          <w:szCs w:val="24"/>
        </w:rPr>
        <w:t>40%</w:t>
      </w:r>
      <w:r w:rsidR="00D455D2" w:rsidRPr="00A25147">
        <w:rPr>
          <w:sz w:val="24"/>
          <w:szCs w:val="24"/>
        </w:rPr>
        <w:t xml:space="preserve">. </w:t>
      </w:r>
      <w:r w:rsidR="00EB5CD9" w:rsidRPr="00A25147">
        <w:rPr>
          <w:sz w:val="24"/>
          <w:szCs w:val="24"/>
        </w:rPr>
        <w:t>Water scarcity is a particularly sensitive problem especially in the Mediterranean area (which suffers from the highest level of water stress globally) as well as in Italy, which ranks first in Europe in terms of water withdrawals for drinking (9 billion m</w:t>
      </w:r>
      <w:r w:rsidR="00EB5CD9" w:rsidRPr="00A25147">
        <w:rPr>
          <w:sz w:val="24"/>
          <w:szCs w:val="24"/>
          <w:vertAlign w:val="superscript"/>
        </w:rPr>
        <w:t>3</w:t>
      </w:r>
      <w:r w:rsidR="00EB5CD9" w:rsidRPr="00A25147">
        <w:rPr>
          <w:sz w:val="24"/>
          <w:szCs w:val="24"/>
        </w:rPr>
        <w:t xml:space="preserve">/year) (ISTAT, 2018) and is ranked among European Countries with medium to high water stress (Luo et al, 2015). Therefore, the decrease in horticultural losses shows how water could potentially be "saved" by reducing total WF. Thus, induced water savings, in turn, could be particularly helpful for Italy, especially in view of achieving the objectives set by the Water Framework Directive (2000/60/EC), which requires member states, to achieve good qualitative and quantitative status of water bodies by 2027, but also in the pursuit of </w:t>
      </w:r>
      <w:r w:rsidR="00EB5CD9" w:rsidRPr="00A25147">
        <w:rPr>
          <w:sz w:val="24"/>
          <w:szCs w:val="24"/>
        </w:rPr>
        <w:lastRenderedPageBreak/>
        <w:t xml:space="preserve">SDGs by 2030, especially sub-goals 6.4.1 (Water Stress) and 6.4.2. (Water Efficiency), the latter still far from being fully met. </w:t>
      </w:r>
    </w:p>
    <w:p w14:paraId="4011FC4A" w14:textId="108FE04B" w:rsidR="003D1040" w:rsidRPr="00A25147" w:rsidRDefault="003D1040" w:rsidP="00AC3039">
      <w:pPr>
        <w:tabs>
          <w:tab w:val="left" w:pos="0"/>
        </w:tabs>
        <w:spacing w:line="276" w:lineRule="auto"/>
        <w:rPr>
          <w:sz w:val="24"/>
          <w:szCs w:val="24"/>
        </w:rPr>
      </w:pPr>
    </w:p>
    <w:p w14:paraId="2130C903" w14:textId="0C85582B" w:rsidR="004A5FF5" w:rsidRPr="00A25147" w:rsidRDefault="00C122E2" w:rsidP="003D1040">
      <w:pPr>
        <w:pStyle w:val="Abstract"/>
        <w:tabs>
          <w:tab w:val="left" w:pos="6379"/>
        </w:tabs>
        <w:spacing w:line="276" w:lineRule="auto"/>
        <w:ind w:left="0" w:right="-30"/>
        <w:jc w:val="center"/>
        <w:rPr>
          <w:snapToGrid/>
          <w:sz w:val="24"/>
        </w:rPr>
      </w:pPr>
      <w:r w:rsidRPr="00A25147">
        <w:rPr>
          <w:noProof/>
          <w:snapToGrid/>
          <w:sz w:val="24"/>
        </w:rPr>
        <w:drawing>
          <wp:inline distT="0" distB="0" distL="0" distR="0" wp14:anchorId="37819772" wp14:editId="5C2EEE4F">
            <wp:extent cx="4083050" cy="2286449"/>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7811" cy="2300315"/>
                    </a:xfrm>
                    <a:prstGeom prst="rect">
                      <a:avLst/>
                    </a:prstGeom>
                    <a:noFill/>
                  </pic:spPr>
                </pic:pic>
              </a:graphicData>
            </a:graphic>
          </wp:inline>
        </w:drawing>
      </w:r>
    </w:p>
    <w:p w14:paraId="249AAA98" w14:textId="3DD8AC2C" w:rsidR="004A5FF5" w:rsidRPr="00A25147" w:rsidRDefault="00C122E2" w:rsidP="003D1040">
      <w:pPr>
        <w:pStyle w:val="Abstract"/>
        <w:tabs>
          <w:tab w:val="center" w:pos="3628"/>
          <w:tab w:val="left" w:pos="4320"/>
          <w:tab w:val="left" w:pos="6379"/>
        </w:tabs>
        <w:spacing w:after="240" w:line="276" w:lineRule="auto"/>
        <w:ind w:left="57" w:right="0"/>
        <w:jc w:val="left"/>
        <w:rPr>
          <w:snapToGrid/>
          <w:sz w:val="18"/>
          <w:szCs w:val="18"/>
        </w:rPr>
      </w:pPr>
      <w:r w:rsidRPr="00A25147">
        <w:rPr>
          <w:snapToGrid/>
          <w:sz w:val="18"/>
          <w:szCs w:val="18"/>
        </w:rPr>
        <w:tab/>
        <w:t xml:space="preserve">Fig 2. </w:t>
      </w:r>
      <w:r w:rsidR="00983608" w:rsidRPr="00A25147">
        <w:rPr>
          <w:snapToGrid/>
          <w:sz w:val="18"/>
          <w:szCs w:val="18"/>
        </w:rPr>
        <w:t>Water Footprint of fruit and vegetable losses in Italy (2019 and 2020)</w:t>
      </w:r>
    </w:p>
    <w:p w14:paraId="05245D48" w14:textId="4F1C1041" w:rsidR="003D1040" w:rsidRPr="00A25147" w:rsidRDefault="003D1040" w:rsidP="004B58FF">
      <w:pPr>
        <w:pStyle w:val="Abstract"/>
        <w:tabs>
          <w:tab w:val="left" w:pos="6379"/>
        </w:tabs>
        <w:spacing w:line="276" w:lineRule="auto"/>
        <w:ind w:left="14" w:right="-30"/>
        <w:rPr>
          <w:snapToGrid/>
          <w:sz w:val="24"/>
          <w:szCs w:val="24"/>
        </w:rPr>
      </w:pPr>
      <w:r w:rsidRPr="00A25147">
        <w:rPr>
          <w:snapToGrid/>
          <w:sz w:val="24"/>
          <w:szCs w:val="24"/>
        </w:rPr>
        <w:t>Finally, regarding CED, the study results show how a reduction in horticultural losses could induce "savings" of 2.25 × 10</w:t>
      </w:r>
      <w:r w:rsidRPr="00A25147">
        <w:rPr>
          <w:snapToGrid/>
          <w:sz w:val="24"/>
          <w:szCs w:val="24"/>
          <w:vertAlign w:val="superscript"/>
        </w:rPr>
        <w:t>9</w:t>
      </w:r>
      <w:r w:rsidRPr="00A25147">
        <w:rPr>
          <w:snapToGrid/>
          <w:sz w:val="24"/>
          <w:szCs w:val="24"/>
        </w:rPr>
        <w:t xml:space="preserve"> MJ eq (</w:t>
      </w:r>
      <w:r w:rsidR="009464AF" w:rsidRPr="00A25147">
        <w:rPr>
          <w:snapToGrid/>
          <w:sz w:val="24"/>
          <w:szCs w:val="24"/>
        </w:rPr>
        <w:t>‒</w:t>
      </w:r>
      <w:r w:rsidRPr="00A25147">
        <w:rPr>
          <w:snapToGrid/>
          <w:sz w:val="24"/>
          <w:szCs w:val="24"/>
        </w:rPr>
        <w:t>40%), from 8.94 × 10</w:t>
      </w:r>
      <w:r w:rsidRPr="00A25147">
        <w:rPr>
          <w:snapToGrid/>
          <w:sz w:val="24"/>
          <w:szCs w:val="24"/>
          <w:vertAlign w:val="superscript"/>
        </w:rPr>
        <w:t>9</w:t>
      </w:r>
      <w:r w:rsidRPr="00A25147">
        <w:rPr>
          <w:snapToGrid/>
          <w:sz w:val="24"/>
          <w:szCs w:val="24"/>
        </w:rPr>
        <w:t xml:space="preserve"> (2019) to 6.69 × 10</w:t>
      </w:r>
      <w:r w:rsidRPr="00A25147">
        <w:rPr>
          <w:snapToGrid/>
          <w:sz w:val="24"/>
          <w:szCs w:val="24"/>
          <w:vertAlign w:val="superscript"/>
        </w:rPr>
        <w:t>9</w:t>
      </w:r>
      <w:r w:rsidRPr="00A25147">
        <w:rPr>
          <w:snapToGrid/>
          <w:sz w:val="24"/>
          <w:szCs w:val="24"/>
        </w:rPr>
        <w:t xml:space="preserve"> (2020) (Figure 3).</w:t>
      </w:r>
    </w:p>
    <w:p w14:paraId="7506F401" w14:textId="77777777" w:rsidR="00F97B54" w:rsidRPr="00A25147" w:rsidRDefault="00F97B54" w:rsidP="004B58FF">
      <w:pPr>
        <w:pStyle w:val="Abstract"/>
        <w:tabs>
          <w:tab w:val="left" w:pos="6379"/>
        </w:tabs>
        <w:spacing w:line="276" w:lineRule="auto"/>
        <w:ind w:left="14" w:right="-30"/>
        <w:rPr>
          <w:snapToGrid/>
          <w:sz w:val="24"/>
          <w:szCs w:val="24"/>
        </w:rPr>
      </w:pPr>
    </w:p>
    <w:p w14:paraId="35A238D1" w14:textId="132BBADF" w:rsidR="003D1040" w:rsidRPr="00A25147" w:rsidRDefault="003D1040" w:rsidP="004B58FF">
      <w:pPr>
        <w:pStyle w:val="Abstract"/>
        <w:tabs>
          <w:tab w:val="left" w:pos="6379"/>
        </w:tabs>
        <w:spacing w:line="276" w:lineRule="auto"/>
        <w:ind w:left="0" w:right="-30"/>
        <w:jc w:val="center"/>
        <w:rPr>
          <w:snapToGrid/>
          <w:sz w:val="24"/>
        </w:rPr>
      </w:pPr>
      <w:r w:rsidRPr="00A25147">
        <w:rPr>
          <w:rFonts w:asciiTheme="majorHAnsi" w:eastAsia="Palatino Linotype" w:hAnsiTheme="majorHAnsi" w:cstheme="majorHAnsi"/>
          <w:noProof/>
        </w:rPr>
        <w:drawing>
          <wp:inline distT="0" distB="0" distL="0" distR="0" wp14:anchorId="0FACC53F" wp14:editId="49ED874A">
            <wp:extent cx="4044950" cy="227515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9869" cy="2277925"/>
                    </a:xfrm>
                    <a:prstGeom prst="rect">
                      <a:avLst/>
                    </a:prstGeom>
                    <a:noFill/>
                  </pic:spPr>
                </pic:pic>
              </a:graphicData>
            </a:graphic>
          </wp:inline>
        </w:drawing>
      </w:r>
    </w:p>
    <w:p w14:paraId="4D43B6CE" w14:textId="3D7E9656" w:rsidR="003D1040" w:rsidRPr="00A25147" w:rsidRDefault="003D1040" w:rsidP="003D1040">
      <w:pPr>
        <w:pStyle w:val="Abstract"/>
        <w:tabs>
          <w:tab w:val="center" w:pos="3628"/>
          <w:tab w:val="left" w:pos="4320"/>
          <w:tab w:val="left" w:pos="6379"/>
        </w:tabs>
        <w:spacing w:after="240" w:line="276" w:lineRule="auto"/>
        <w:ind w:left="57" w:right="0"/>
        <w:jc w:val="left"/>
        <w:rPr>
          <w:snapToGrid/>
          <w:sz w:val="18"/>
          <w:szCs w:val="18"/>
        </w:rPr>
      </w:pPr>
      <w:r w:rsidRPr="00A25147">
        <w:rPr>
          <w:snapToGrid/>
          <w:sz w:val="18"/>
          <w:szCs w:val="18"/>
        </w:rPr>
        <w:tab/>
        <w:t xml:space="preserve">Fig </w:t>
      </w:r>
      <w:r w:rsidR="004B58FF" w:rsidRPr="00A25147">
        <w:rPr>
          <w:snapToGrid/>
          <w:sz w:val="18"/>
          <w:szCs w:val="18"/>
        </w:rPr>
        <w:t>3</w:t>
      </w:r>
      <w:r w:rsidRPr="00A25147">
        <w:rPr>
          <w:snapToGrid/>
          <w:sz w:val="18"/>
          <w:szCs w:val="18"/>
        </w:rPr>
        <w:t>. CED of fruit and vegetable losses in Italy (2019 and 2020)</w:t>
      </w:r>
    </w:p>
    <w:p w14:paraId="2E036242" w14:textId="59345249" w:rsidR="003D1040" w:rsidRPr="00A25147" w:rsidRDefault="003D1040" w:rsidP="003D1040">
      <w:pPr>
        <w:pStyle w:val="Abstract"/>
        <w:tabs>
          <w:tab w:val="left" w:pos="6379"/>
        </w:tabs>
        <w:spacing w:line="276" w:lineRule="auto"/>
        <w:ind w:left="0" w:right="-30"/>
        <w:rPr>
          <w:snapToGrid/>
          <w:sz w:val="24"/>
        </w:rPr>
      </w:pPr>
      <w:r w:rsidRPr="00A25147">
        <w:rPr>
          <w:snapToGrid/>
          <w:sz w:val="24"/>
        </w:rPr>
        <w:t xml:space="preserve">Reducing the CED, expresses, even more, the importance of energy source management, even considering the current period, characterized by the </w:t>
      </w:r>
      <w:r w:rsidRPr="00A25147">
        <w:rPr>
          <w:snapToGrid/>
          <w:sz w:val="24"/>
        </w:rPr>
        <w:lastRenderedPageBreak/>
        <w:t xml:space="preserve">energy crisis following the war in Ukraine and inflated electricity prices that should push countries, even more, to accelerate the green transition. However, already in the aftermath of the Covid-19 pandemic, the transition to renewable energy had slowed down for the first time, and of the €14 trillion spent by G20 </w:t>
      </w:r>
      <w:r w:rsidR="00EF4F66" w:rsidRPr="00A25147">
        <w:rPr>
          <w:snapToGrid/>
          <w:sz w:val="24"/>
        </w:rPr>
        <w:t xml:space="preserve">Countries </w:t>
      </w:r>
      <w:r w:rsidRPr="00A25147">
        <w:rPr>
          <w:snapToGrid/>
          <w:sz w:val="24"/>
        </w:rPr>
        <w:t xml:space="preserve">on economic stimulus measures, only 6% went to cutting emissions. Moreover, in the European Union, energy production from coal increased by +18% in 2021, the first time in a decade, and in the next 20 years, Russia will most likely continue to export to Europe via the Nord Stream pipeline. At this rate, according to the latest IPCC report, we are heading toward a +3.2°C rise in temperatures by 2100, more than double the 1.5°C that states have repeatedly pledged to achieve. Instead, research and investment will have to move in the opposite direction, through the creation of plants that provide high-density renewable energy, which cannot be obtained 100% from renewables, since the energy they provide is sometimes intermittent. Investment in renewables is, therefore, necessary precisely because high gas prices and inflated hydrocarbon prices make alternative sources economic in the long run, </w:t>
      </w:r>
      <w:proofErr w:type="gramStart"/>
      <w:r w:rsidRPr="00A25147">
        <w:rPr>
          <w:snapToGrid/>
          <w:sz w:val="24"/>
        </w:rPr>
        <w:t>and also</w:t>
      </w:r>
      <w:proofErr w:type="gramEnd"/>
      <w:r w:rsidRPr="00A25147">
        <w:rPr>
          <w:snapToGrid/>
          <w:sz w:val="24"/>
        </w:rPr>
        <w:t xml:space="preserve"> because the need for energy security increases the urgency of addressing climate change.</w:t>
      </w:r>
    </w:p>
    <w:p w14:paraId="47459136" w14:textId="52E0A486" w:rsidR="00311310" w:rsidRPr="00A25147" w:rsidRDefault="00311310" w:rsidP="003D1040">
      <w:pPr>
        <w:pStyle w:val="Abstract"/>
        <w:tabs>
          <w:tab w:val="left" w:pos="6379"/>
        </w:tabs>
        <w:spacing w:line="276" w:lineRule="auto"/>
        <w:ind w:left="0" w:right="-30"/>
        <w:rPr>
          <w:snapToGrid/>
          <w:sz w:val="24"/>
        </w:rPr>
      </w:pPr>
    </w:p>
    <w:p w14:paraId="0F1495B4" w14:textId="7994534D" w:rsidR="00311310" w:rsidRPr="00A25147" w:rsidRDefault="00311310" w:rsidP="00311310">
      <w:pPr>
        <w:pStyle w:val="Abstract"/>
        <w:numPr>
          <w:ilvl w:val="1"/>
          <w:numId w:val="46"/>
        </w:numPr>
        <w:tabs>
          <w:tab w:val="left" w:pos="6379"/>
        </w:tabs>
        <w:spacing w:line="276" w:lineRule="auto"/>
        <w:ind w:right="-30"/>
        <w:rPr>
          <w:b/>
          <w:bCs/>
          <w:snapToGrid/>
          <w:sz w:val="24"/>
        </w:rPr>
      </w:pPr>
      <w:r w:rsidRPr="00A25147">
        <w:rPr>
          <w:b/>
          <w:bCs/>
          <w:snapToGrid/>
          <w:sz w:val="24"/>
        </w:rPr>
        <w:t>Estimation of a social cost</w:t>
      </w:r>
      <w:r w:rsidR="00540D3A" w:rsidRPr="00A25147">
        <w:rPr>
          <w:b/>
          <w:bCs/>
          <w:snapToGrid/>
          <w:sz w:val="24"/>
        </w:rPr>
        <w:t>: CF and WF</w:t>
      </w:r>
    </w:p>
    <w:p w14:paraId="694EECE1" w14:textId="6D7BE4C7" w:rsidR="00424DE3" w:rsidRPr="00A25147" w:rsidRDefault="00311310" w:rsidP="003D1040">
      <w:pPr>
        <w:pStyle w:val="Abstract"/>
        <w:tabs>
          <w:tab w:val="left" w:pos="6379"/>
        </w:tabs>
        <w:spacing w:line="276" w:lineRule="auto"/>
        <w:ind w:left="0" w:right="-30"/>
        <w:rPr>
          <w:snapToGrid/>
          <w:sz w:val="24"/>
        </w:rPr>
      </w:pPr>
      <w:r w:rsidRPr="00A25147">
        <w:rPr>
          <w:snapToGrid/>
          <w:sz w:val="24"/>
        </w:rPr>
        <w:t xml:space="preserve">Based on the results, </w:t>
      </w:r>
      <w:proofErr w:type="gramStart"/>
      <w:r w:rsidRPr="00A25147">
        <w:rPr>
          <w:snapToGrid/>
          <w:sz w:val="24"/>
        </w:rPr>
        <w:t>in order to</w:t>
      </w:r>
      <w:proofErr w:type="gramEnd"/>
      <w:r w:rsidRPr="00A25147">
        <w:rPr>
          <w:snapToGrid/>
          <w:sz w:val="24"/>
        </w:rPr>
        <w:t xml:space="preserve"> gain an even better understanding of the extent of horticultural losses in Italy, it might be possible to quantify a possible social cost associated with them. The basic idea is to give CO</w:t>
      </w:r>
      <w:r w:rsidRPr="00A25147">
        <w:rPr>
          <w:snapToGrid/>
          <w:sz w:val="24"/>
          <w:vertAlign w:val="subscript"/>
        </w:rPr>
        <w:t>2</w:t>
      </w:r>
      <w:r w:rsidRPr="00A25147">
        <w:rPr>
          <w:snapToGrid/>
          <w:sz w:val="24"/>
        </w:rPr>
        <w:t xml:space="preserve"> emissions and consumed water a market value that reflects the price they cost society, based on the shadow price theory (the price of a good in the absence of a market but determined </w:t>
      </w:r>
      <w:proofErr w:type="gramStart"/>
      <w:r w:rsidRPr="00A25147">
        <w:rPr>
          <w:snapToGrid/>
          <w:sz w:val="24"/>
        </w:rPr>
        <w:t>on the basis of</w:t>
      </w:r>
      <w:proofErr w:type="gramEnd"/>
      <w:r w:rsidRPr="00A25147">
        <w:rPr>
          <w:snapToGrid/>
          <w:sz w:val="24"/>
        </w:rPr>
        <w:t xml:space="preserve"> the impacts on society of that good or on the basis of its scarcity). Regarding CF, recently the European Bank for Reconstruction and Development (EBRD) has theorized a model whereby it suggests that the price of Carbon should be set at 40-80€/ton for 2020 and 50-100€ for 2030. Thus, considering the losses to 2020 and the above shadow prices, if a price were to be applied to the emissions caused by horticultural losses, they would lead to a social cost of between €10.2-20.4 million, with a </w:t>
      </w:r>
      <w:r w:rsidRPr="00A25147">
        <w:rPr>
          <w:i/>
          <w:iCs/>
          <w:snapToGrid/>
          <w:sz w:val="24"/>
        </w:rPr>
        <w:t>per capita</w:t>
      </w:r>
      <w:r w:rsidRPr="00A25147">
        <w:rPr>
          <w:snapToGrid/>
          <w:sz w:val="24"/>
        </w:rPr>
        <w:t xml:space="preserve"> social cost of between €0.17-0.34 (Table 2).</w:t>
      </w:r>
    </w:p>
    <w:p w14:paraId="354EF07C" w14:textId="77777777" w:rsidR="00424DE3" w:rsidRPr="00A25147" w:rsidRDefault="00424DE3" w:rsidP="00424DE3">
      <w:pPr>
        <w:pStyle w:val="Abstract"/>
        <w:tabs>
          <w:tab w:val="center" w:pos="3628"/>
          <w:tab w:val="left" w:pos="4320"/>
          <w:tab w:val="left" w:pos="6379"/>
        </w:tabs>
        <w:spacing w:after="240" w:line="276" w:lineRule="auto"/>
        <w:ind w:left="57" w:right="0"/>
        <w:jc w:val="center"/>
        <w:rPr>
          <w:snapToGrid/>
          <w:sz w:val="18"/>
          <w:szCs w:val="18"/>
        </w:rPr>
      </w:pPr>
    </w:p>
    <w:p w14:paraId="77048858" w14:textId="5C7FFE63" w:rsidR="00311310" w:rsidRPr="00A25147" w:rsidRDefault="00424DE3" w:rsidP="00424DE3">
      <w:pPr>
        <w:pStyle w:val="Abstract"/>
        <w:tabs>
          <w:tab w:val="center" w:pos="3628"/>
          <w:tab w:val="left" w:pos="4320"/>
          <w:tab w:val="left" w:pos="6379"/>
        </w:tabs>
        <w:spacing w:after="240" w:line="276" w:lineRule="auto"/>
        <w:ind w:left="57" w:right="0"/>
        <w:jc w:val="center"/>
        <w:rPr>
          <w:snapToGrid/>
          <w:sz w:val="18"/>
          <w:szCs w:val="18"/>
        </w:rPr>
      </w:pPr>
      <w:r w:rsidRPr="00A25147">
        <w:rPr>
          <w:snapToGrid/>
          <w:sz w:val="18"/>
          <w:szCs w:val="18"/>
        </w:rPr>
        <w:lastRenderedPageBreak/>
        <w:t>Table 2. Per capita social cost of fruit and vegetable losses (CF).</w:t>
      </w:r>
    </w:p>
    <w:tbl>
      <w:tblPr>
        <w:tblStyle w:val="Tabellasemplice-2"/>
        <w:tblW w:w="5021" w:type="pct"/>
        <w:tblLayout w:type="fixed"/>
        <w:tblLook w:val="04A0" w:firstRow="1" w:lastRow="0" w:firstColumn="1" w:lastColumn="0" w:noHBand="0" w:noVBand="1"/>
      </w:tblPr>
      <w:tblGrid>
        <w:gridCol w:w="2777"/>
        <w:gridCol w:w="2186"/>
        <w:gridCol w:w="2267"/>
      </w:tblGrid>
      <w:tr w:rsidR="00A25147" w:rsidRPr="00A25147" w14:paraId="1D5D0007" w14:textId="77777777" w:rsidTr="00424D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0" w:type="pct"/>
            <w:noWrap/>
            <w:vAlign w:val="center"/>
          </w:tcPr>
          <w:p w14:paraId="2148F64C" w14:textId="77777777" w:rsidR="00311310" w:rsidRPr="00A25147" w:rsidRDefault="00311310" w:rsidP="00424DE3">
            <w:pPr>
              <w:spacing w:line="240" w:lineRule="auto"/>
              <w:jc w:val="center"/>
              <w:rPr>
                <w:rFonts w:ascii="Times New Roman" w:hAnsi="Times New Roman" w:cs="Times New Roman"/>
                <w:b w:val="0"/>
                <w:bCs w:val="0"/>
                <w:lang w:val="en-US" w:eastAsia="it-IT"/>
              </w:rPr>
            </w:pPr>
          </w:p>
        </w:tc>
        <w:tc>
          <w:tcPr>
            <w:tcW w:w="1512" w:type="pct"/>
            <w:noWrap/>
            <w:vAlign w:val="center"/>
          </w:tcPr>
          <w:p w14:paraId="071D9562" w14:textId="77777777" w:rsidR="00311310" w:rsidRPr="00A25147" w:rsidRDefault="00311310" w:rsidP="00424DE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eastAsia="it-IT"/>
              </w:rPr>
            </w:pPr>
            <w:r w:rsidRPr="00A25147">
              <w:rPr>
                <w:rFonts w:ascii="Times New Roman" w:hAnsi="Times New Roman" w:cs="Times New Roman"/>
                <w:b w:val="0"/>
                <w:bCs w:val="0"/>
                <w:lang w:eastAsia="it-IT"/>
              </w:rPr>
              <w:t>2019</w:t>
            </w:r>
          </w:p>
        </w:tc>
        <w:tc>
          <w:tcPr>
            <w:tcW w:w="1568" w:type="pct"/>
            <w:noWrap/>
            <w:vAlign w:val="center"/>
          </w:tcPr>
          <w:p w14:paraId="14F886ED" w14:textId="513A3907" w:rsidR="00311310" w:rsidRPr="00A25147" w:rsidRDefault="00424DE3" w:rsidP="00424DE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eastAsia="it-IT"/>
              </w:rPr>
            </w:pPr>
            <w:r w:rsidRPr="00A25147">
              <w:rPr>
                <w:rFonts w:ascii="Times New Roman" w:hAnsi="Times New Roman"/>
                <w:b w:val="0"/>
                <w:bCs w:val="0"/>
                <w:lang w:eastAsia="it-IT"/>
              </w:rPr>
              <w:t>2</w:t>
            </w:r>
            <w:r w:rsidR="00311310" w:rsidRPr="00A25147">
              <w:rPr>
                <w:rFonts w:ascii="Times New Roman" w:hAnsi="Times New Roman" w:cs="Times New Roman"/>
                <w:b w:val="0"/>
                <w:bCs w:val="0"/>
                <w:lang w:eastAsia="it-IT"/>
              </w:rPr>
              <w:t>020</w:t>
            </w:r>
          </w:p>
        </w:tc>
      </w:tr>
      <w:tr w:rsidR="00A25147" w:rsidRPr="00A25147" w14:paraId="6132D9F7" w14:textId="77777777" w:rsidTr="0042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0" w:type="pct"/>
            <w:noWrap/>
            <w:vAlign w:val="center"/>
            <w:hideMark/>
          </w:tcPr>
          <w:p w14:paraId="13D6BC6D" w14:textId="5E032D4F" w:rsidR="00311310" w:rsidRPr="00A25147" w:rsidRDefault="00311310" w:rsidP="00424DE3">
            <w:pPr>
              <w:spacing w:line="240" w:lineRule="auto"/>
              <w:jc w:val="center"/>
              <w:rPr>
                <w:rFonts w:ascii="Times New Roman" w:hAnsi="Times New Roman" w:cs="Times New Roman"/>
                <w:b w:val="0"/>
                <w:bCs w:val="0"/>
                <w:lang w:eastAsia="it-IT"/>
              </w:rPr>
            </w:pPr>
            <w:r w:rsidRPr="00A25147">
              <w:rPr>
                <w:rFonts w:ascii="Times New Roman" w:hAnsi="Times New Roman" w:cs="Times New Roman"/>
                <w:b w:val="0"/>
                <w:bCs w:val="0"/>
                <w:lang w:eastAsia="it-IT"/>
              </w:rPr>
              <w:t>CF</w:t>
            </w:r>
          </w:p>
        </w:tc>
        <w:tc>
          <w:tcPr>
            <w:tcW w:w="1512" w:type="pct"/>
            <w:noWrap/>
            <w:vAlign w:val="center"/>
            <w:hideMark/>
          </w:tcPr>
          <w:p w14:paraId="300757B2" w14:textId="77777777" w:rsidR="00311310" w:rsidRPr="00A25147" w:rsidRDefault="00311310" w:rsidP="00424DE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316,000 ton CO</w:t>
            </w:r>
            <w:r w:rsidRPr="00A25147">
              <w:rPr>
                <w:rFonts w:ascii="Times New Roman" w:hAnsi="Times New Roman" w:cs="Times New Roman"/>
                <w:vertAlign w:val="subscript"/>
                <w:lang w:eastAsia="it-IT"/>
              </w:rPr>
              <w:t>2</w:t>
            </w:r>
            <w:r w:rsidRPr="00A25147">
              <w:rPr>
                <w:rFonts w:ascii="Times New Roman" w:hAnsi="Times New Roman" w:cs="Times New Roman"/>
                <w:lang w:eastAsia="it-IT"/>
              </w:rPr>
              <w:t xml:space="preserve"> </w:t>
            </w:r>
            <w:proofErr w:type="spellStart"/>
            <w:r w:rsidRPr="00A25147">
              <w:rPr>
                <w:rFonts w:ascii="Times New Roman" w:hAnsi="Times New Roman" w:cs="Times New Roman"/>
                <w:lang w:eastAsia="it-IT"/>
              </w:rPr>
              <w:t>eq</w:t>
            </w:r>
            <w:proofErr w:type="spellEnd"/>
          </w:p>
        </w:tc>
        <w:tc>
          <w:tcPr>
            <w:tcW w:w="1568" w:type="pct"/>
            <w:noWrap/>
            <w:vAlign w:val="center"/>
            <w:hideMark/>
          </w:tcPr>
          <w:p w14:paraId="24BC270D" w14:textId="77777777" w:rsidR="00311310" w:rsidRPr="00A25147" w:rsidRDefault="00311310" w:rsidP="00424DE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255,000 ton CO</w:t>
            </w:r>
            <w:r w:rsidRPr="00A25147">
              <w:rPr>
                <w:rFonts w:ascii="Times New Roman" w:hAnsi="Times New Roman" w:cs="Times New Roman"/>
                <w:vertAlign w:val="subscript"/>
                <w:lang w:eastAsia="it-IT"/>
              </w:rPr>
              <w:t>2</w:t>
            </w:r>
            <w:r w:rsidRPr="00A25147">
              <w:rPr>
                <w:rFonts w:ascii="Times New Roman" w:hAnsi="Times New Roman" w:cs="Times New Roman"/>
                <w:lang w:eastAsia="it-IT"/>
              </w:rPr>
              <w:t xml:space="preserve"> </w:t>
            </w:r>
            <w:proofErr w:type="spellStart"/>
            <w:r w:rsidRPr="00A25147">
              <w:rPr>
                <w:rFonts w:ascii="Times New Roman" w:hAnsi="Times New Roman" w:cs="Times New Roman"/>
                <w:lang w:eastAsia="it-IT"/>
              </w:rPr>
              <w:t>eq</w:t>
            </w:r>
            <w:proofErr w:type="spellEnd"/>
          </w:p>
        </w:tc>
      </w:tr>
      <w:tr w:rsidR="00A25147" w:rsidRPr="00A25147" w14:paraId="4284D178" w14:textId="77777777" w:rsidTr="00424DE3">
        <w:trPr>
          <w:trHeight w:val="288"/>
        </w:trPr>
        <w:tc>
          <w:tcPr>
            <w:cnfStyle w:val="001000000000" w:firstRow="0" w:lastRow="0" w:firstColumn="1" w:lastColumn="0" w:oddVBand="0" w:evenVBand="0" w:oddHBand="0" w:evenHBand="0" w:firstRowFirstColumn="0" w:firstRowLastColumn="0" w:lastRowFirstColumn="0" w:lastRowLastColumn="0"/>
            <w:tcW w:w="1920" w:type="pct"/>
            <w:noWrap/>
            <w:vAlign w:val="center"/>
            <w:hideMark/>
          </w:tcPr>
          <w:p w14:paraId="76E0B411" w14:textId="77777777" w:rsidR="00311310" w:rsidRPr="00A25147" w:rsidRDefault="00311310" w:rsidP="00424DE3">
            <w:pPr>
              <w:spacing w:line="240" w:lineRule="auto"/>
              <w:jc w:val="center"/>
              <w:rPr>
                <w:rFonts w:ascii="Times New Roman" w:hAnsi="Times New Roman" w:cs="Times New Roman"/>
                <w:b w:val="0"/>
                <w:bCs w:val="0"/>
                <w:lang w:eastAsia="it-IT"/>
              </w:rPr>
            </w:pPr>
            <w:r w:rsidRPr="00A25147">
              <w:rPr>
                <w:rFonts w:ascii="Times New Roman" w:hAnsi="Times New Roman" w:cs="Times New Roman"/>
                <w:b w:val="0"/>
                <w:bCs w:val="0"/>
                <w:lang w:eastAsia="it-IT"/>
              </w:rPr>
              <w:t>Shadow price CO</w:t>
            </w:r>
            <w:r w:rsidRPr="00A25147">
              <w:rPr>
                <w:rFonts w:ascii="Times New Roman" w:hAnsi="Times New Roman" w:cs="Times New Roman"/>
                <w:b w:val="0"/>
                <w:bCs w:val="0"/>
                <w:vertAlign w:val="subscript"/>
                <w:lang w:eastAsia="it-IT"/>
              </w:rPr>
              <w:t>2</w:t>
            </w:r>
          </w:p>
        </w:tc>
        <w:tc>
          <w:tcPr>
            <w:tcW w:w="3080" w:type="pct"/>
            <w:gridSpan w:val="2"/>
            <w:noWrap/>
            <w:vAlign w:val="center"/>
            <w:hideMark/>
          </w:tcPr>
          <w:p w14:paraId="2568DA20" w14:textId="77777777" w:rsidR="00311310" w:rsidRPr="00A25147" w:rsidRDefault="00311310" w:rsidP="00424DE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40-80€/ton</w:t>
            </w:r>
          </w:p>
        </w:tc>
      </w:tr>
      <w:tr w:rsidR="00A25147" w:rsidRPr="00A25147" w14:paraId="2198AA34" w14:textId="77777777" w:rsidTr="0042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0" w:type="pct"/>
            <w:vAlign w:val="center"/>
            <w:hideMark/>
          </w:tcPr>
          <w:p w14:paraId="7C64CC3F" w14:textId="77777777" w:rsidR="00311310" w:rsidRPr="00A25147" w:rsidRDefault="00311310" w:rsidP="00424DE3">
            <w:pPr>
              <w:spacing w:line="240" w:lineRule="auto"/>
              <w:jc w:val="center"/>
              <w:rPr>
                <w:rFonts w:ascii="Times New Roman" w:hAnsi="Times New Roman" w:cs="Times New Roman"/>
                <w:b w:val="0"/>
                <w:bCs w:val="0"/>
                <w:lang w:eastAsia="it-IT"/>
              </w:rPr>
            </w:pPr>
            <w:proofErr w:type="spellStart"/>
            <w:r w:rsidRPr="00A25147">
              <w:rPr>
                <w:rFonts w:ascii="Times New Roman" w:hAnsi="Times New Roman" w:cs="Times New Roman"/>
                <w:b w:val="0"/>
                <w:bCs w:val="0"/>
                <w:lang w:eastAsia="it-IT"/>
              </w:rPr>
              <w:t>Estimated</w:t>
            </w:r>
            <w:proofErr w:type="spellEnd"/>
            <w:r w:rsidRPr="00A25147">
              <w:rPr>
                <w:rFonts w:ascii="Times New Roman" w:hAnsi="Times New Roman" w:cs="Times New Roman"/>
                <w:b w:val="0"/>
                <w:bCs w:val="0"/>
                <w:lang w:eastAsia="it-IT"/>
              </w:rPr>
              <w:t xml:space="preserve"> social cost</w:t>
            </w:r>
          </w:p>
        </w:tc>
        <w:tc>
          <w:tcPr>
            <w:tcW w:w="1512" w:type="pct"/>
            <w:noWrap/>
            <w:vAlign w:val="center"/>
            <w:hideMark/>
          </w:tcPr>
          <w:p w14:paraId="41FC7D0E" w14:textId="0B302893" w:rsidR="00311310" w:rsidRPr="00A25147" w:rsidRDefault="00311310" w:rsidP="00424DE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12</w:t>
            </w:r>
            <w:r w:rsidR="00532EDB" w:rsidRPr="00A25147">
              <w:rPr>
                <w:rFonts w:ascii="Times New Roman" w:hAnsi="Times New Roman" w:cs="Times New Roman"/>
                <w:lang w:eastAsia="it-IT"/>
              </w:rPr>
              <w:t>.</w:t>
            </w:r>
            <w:r w:rsidRPr="00A25147">
              <w:rPr>
                <w:rFonts w:ascii="Times New Roman" w:hAnsi="Times New Roman" w:cs="Times New Roman"/>
                <w:lang w:eastAsia="it-IT"/>
              </w:rPr>
              <w:t>6-25</w:t>
            </w:r>
            <w:r w:rsidR="00532EDB" w:rsidRPr="00A25147">
              <w:rPr>
                <w:rFonts w:ascii="Times New Roman" w:hAnsi="Times New Roman" w:cs="Times New Roman"/>
                <w:lang w:eastAsia="it-IT"/>
              </w:rPr>
              <w:t>.</w:t>
            </w:r>
            <w:r w:rsidRPr="00A25147">
              <w:rPr>
                <w:rFonts w:ascii="Times New Roman" w:hAnsi="Times New Roman" w:cs="Times New Roman"/>
                <w:lang w:eastAsia="it-IT"/>
              </w:rPr>
              <w:t>2</w:t>
            </w:r>
            <w:r w:rsidRPr="00A25147">
              <w:rPr>
                <w:rFonts w:ascii="Times New Roman" w:hAnsi="Times New Roman"/>
                <w:lang w:eastAsia="it-IT"/>
              </w:rPr>
              <w:t xml:space="preserve"> mln </w:t>
            </w:r>
            <w:r w:rsidRPr="00A25147">
              <w:rPr>
                <w:rFonts w:ascii="Times New Roman" w:hAnsi="Times New Roman" w:cs="Times New Roman"/>
                <w:lang w:eastAsia="it-IT"/>
              </w:rPr>
              <w:t>€</w:t>
            </w:r>
          </w:p>
        </w:tc>
        <w:tc>
          <w:tcPr>
            <w:tcW w:w="1568" w:type="pct"/>
            <w:noWrap/>
            <w:vAlign w:val="center"/>
            <w:hideMark/>
          </w:tcPr>
          <w:p w14:paraId="0E5658C8" w14:textId="3224B401" w:rsidR="00311310" w:rsidRPr="00A25147" w:rsidRDefault="00311310" w:rsidP="00424DE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10</w:t>
            </w:r>
            <w:r w:rsidR="00532EDB" w:rsidRPr="00A25147">
              <w:rPr>
                <w:rFonts w:ascii="Times New Roman" w:hAnsi="Times New Roman" w:cs="Times New Roman"/>
                <w:lang w:eastAsia="it-IT"/>
              </w:rPr>
              <w:t>.</w:t>
            </w:r>
            <w:r w:rsidRPr="00A25147">
              <w:rPr>
                <w:rFonts w:ascii="Times New Roman" w:hAnsi="Times New Roman" w:cs="Times New Roman"/>
                <w:lang w:eastAsia="it-IT"/>
              </w:rPr>
              <w:t>2-20</w:t>
            </w:r>
            <w:r w:rsidR="00532EDB" w:rsidRPr="00A25147">
              <w:rPr>
                <w:rFonts w:ascii="Times New Roman" w:hAnsi="Times New Roman" w:cs="Times New Roman"/>
                <w:lang w:eastAsia="it-IT"/>
              </w:rPr>
              <w:t>.</w:t>
            </w:r>
            <w:r w:rsidRPr="00A25147">
              <w:rPr>
                <w:rFonts w:ascii="Times New Roman" w:hAnsi="Times New Roman" w:cs="Times New Roman"/>
                <w:lang w:eastAsia="it-IT"/>
              </w:rPr>
              <w:t>4</w:t>
            </w:r>
            <w:r w:rsidRPr="00A25147">
              <w:rPr>
                <w:rFonts w:ascii="Times New Roman" w:hAnsi="Times New Roman"/>
                <w:lang w:eastAsia="it-IT"/>
              </w:rPr>
              <w:t xml:space="preserve"> mln </w:t>
            </w:r>
            <w:r w:rsidRPr="00A25147">
              <w:rPr>
                <w:rFonts w:ascii="Times New Roman" w:hAnsi="Times New Roman" w:cs="Times New Roman"/>
                <w:lang w:eastAsia="it-IT"/>
              </w:rPr>
              <w:t>€</w:t>
            </w:r>
          </w:p>
        </w:tc>
      </w:tr>
      <w:tr w:rsidR="00A25147" w:rsidRPr="00A25147" w14:paraId="5625E129" w14:textId="77777777" w:rsidTr="00DC2E0F">
        <w:trPr>
          <w:trHeight w:val="288"/>
        </w:trPr>
        <w:tc>
          <w:tcPr>
            <w:cnfStyle w:val="001000000000" w:firstRow="0" w:lastRow="0" w:firstColumn="1" w:lastColumn="0" w:oddVBand="0" w:evenVBand="0" w:oddHBand="0" w:evenHBand="0" w:firstRowFirstColumn="0" w:firstRowLastColumn="0" w:lastRowFirstColumn="0" w:lastRowLastColumn="0"/>
            <w:tcW w:w="1920" w:type="pct"/>
            <w:noWrap/>
            <w:hideMark/>
          </w:tcPr>
          <w:p w14:paraId="78C6538B" w14:textId="1DC42DCF" w:rsidR="00424DE3" w:rsidRPr="00A25147" w:rsidRDefault="00424DE3" w:rsidP="00424DE3">
            <w:pPr>
              <w:spacing w:line="240" w:lineRule="auto"/>
              <w:jc w:val="center"/>
              <w:rPr>
                <w:rFonts w:ascii="Times New Roman" w:hAnsi="Times New Roman" w:cs="Times New Roman"/>
                <w:b w:val="0"/>
                <w:bCs w:val="0"/>
                <w:lang w:eastAsia="it-IT"/>
              </w:rPr>
            </w:pPr>
            <w:proofErr w:type="spellStart"/>
            <w:r w:rsidRPr="00A25147">
              <w:rPr>
                <w:rFonts w:ascii="Times New Roman" w:hAnsi="Times New Roman" w:cs="Times New Roman"/>
                <w:b w:val="0"/>
                <w:bCs w:val="0"/>
                <w:lang w:eastAsia="it-IT"/>
              </w:rPr>
              <w:t>Estimated</w:t>
            </w:r>
            <w:proofErr w:type="spellEnd"/>
            <w:r w:rsidRPr="00A25147">
              <w:rPr>
                <w:rFonts w:ascii="Times New Roman" w:hAnsi="Times New Roman" w:cs="Times New Roman"/>
                <w:b w:val="0"/>
                <w:bCs w:val="0"/>
                <w:lang w:eastAsia="it-IT"/>
              </w:rPr>
              <w:t xml:space="preserve"> </w:t>
            </w:r>
            <w:r w:rsidRPr="00A25147">
              <w:rPr>
                <w:rFonts w:ascii="Times New Roman" w:hAnsi="Times New Roman" w:cs="Times New Roman"/>
                <w:b w:val="0"/>
                <w:bCs w:val="0"/>
                <w:i/>
                <w:iCs/>
                <w:lang w:eastAsia="it-IT"/>
              </w:rPr>
              <w:t>per capita</w:t>
            </w:r>
            <w:r w:rsidRPr="00A25147">
              <w:rPr>
                <w:rFonts w:ascii="Times New Roman" w:hAnsi="Times New Roman" w:cs="Times New Roman"/>
                <w:b w:val="0"/>
                <w:bCs w:val="0"/>
                <w:lang w:eastAsia="it-IT"/>
              </w:rPr>
              <w:t xml:space="preserve"> social cost</w:t>
            </w:r>
          </w:p>
        </w:tc>
        <w:tc>
          <w:tcPr>
            <w:tcW w:w="1512" w:type="pct"/>
            <w:noWrap/>
            <w:vAlign w:val="center"/>
            <w:hideMark/>
          </w:tcPr>
          <w:p w14:paraId="6B8006B6" w14:textId="11FD4A69" w:rsidR="00424DE3" w:rsidRPr="00A25147" w:rsidRDefault="00424DE3" w:rsidP="00424DE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0.21-0.42</w:t>
            </w:r>
            <w:r w:rsidR="008313E0" w:rsidRPr="00A25147">
              <w:rPr>
                <w:rFonts w:ascii="Times New Roman" w:hAnsi="Times New Roman" w:cs="Times New Roman"/>
                <w:lang w:eastAsia="it-IT"/>
              </w:rPr>
              <w:t xml:space="preserve"> </w:t>
            </w:r>
            <w:r w:rsidRPr="00A25147">
              <w:rPr>
                <w:rFonts w:ascii="Times New Roman" w:hAnsi="Times New Roman" w:cs="Times New Roman"/>
                <w:lang w:eastAsia="it-IT"/>
              </w:rPr>
              <w:t>€</w:t>
            </w:r>
          </w:p>
        </w:tc>
        <w:tc>
          <w:tcPr>
            <w:tcW w:w="1568" w:type="pct"/>
            <w:noWrap/>
            <w:vAlign w:val="center"/>
            <w:hideMark/>
          </w:tcPr>
          <w:p w14:paraId="298E60D7" w14:textId="158E5FC8" w:rsidR="00424DE3" w:rsidRPr="00A25147" w:rsidRDefault="00424DE3" w:rsidP="00424DE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t-IT"/>
              </w:rPr>
            </w:pPr>
            <w:r w:rsidRPr="00A25147">
              <w:rPr>
                <w:rFonts w:ascii="Times New Roman" w:hAnsi="Times New Roman" w:cs="Times New Roman"/>
                <w:lang w:eastAsia="it-IT"/>
              </w:rPr>
              <w:t>0.17-0.34</w:t>
            </w:r>
            <w:r w:rsidR="008313E0" w:rsidRPr="00A25147">
              <w:rPr>
                <w:rFonts w:ascii="Times New Roman" w:hAnsi="Times New Roman" w:cs="Times New Roman"/>
                <w:lang w:eastAsia="it-IT"/>
              </w:rPr>
              <w:t xml:space="preserve"> </w:t>
            </w:r>
            <w:r w:rsidRPr="00A25147">
              <w:rPr>
                <w:rFonts w:ascii="Times New Roman" w:hAnsi="Times New Roman" w:cs="Times New Roman"/>
                <w:lang w:eastAsia="it-IT"/>
              </w:rPr>
              <w:t>€</w:t>
            </w:r>
          </w:p>
        </w:tc>
      </w:tr>
    </w:tbl>
    <w:p w14:paraId="7BE205F0" w14:textId="77777777" w:rsidR="00311310" w:rsidRPr="00A25147" w:rsidRDefault="00311310" w:rsidP="003D1040">
      <w:pPr>
        <w:pStyle w:val="Abstract"/>
        <w:tabs>
          <w:tab w:val="left" w:pos="6379"/>
        </w:tabs>
        <w:spacing w:line="276" w:lineRule="auto"/>
        <w:ind w:left="0" w:right="-30"/>
        <w:rPr>
          <w:snapToGrid/>
          <w:sz w:val="24"/>
        </w:rPr>
      </w:pPr>
    </w:p>
    <w:p w14:paraId="1C392E17" w14:textId="1D765B5A" w:rsidR="00311310" w:rsidRPr="00A25147" w:rsidRDefault="00311310" w:rsidP="00311310">
      <w:pPr>
        <w:pStyle w:val="Abstract"/>
        <w:tabs>
          <w:tab w:val="left" w:pos="6379"/>
        </w:tabs>
        <w:spacing w:line="276" w:lineRule="auto"/>
        <w:ind w:left="0" w:right="-30"/>
        <w:rPr>
          <w:snapToGrid/>
          <w:sz w:val="24"/>
        </w:rPr>
      </w:pPr>
      <w:r w:rsidRPr="00A25147">
        <w:rPr>
          <w:snapToGrid/>
          <w:sz w:val="24"/>
        </w:rPr>
        <w:t xml:space="preserve">Regarding water, on the other hand, the shadow price was calculated based on the study by </w:t>
      </w:r>
      <w:proofErr w:type="spellStart"/>
      <w:r w:rsidRPr="00A25147">
        <w:rPr>
          <w:snapToGrid/>
          <w:sz w:val="24"/>
        </w:rPr>
        <w:t>Ligthart</w:t>
      </w:r>
      <w:proofErr w:type="spellEnd"/>
      <w:r w:rsidRPr="00A25147">
        <w:rPr>
          <w:snapToGrid/>
          <w:sz w:val="24"/>
        </w:rPr>
        <w:t xml:space="preserve"> and van </w:t>
      </w:r>
      <w:proofErr w:type="spellStart"/>
      <w:r w:rsidRPr="00A25147">
        <w:rPr>
          <w:snapToGrid/>
          <w:sz w:val="24"/>
        </w:rPr>
        <w:t>Harmelen</w:t>
      </w:r>
      <w:proofErr w:type="spellEnd"/>
      <w:r w:rsidRPr="00A25147">
        <w:rPr>
          <w:snapToGrid/>
          <w:sz w:val="24"/>
        </w:rPr>
        <w:t xml:space="preserve"> (2019) and is about €</w:t>
      </w:r>
      <w:r w:rsidR="008313E0" w:rsidRPr="00A25147">
        <w:rPr>
          <w:snapToGrid/>
          <w:sz w:val="24"/>
        </w:rPr>
        <w:t xml:space="preserve"> </w:t>
      </w:r>
      <w:r w:rsidRPr="00A25147">
        <w:rPr>
          <w:snapToGrid/>
          <w:sz w:val="24"/>
        </w:rPr>
        <w:t>5.17</w:t>
      </w:r>
      <w:r w:rsidR="008313E0" w:rsidRPr="00A25147">
        <w:rPr>
          <w:snapToGrid/>
          <w:sz w:val="24"/>
        </w:rPr>
        <w:t xml:space="preserve"> for </w:t>
      </w:r>
      <w:r w:rsidRPr="00A25147">
        <w:rPr>
          <w:snapToGrid/>
          <w:sz w:val="24"/>
        </w:rPr>
        <w:t>m</w:t>
      </w:r>
      <w:r w:rsidRPr="00A25147">
        <w:rPr>
          <w:snapToGrid/>
          <w:sz w:val="24"/>
          <w:vertAlign w:val="superscript"/>
        </w:rPr>
        <w:t>3</w:t>
      </w:r>
      <w:r w:rsidR="008313E0" w:rsidRPr="00A25147">
        <w:rPr>
          <w:snapToGrid/>
          <w:sz w:val="24"/>
        </w:rPr>
        <w:t xml:space="preserve"> of water</w:t>
      </w:r>
      <w:r w:rsidRPr="00A25147">
        <w:rPr>
          <w:snapToGrid/>
          <w:sz w:val="24"/>
        </w:rPr>
        <w:t xml:space="preserve">, as shown in Table 3. </w:t>
      </w:r>
    </w:p>
    <w:p w14:paraId="29CE3712" w14:textId="77777777" w:rsidR="00424DE3" w:rsidRPr="00A25147" w:rsidRDefault="00424DE3" w:rsidP="00311310">
      <w:pPr>
        <w:pStyle w:val="Abstract"/>
        <w:tabs>
          <w:tab w:val="left" w:pos="6379"/>
        </w:tabs>
        <w:spacing w:line="276" w:lineRule="auto"/>
        <w:ind w:left="0" w:right="-30"/>
        <w:rPr>
          <w:snapToGrid/>
          <w:sz w:val="24"/>
        </w:rPr>
      </w:pPr>
    </w:p>
    <w:p w14:paraId="5E545A73" w14:textId="51ED0C7F" w:rsidR="00424DE3" w:rsidRPr="00A25147" w:rsidRDefault="00424DE3" w:rsidP="00424DE3">
      <w:pPr>
        <w:pStyle w:val="Abstract"/>
        <w:tabs>
          <w:tab w:val="center" w:pos="3628"/>
          <w:tab w:val="left" w:pos="4320"/>
          <w:tab w:val="left" w:pos="6379"/>
        </w:tabs>
        <w:spacing w:after="240" w:line="276" w:lineRule="auto"/>
        <w:ind w:left="57" w:right="0"/>
        <w:jc w:val="center"/>
        <w:rPr>
          <w:snapToGrid/>
          <w:sz w:val="18"/>
          <w:szCs w:val="18"/>
        </w:rPr>
      </w:pPr>
      <w:r w:rsidRPr="00A25147">
        <w:rPr>
          <w:snapToGrid/>
          <w:sz w:val="18"/>
          <w:szCs w:val="18"/>
        </w:rPr>
        <w:t>Table 3. Per capita social cost of fruit and vegetable losses (WF).</w:t>
      </w:r>
    </w:p>
    <w:tbl>
      <w:tblPr>
        <w:tblStyle w:val="Tabellasemplice-2"/>
        <w:tblW w:w="5000" w:type="pct"/>
        <w:tblLook w:val="04A0" w:firstRow="1" w:lastRow="0" w:firstColumn="1" w:lastColumn="0" w:noHBand="0" w:noVBand="1"/>
      </w:tblPr>
      <w:tblGrid>
        <w:gridCol w:w="3027"/>
        <w:gridCol w:w="2086"/>
        <w:gridCol w:w="2087"/>
      </w:tblGrid>
      <w:tr w:rsidR="00A25147" w:rsidRPr="00A25147" w14:paraId="46C2A246" w14:textId="77777777" w:rsidTr="00424D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2" w:type="pct"/>
            <w:noWrap/>
            <w:vAlign w:val="center"/>
          </w:tcPr>
          <w:p w14:paraId="4D32DE2B" w14:textId="77777777" w:rsidR="00424DE3" w:rsidRPr="00A25147" w:rsidRDefault="00424DE3" w:rsidP="00424DE3">
            <w:pPr>
              <w:jc w:val="center"/>
              <w:rPr>
                <w:rFonts w:ascii="Times New Roman" w:hAnsi="Times New Roman" w:cs="Times New Roman"/>
                <w:b w:val="0"/>
                <w:bCs w:val="0"/>
                <w:lang w:val="en-US"/>
              </w:rPr>
            </w:pPr>
          </w:p>
        </w:tc>
        <w:tc>
          <w:tcPr>
            <w:tcW w:w="1449" w:type="pct"/>
            <w:noWrap/>
            <w:vAlign w:val="center"/>
          </w:tcPr>
          <w:p w14:paraId="3381F043" w14:textId="77777777" w:rsidR="00424DE3" w:rsidRPr="00A25147" w:rsidRDefault="00424DE3" w:rsidP="00424D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25147">
              <w:rPr>
                <w:rFonts w:ascii="Times New Roman" w:hAnsi="Times New Roman" w:cs="Times New Roman"/>
                <w:b w:val="0"/>
                <w:bCs w:val="0"/>
              </w:rPr>
              <w:t>2019</w:t>
            </w:r>
          </w:p>
        </w:tc>
        <w:tc>
          <w:tcPr>
            <w:tcW w:w="1449" w:type="pct"/>
            <w:noWrap/>
            <w:vAlign w:val="center"/>
          </w:tcPr>
          <w:p w14:paraId="1AEB0F9C" w14:textId="77777777" w:rsidR="00424DE3" w:rsidRPr="00A25147" w:rsidRDefault="00424DE3" w:rsidP="00424D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25147">
              <w:rPr>
                <w:rFonts w:ascii="Times New Roman" w:hAnsi="Times New Roman" w:cs="Times New Roman"/>
                <w:b w:val="0"/>
                <w:bCs w:val="0"/>
              </w:rPr>
              <w:t>2020</w:t>
            </w:r>
          </w:p>
        </w:tc>
      </w:tr>
      <w:tr w:rsidR="00A25147" w:rsidRPr="00A25147" w14:paraId="10B57A4D" w14:textId="77777777" w:rsidTr="0042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2" w:type="pct"/>
            <w:noWrap/>
            <w:vAlign w:val="center"/>
          </w:tcPr>
          <w:p w14:paraId="33D81FA9" w14:textId="29AC0C71" w:rsidR="00424DE3" w:rsidRPr="00A25147" w:rsidRDefault="00424DE3" w:rsidP="00424DE3">
            <w:pPr>
              <w:spacing w:line="259" w:lineRule="auto"/>
              <w:jc w:val="center"/>
              <w:rPr>
                <w:rFonts w:ascii="Times New Roman" w:hAnsi="Times New Roman" w:cs="Times New Roman"/>
                <w:b w:val="0"/>
                <w:bCs w:val="0"/>
              </w:rPr>
            </w:pPr>
            <w:r w:rsidRPr="00A25147">
              <w:rPr>
                <w:rFonts w:ascii="Times New Roman" w:hAnsi="Times New Roman" w:cs="Times New Roman"/>
                <w:b w:val="0"/>
                <w:bCs w:val="0"/>
              </w:rPr>
              <w:t>WF</w:t>
            </w:r>
          </w:p>
        </w:tc>
        <w:tc>
          <w:tcPr>
            <w:tcW w:w="1449" w:type="pct"/>
            <w:noWrap/>
            <w:vAlign w:val="center"/>
          </w:tcPr>
          <w:p w14:paraId="05437422" w14:textId="3D00581C" w:rsidR="00424DE3" w:rsidRPr="00A25147" w:rsidRDefault="00424DE3" w:rsidP="00424DE3">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137</w:t>
            </w:r>
            <w:r w:rsidR="00532EDB" w:rsidRPr="00A25147">
              <w:rPr>
                <w:rFonts w:ascii="Times New Roman" w:hAnsi="Times New Roman" w:cs="Times New Roman"/>
              </w:rPr>
              <w:t xml:space="preserve"> mln </w:t>
            </w:r>
            <w:r w:rsidRPr="00A25147">
              <w:rPr>
                <w:rFonts w:ascii="Times New Roman" w:hAnsi="Times New Roman" w:cs="Times New Roman"/>
              </w:rPr>
              <w:t>m</w:t>
            </w:r>
            <w:r w:rsidRPr="00A25147">
              <w:rPr>
                <w:rFonts w:ascii="Times New Roman" w:hAnsi="Times New Roman" w:cs="Times New Roman"/>
                <w:vertAlign w:val="superscript"/>
              </w:rPr>
              <w:t>3</w:t>
            </w:r>
            <w:r w:rsidR="008313E0" w:rsidRPr="00A25147">
              <w:rPr>
                <w:rFonts w:ascii="Times New Roman" w:hAnsi="Times New Roman" w:cs="Times New Roman"/>
              </w:rPr>
              <w:t xml:space="preserve"> water</w:t>
            </w:r>
          </w:p>
        </w:tc>
        <w:tc>
          <w:tcPr>
            <w:tcW w:w="1449" w:type="pct"/>
            <w:noWrap/>
            <w:vAlign w:val="center"/>
          </w:tcPr>
          <w:p w14:paraId="07CAF8BF" w14:textId="2D18094A" w:rsidR="00424DE3" w:rsidRPr="00A25147" w:rsidRDefault="00424DE3" w:rsidP="00424DE3">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97</w:t>
            </w:r>
            <w:r w:rsidR="00532EDB" w:rsidRPr="00A25147">
              <w:rPr>
                <w:rFonts w:ascii="Times New Roman" w:hAnsi="Times New Roman" w:cs="Times New Roman"/>
              </w:rPr>
              <w:t>.</w:t>
            </w:r>
            <w:r w:rsidRPr="00A25147">
              <w:rPr>
                <w:rFonts w:ascii="Times New Roman" w:hAnsi="Times New Roman" w:cs="Times New Roman"/>
              </w:rPr>
              <w:t>9</w:t>
            </w:r>
            <w:r w:rsidR="00532EDB" w:rsidRPr="00A25147">
              <w:rPr>
                <w:rFonts w:ascii="Times New Roman" w:hAnsi="Times New Roman" w:cs="Times New Roman"/>
              </w:rPr>
              <w:t xml:space="preserve"> mln</w:t>
            </w:r>
            <w:r w:rsidRPr="00A25147">
              <w:rPr>
                <w:rFonts w:ascii="Times New Roman" w:hAnsi="Times New Roman" w:cs="Times New Roman"/>
              </w:rPr>
              <w:t xml:space="preserve"> m</w:t>
            </w:r>
            <w:r w:rsidRPr="00A25147">
              <w:rPr>
                <w:rFonts w:ascii="Times New Roman" w:hAnsi="Times New Roman" w:cs="Times New Roman"/>
                <w:vertAlign w:val="superscript"/>
              </w:rPr>
              <w:t>3</w:t>
            </w:r>
            <w:r w:rsidR="008313E0" w:rsidRPr="00A25147">
              <w:rPr>
                <w:rFonts w:ascii="Times New Roman" w:hAnsi="Times New Roman" w:cs="Times New Roman"/>
              </w:rPr>
              <w:t xml:space="preserve"> water</w:t>
            </w:r>
          </w:p>
        </w:tc>
      </w:tr>
      <w:tr w:rsidR="00A25147" w:rsidRPr="00A25147" w14:paraId="19FCC624" w14:textId="77777777" w:rsidTr="00424DE3">
        <w:trPr>
          <w:trHeight w:val="288"/>
        </w:trPr>
        <w:tc>
          <w:tcPr>
            <w:cnfStyle w:val="001000000000" w:firstRow="0" w:lastRow="0" w:firstColumn="1" w:lastColumn="0" w:oddVBand="0" w:evenVBand="0" w:oddHBand="0" w:evenHBand="0" w:firstRowFirstColumn="0" w:firstRowLastColumn="0" w:lastRowFirstColumn="0" w:lastRowLastColumn="0"/>
            <w:tcW w:w="2102" w:type="pct"/>
            <w:noWrap/>
            <w:vAlign w:val="center"/>
          </w:tcPr>
          <w:p w14:paraId="1D219751" w14:textId="319DD39E" w:rsidR="00424DE3" w:rsidRPr="00A25147" w:rsidRDefault="00424DE3" w:rsidP="00424DE3">
            <w:pPr>
              <w:spacing w:line="259" w:lineRule="auto"/>
              <w:jc w:val="center"/>
              <w:rPr>
                <w:rFonts w:ascii="Times New Roman" w:hAnsi="Times New Roman" w:cs="Times New Roman"/>
                <w:b w:val="0"/>
                <w:bCs w:val="0"/>
              </w:rPr>
            </w:pPr>
            <w:r w:rsidRPr="00A25147">
              <w:rPr>
                <w:rFonts w:ascii="Times New Roman" w:hAnsi="Times New Roman" w:cs="Times New Roman"/>
                <w:b w:val="0"/>
                <w:bCs w:val="0"/>
                <w:lang w:eastAsia="it-IT"/>
              </w:rPr>
              <w:t>Shadow price water</w:t>
            </w:r>
            <w:r w:rsidRPr="00A25147">
              <w:rPr>
                <w:rFonts w:ascii="Times New Roman" w:hAnsi="Times New Roman" w:cs="Times New Roman"/>
                <w:b w:val="0"/>
                <w:bCs w:val="0"/>
              </w:rPr>
              <w:t xml:space="preserve"> (€/m</w:t>
            </w:r>
            <w:r w:rsidRPr="00A25147">
              <w:rPr>
                <w:rFonts w:ascii="Times New Roman" w:hAnsi="Times New Roman" w:cs="Times New Roman"/>
                <w:b w:val="0"/>
                <w:bCs w:val="0"/>
                <w:vertAlign w:val="superscript"/>
              </w:rPr>
              <w:t>3</w:t>
            </w:r>
            <w:r w:rsidRPr="00A25147">
              <w:rPr>
                <w:rFonts w:ascii="Times New Roman" w:hAnsi="Times New Roman" w:cs="Times New Roman"/>
                <w:b w:val="0"/>
                <w:bCs w:val="0"/>
              </w:rPr>
              <w:t>)</w:t>
            </w:r>
          </w:p>
        </w:tc>
        <w:tc>
          <w:tcPr>
            <w:tcW w:w="2898" w:type="pct"/>
            <w:gridSpan w:val="2"/>
            <w:noWrap/>
            <w:vAlign w:val="center"/>
          </w:tcPr>
          <w:p w14:paraId="7CC483AF" w14:textId="211129D6" w:rsidR="00424DE3" w:rsidRPr="00A25147" w:rsidRDefault="00424DE3" w:rsidP="00424DE3">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5,17 €</w:t>
            </w:r>
            <w:r w:rsidR="008313E0" w:rsidRPr="00A25147">
              <w:rPr>
                <w:rFonts w:ascii="Times New Roman" w:hAnsi="Times New Roman" w:cs="Times New Roman"/>
              </w:rPr>
              <w:t xml:space="preserve"> for </w:t>
            </w:r>
            <w:r w:rsidRPr="00A25147">
              <w:rPr>
                <w:rFonts w:ascii="Times New Roman" w:hAnsi="Times New Roman" w:cs="Times New Roman"/>
              </w:rPr>
              <w:t>m</w:t>
            </w:r>
            <w:r w:rsidRPr="00A25147">
              <w:rPr>
                <w:rFonts w:ascii="Times New Roman" w:hAnsi="Times New Roman" w:cs="Times New Roman"/>
                <w:vertAlign w:val="superscript"/>
              </w:rPr>
              <w:t>3</w:t>
            </w:r>
            <w:r w:rsidR="004647CA" w:rsidRPr="00A25147">
              <w:rPr>
                <w:rFonts w:ascii="Times New Roman" w:hAnsi="Times New Roman" w:cs="Times New Roman"/>
              </w:rPr>
              <w:t xml:space="preserve"> water</w:t>
            </w:r>
          </w:p>
        </w:tc>
      </w:tr>
      <w:tr w:rsidR="00A25147" w:rsidRPr="00A25147" w14:paraId="0A2FABF9" w14:textId="77777777" w:rsidTr="0042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2" w:type="pct"/>
            <w:noWrap/>
            <w:vAlign w:val="center"/>
          </w:tcPr>
          <w:p w14:paraId="114A0668" w14:textId="68B3698F" w:rsidR="00424DE3" w:rsidRPr="00A25147" w:rsidRDefault="00424DE3" w:rsidP="00424DE3">
            <w:pPr>
              <w:jc w:val="center"/>
              <w:rPr>
                <w:rFonts w:ascii="Times New Roman" w:hAnsi="Times New Roman" w:cs="Times New Roman"/>
                <w:b w:val="0"/>
                <w:bCs w:val="0"/>
              </w:rPr>
            </w:pPr>
            <w:proofErr w:type="spellStart"/>
            <w:r w:rsidRPr="00A25147">
              <w:rPr>
                <w:rFonts w:ascii="Times New Roman" w:hAnsi="Times New Roman" w:cs="Times New Roman"/>
                <w:b w:val="0"/>
                <w:bCs w:val="0"/>
                <w:lang w:eastAsia="it-IT"/>
              </w:rPr>
              <w:t>Estimated</w:t>
            </w:r>
            <w:proofErr w:type="spellEnd"/>
            <w:r w:rsidRPr="00A25147">
              <w:rPr>
                <w:rFonts w:ascii="Times New Roman" w:hAnsi="Times New Roman" w:cs="Times New Roman"/>
                <w:b w:val="0"/>
                <w:bCs w:val="0"/>
                <w:lang w:eastAsia="it-IT"/>
              </w:rPr>
              <w:t xml:space="preserve"> social cost</w:t>
            </w:r>
          </w:p>
        </w:tc>
        <w:tc>
          <w:tcPr>
            <w:tcW w:w="1449" w:type="pct"/>
            <w:noWrap/>
            <w:vAlign w:val="center"/>
          </w:tcPr>
          <w:p w14:paraId="5FE48784" w14:textId="0DB63314" w:rsidR="00424DE3" w:rsidRPr="00A25147" w:rsidRDefault="00424DE3" w:rsidP="00424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708</w:t>
            </w:r>
            <w:r w:rsidR="00532EDB" w:rsidRPr="00A25147">
              <w:rPr>
                <w:rFonts w:ascii="Times New Roman" w:hAnsi="Times New Roman" w:cs="Times New Roman"/>
              </w:rPr>
              <w:t>.</w:t>
            </w:r>
            <w:r w:rsidRPr="00A25147">
              <w:rPr>
                <w:rFonts w:ascii="Times New Roman" w:hAnsi="Times New Roman" w:cs="Times New Roman"/>
              </w:rPr>
              <w:t>2 mln €</w:t>
            </w:r>
          </w:p>
        </w:tc>
        <w:tc>
          <w:tcPr>
            <w:tcW w:w="1449" w:type="pct"/>
            <w:noWrap/>
            <w:vAlign w:val="center"/>
          </w:tcPr>
          <w:p w14:paraId="5D2FB495" w14:textId="1862C6AE" w:rsidR="00424DE3" w:rsidRPr="00A25147" w:rsidRDefault="00424DE3" w:rsidP="00424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506</w:t>
            </w:r>
            <w:r w:rsidR="00532EDB" w:rsidRPr="00A25147">
              <w:rPr>
                <w:rFonts w:ascii="Times New Roman" w:hAnsi="Times New Roman" w:cs="Times New Roman"/>
              </w:rPr>
              <w:t>.</w:t>
            </w:r>
            <w:r w:rsidRPr="00A25147">
              <w:rPr>
                <w:rFonts w:ascii="Times New Roman" w:hAnsi="Times New Roman" w:cs="Times New Roman"/>
              </w:rPr>
              <w:t>1 mln €</w:t>
            </w:r>
          </w:p>
        </w:tc>
      </w:tr>
      <w:tr w:rsidR="00A25147" w:rsidRPr="00A25147" w14:paraId="0BE92F36" w14:textId="77777777" w:rsidTr="00424DE3">
        <w:trPr>
          <w:trHeight w:val="288"/>
        </w:trPr>
        <w:tc>
          <w:tcPr>
            <w:cnfStyle w:val="001000000000" w:firstRow="0" w:lastRow="0" w:firstColumn="1" w:lastColumn="0" w:oddVBand="0" w:evenVBand="0" w:oddHBand="0" w:evenHBand="0" w:firstRowFirstColumn="0" w:firstRowLastColumn="0" w:lastRowFirstColumn="0" w:lastRowLastColumn="0"/>
            <w:tcW w:w="2102" w:type="pct"/>
            <w:noWrap/>
            <w:vAlign w:val="center"/>
          </w:tcPr>
          <w:p w14:paraId="61E51BE3" w14:textId="4305FD72" w:rsidR="00424DE3" w:rsidRPr="00A25147" w:rsidRDefault="00424DE3" w:rsidP="00424DE3">
            <w:pPr>
              <w:jc w:val="center"/>
              <w:rPr>
                <w:rFonts w:ascii="Times New Roman" w:hAnsi="Times New Roman" w:cs="Times New Roman"/>
                <w:b w:val="0"/>
                <w:bCs w:val="0"/>
              </w:rPr>
            </w:pPr>
            <w:proofErr w:type="spellStart"/>
            <w:r w:rsidRPr="00A25147">
              <w:rPr>
                <w:rFonts w:ascii="Times New Roman" w:hAnsi="Times New Roman" w:cs="Times New Roman"/>
                <w:b w:val="0"/>
                <w:bCs w:val="0"/>
                <w:lang w:eastAsia="it-IT"/>
              </w:rPr>
              <w:t>Estimated</w:t>
            </w:r>
            <w:proofErr w:type="spellEnd"/>
            <w:r w:rsidRPr="00A25147">
              <w:rPr>
                <w:rFonts w:ascii="Times New Roman" w:hAnsi="Times New Roman" w:cs="Times New Roman"/>
                <w:b w:val="0"/>
                <w:bCs w:val="0"/>
                <w:lang w:eastAsia="it-IT"/>
              </w:rPr>
              <w:t xml:space="preserve"> </w:t>
            </w:r>
            <w:r w:rsidRPr="00A25147">
              <w:rPr>
                <w:rFonts w:ascii="Times New Roman" w:hAnsi="Times New Roman" w:cs="Times New Roman"/>
                <w:b w:val="0"/>
                <w:bCs w:val="0"/>
                <w:i/>
                <w:iCs/>
                <w:lang w:eastAsia="it-IT"/>
              </w:rPr>
              <w:t>per capita</w:t>
            </w:r>
            <w:r w:rsidRPr="00A25147">
              <w:rPr>
                <w:rFonts w:ascii="Times New Roman" w:hAnsi="Times New Roman" w:cs="Times New Roman"/>
                <w:b w:val="0"/>
                <w:bCs w:val="0"/>
                <w:lang w:eastAsia="it-IT"/>
              </w:rPr>
              <w:t xml:space="preserve"> social cost</w:t>
            </w:r>
          </w:p>
        </w:tc>
        <w:tc>
          <w:tcPr>
            <w:tcW w:w="1449" w:type="pct"/>
            <w:noWrap/>
            <w:vAlign w:val="center"/>
          </w:tcPr>
          <w:p w14:paraId="2D6BC8A7" w14:textId="21B983BF" w:rsidR="00424DE3" w:rsidRPr="00A25147" w:rsidRDefault="00424DE3" w:rsidP="00424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11.80 €</w:t>
            </w:r>
          </w:p>
        </w:tc>
        <w:tc>
          <w:tcPr>
            <w:tcW w:w="1449" w:type="pct"/>
            <w:noWrap/>
            <w:vAlign w:val="center"/>
          </w:tcPr>
          <w:p w14:paraId="1AFD8BCE" w14:textId="4BD4F143" w:rsidR="00424DE3" w:rsidRPr="00A25147" w:rsidRDefault="00424DE3" w:rsidP="00424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5147">
              <w:rPr>
                <w:rFonts w:ascii="Times New Roman" w:hAnsi="Times New Roman" w:cs="Times New Roman"/>
              </w:rPr>
              <w:t>8.44 €</w:t>
            </w:r>
          </w:p>
        </w:tc>
      </w:tr>
    </w:tbl>
    <w:p w14:paraId="676CA270" w14:textId="77777777" w:rsidR="00311310" w:rsidRPr="00A25147" w:rsidRDefault="00311310" w:rsidP="003D1040">
      <w:pPr>
        <w:pStyle w:val="Abstract"/>
        <w:tabs>
          <w:tab w:val="left" w:pos="6379"/>
        </w:tabs>
        <w:spacing w:line="276" w:lineRule="auto"/>
        <w:ind w:left="0" w:right="-30"/>
        <w:rPr>
          <w:snapToGrid/>
          <w:sz w:val="24"/>
        </w:rPr>
      </w:pPr>
    </w:p>
    <w:p w14:paraId="733DD757" w14:textId="1440B6C5" w:rsidR="00311310" w:rsidRPr="00A25147" w:rsidRDefault="00311310" w:rsidP="003D1040">
      <w:pPr>
        <w:pStyle w:val="Abstract"/>
        <w:tabs>
          <w:tab w:val="left" w:pos="6379"/>
        </w:tabs>
        <w:spacing w:line="276" w:lineRule="auto"/>
        <w:ind w:left="0" w:right="-30"/>
        <w:rPr>
          <w:snapToGrid/>
          <w:sz w:val="24"/>
        </w:rPr>
      </w:pPr>
      <w:r w:rsidRPr="00A25147">
        <w:rPr>
          <w:snapToGrid/>
          <w:sz w:val="24"/>
        </w:rPr>
        <w:t>Taking losses to 2020 and considering the shadow price of water, they could have induced a social cost of €</w:t>
      </w:r>
      <w:r w:rsidR="002C3D88" w:rsidRPr="00A25147">
        <w:rPr>
          <w:snapToGrid/>
          <w:sz w:val="24"/>
        </w:rPr>
        <w:t xml:space="preserve"> </w:t>
      </w:r>
      <w:r w:rsidRPr="00A25147">
        <w:rPr>
          <w:snapToGrid/>
          <w:sz w:val="24"/>
        </w:rPr>
        <w:t>506 million, or €</w:t>
      </w:r>
      <w:r w:rsidR="002C3D88" w:rsidRPr="00A25147">
        <w:rPr>
          <w:snapToGrid/>
          <w:sz w:val="24"/>
        </w:rPr>
        <w:t xml:space="preserve"> </w:t>
      </w:r>
      <w:r w:rsidRPr="00A25147">
        <w:rPr>
          <w:snapToGrid/>
          <w:sz w:val="24"/>
        </w:rPr>
        <w:t>8.44 per capita, down by</w:t>
      </w:r>
      <w:r w:rsidR="002C3D88" w:rsidRPr="00A25147">
        <w:rPr>
          <w:snapToGrid/>
          <w:sz w:val="24"/>
        </w:rPr>
        <w:t xml:space="preserve">   ‒</w:t>
      </w:r>
      <w:r w:rsidRPr="00A25147">
        <w:rPr>
          <w:snapToGrid/>
          <w:sz w:val="24"/>
        </w:rPr>
        <w:t>29</w:t>
      </w:r>
      <w:r w:rsidR="002C3D88" w:rsidRPr="00A25147">
        <w:rPr>
          <w:snapToGrid/>
          <w:sz w:val="24"/>
        </w:rPr>
        <w:t xml:space="preserve"> % </w:t>
      </w:r>
      <w:r w:rsidRPr="00A25147">
        <w:rPr>
          <w:snapToGrid/>
          <w:sz w:val="24"/>
        </w:rPr>
        <w:t>compared to 2019.</w:t>
      </w:r>
    </w:p>
    <w:p w14:paraId="58FB9C17" w14:textId="77777777" w:rsidR="00311310" w:rsidRPr="00A25147" w:rsidRDefault="00311310" w:rsidP="003D1040">
      <w:pPr>
        <w:pStyle w:val="Abstract"/>
        <w:tabs>
          <w:tab w:val="left" w:pos="6379"/>
        </w:tabs>
        <w:spacing w:line="276" w:lineRule="auto"/>
        <w:ind w:left="0" w:right="-30"/>
        <w:rPr>
          <w:snapToGrid/>
          <w:sz w:val="24"/>
        </w:rPr>
      </w:pPr>
    </w:p>
    <w:p w14:paraId="75D5D91D" w14:textId="7198FCBC" w:rsidR="00BC3990" w:rsidRPr="00A25147" w:rsidRDefault="00BC3990" w:rsidP="003D1040">
      <w:pPr>
        <w:pStyle w:val="Abstract"/>
        <w:tabs>
          <w:tab w:val="left" w:pos="6379"/>
        </w:tabs>
        <w:spacing w:line="276" w:lineRule="auto"/>
        <w:ind w:left="0" w:right="-30"/>
        <w:rPr>
          <w:b/>
          <w:bCs/>
          <w:snapToGrid/>
          <w:sz w:val="24"/>
        </w:rPr>
      </w:pPr>
      <w:r w:rsidRPr="00A25147">
        <w:rPr>
          <w:b/>
          <w:bCs/>
          <w:snapToGrid/>
          <w:sz w:val="24"/>
        </w:rPr>
        <w:t>Conclusions</w:t>
      </w:r>
    </w:p>
    <w:p w14:paraId="45A3C774" w14:textId="5847B30A" w:rsidR="004B58FF" w:rsidRPr="00A25147" w:rsidRDefault="00BC3990" w:rsidP="00B40799">
      <w:pPr>
        <w:pStyle w:val="Abstract"/>
        <w:tabs>
          <w:tab w:val="left" w:pos="6379"/>
        </w:tabs>
        <w:spacing w:line="276" w:lineRule="auto"/>
        <w:ind w:left="0" w:right="-30"/>
        <w:rPr>
          <w:snapToGrid/>
          <w:sz w:val="24"/>
        </w:rPr>
      </w:pPr>
      <w:r w:rsidRPr="00A25147">
        <w:rPr>
          <w:snapToGrid/>
          <w:sz w:val="24"/>
        </w:rPr>
        <w:t xml:space="preserve">The results of the study show the apparent unsustainability of a share of food losses in Italy. Especially, between 2019 and 2020, the decrease in fruit and vegetable losses could have induced a reduction in CF of </w:t>
      </w:r>
      <w:bookmarkStart w:id="2" w:name="_Hlk107500280"/>
      <w:r w:rsidR="004B58FF" w:rsidRPr="00A25147">
        <w:rPr>
          <w:snapToGrid/>
          <w:sz w:val="24"/>
        </w:rPr>
        <w:t>‒</w:t>
      </w:r>
      <w:bookmarkEnd w:id="2"/>
      <w:r w:rsidRPr="00A25147">
        <w:rPr>
          <w:snapToGrid/>
          <w:sz w:val="24"/>
        </w:rPr>
        <w:t xml:space="preserve">24% and WF and CED of </w:t>
      </w:r>
      <w:r w:rsidR="004B58FF" w:rsidRPr="00A25147">
        <w:rPr>
          <w:snapToGrid/>
          <w:sz w:val="24"/>
        </w:rPr>
        <w:t>‒</w:t>
      </w:r>
      <w:r w:rsidRPr="00A25147">
        <w:rPr>
          <w:snapToGrid/>
          <w:sz w:val="24"/>
        </w:rPr>
        <w:t xml:space="preserve">40% in both cases. Although with some limitations, this study shows through potential quantification how a reduction in fruit and vegetable losses could "save" and avoid significant amounts of emissions, </w:t>
      </w:r>
      <w:proofErr w:type="gramStart"/>
      <w:r w:rsidRPr="00A25147">
        <w:rPr>
          <w:snapToGrid/>
          <w:sz w:val="24"/>
        </w:rPr>
        <w:t>water</w:t>
      </w:r>
      <w:proofErr w:type="gramEnd"/>
      <w:r w:rsidRPr="00A25147">
        <w:rPr>
          <w:snapToGrid/>
          <w:sz w:val="24"/>
        </w:rPr>
        <w:t xml:space="preserve"> and energy, which (in the latter two cases) could be directed elsewhere and could thus fit into a context of achieving some national and international goals (European Green Deal, SDGs, Directive 2000/60/EC). But such reductions could also be of considerable help in relation to the current global </w:t>
      </w:r>
      <w:r w:rsidRPr="00A25147">
        <w:rPr>
          <w:snapToGrid/>
          <w:sz w:val="24"/>
        </w:rPr>
        <w:lastRenderedPageBreak/>
        <w:t xml:space="preserve">commodity crisis induced by the situation between Russia and Ukraine, from the crisis of which a chain effect could be generated related to price volatility, </w:t>
      </w:r>
      <w:r w:rsidR="00AC3039" w:rsidRPr="00A25147">
        <w:rPr>
          <w:snapToGrid/>
          <w:sz w:val="24"/>
        </w:rPr>
        <w:t xml:space="preserve">and </w:t>
      </w:r>
      <w:r w:rsidRPr="00A25147">
        <w:rPr>
          <w:snapToGrid/>
          <w:sz w:val="24"/>
        </w:rPr>
        <w:t>increased cost of fuels, which would make the production of other commodities and other goods more difficult.</w:t>
      </w:r>
    </w:p>
    <w:p w14:paraId="0683E7E3" w14:textId="624CAF0C" w:rsidR="003D1040" w:rsidRPr="00A25147" w:rsidRDefault="003D1040" w:rsidP="00A25147">
      <w:pPr>
        <w:pStyle w:val="Abstract"/>
        <w:tabs>
          <w:tab w:val="left" w:pos="6379"/>
        </w:tabs>
        <w:spacing w:line="276" w:lineRule="auto"/>
        <w:ind w:left="0" w:right="-30"/>
        <w:rPr>
          <w:b/>
          <w:bCs/>
          <w:snapToGrid/>
          <w:sz w:val="24"/>
        </w:rPr>
      </w:pPr>
    </w:p>
    <w:p w14:paraId="4DFAEB04" w14:textId="0C6EB284" w:rsidR="00BC3990" w:rsidRPr="00A25147" w:rsidRDefault="00BC3990" w:rsidP="00BC3990">
      <w:pPr>
        <w:pStyle w:val="Abstract"/>
        <w:tabs>
          <w:tab w:val="left" w:pos="6379"/>
        </w:tabs>
        <w:spacing w:line="276" w:lineRule="auto"/>
        <w:ind w:left="238" w:right="-30" w:hanging="238"/>
        <w:rPr>
          <w:b/>
          <w:bCs/>
          <w:snapToGrid/>
          <w:sz w:val="24"/>
        </w:rPr>
      </w:pPr>
      <w:r w:rsidRPr="00A25147">
        <w:rPr>
          <w:b/>
          <w:bCs/>
          <w:snapToGrid/>
          <w:sz w:val="24"/>
        </w:rPr>
        <w:t>References</w:t>
      </w:r>
    </w:p>
    <w:p w14:paraId="0DC31DB7" w14:textId="77777777" w:rsidR="005300D8" w:rsidRPr="00A25147" w:rsidRDefault="005300D8" w:rsidP="00BC3990">
      <w:pPr>
        <w:pStyle w:val="Abstract"/>
        <w:tabs>
          <w:tab w:val="left" w:pos="6379"/>
        </w:tabs>
        <w:spacing w:line="276" w:lineRule="auto"/>
        <w:ind w:left="238" w:right="-30" w:hanging="238"/>
        <w:rPr>
          <w:b/>
          <w:bCs/>
          <w:snapToGrid/>
          <w:sz w:val="24"/>
        </w:rPr>
      </w:pPr>
    </w:p>
    <w:p w14:paraId="10E954FF" w14:textId="55A16560"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Boston Consulting Group (2018). Tackling the 1.6-Billion-Ton Food Loss and Waste Crisis. Available online at:</w:t>
      </w:r>
      <w:r w:rsidR="00C24CA5" w:rsidRPr="00A25147">
        <w:rPr>
          <w:snapToGrid/>
          <w:sz w:val="22"/>
          <w:szCs w:val="22"/>
        </w:rPr>
        <w:tab/>
      </w:r>
      <w:r w:rsidRPr="00A25147">
        <w:rPr>
          <w:snapToGrid/>
          <w:sz w:val="22"/>
          <w:szCs w:val="22"/>
        </w:rPr>
        <w:t xml:space="preserve"> </w:t>
      </w:r>
      <w:hyperlink r:id="rId11" w:history="1">
        <w:r w:rsidR="00C24CA5" w:rsidRPr="00A25147">
          <w:rPr>
            <w:rStyle w:val="Collegamentoipertestuale"/>
            <w:snapToGrid/>
            <w:color w:val="auto"/>
            <w:sz w:val="22"/>
            <w:szCs w:val="22"/>
          </w:rPr>
          <w:t>https://www.bcg.com/publications/2018/tackling-1.6-billion-ton-food-loss-and-waste-crisis</w:t>
        </w:r>
      </w:hyperlink>
      <w:r w:rsidR="00C24CA5" w:rsidRPr="00A25147">
        <w:rPr>
          <w:snapToGrid/>
          <w:sz w:val="22"/>
          <w:szCs w:val="22"/>
        </w:rPr>
        <w:t>.</w:t>
      </w:r>
      <w:r w:rsidRPr="00A25147">
        <w:rPr>
          <w:snapToGrid/>
          <w:sz w:val="22"/>
          <w:szCs w:val="22"/>
        </w:rPr>
        <w:t xml:space="preserve"> Accessed on June 23, 2022. </w:t>
      </w:r>
    </w:p>
    <w:p w14:paraId="626E759A" w14:textId="77777777" w:rsidR="00B401E6" w:rsidRPr="00A25147" w:rsidRDefault="00B401E6" w:rsidP="003D1560">
      <w:pPr>
        <w:pStyle w:val="Abstract"/>
        <w:tabs>
          <w:tab w:val="left" w:pos="6379"/>
        </w:tabs>
        <w:spacing w:line="276" w:lineRule="auto"/>
        <w:ind w:right="-30" w:hanging="360"/>
        <w:rPr>
          <w:snapToGrid/>
          <w:sz w:val="22"/>
          <w:szCs w:val="22"/>
        </w:rPr>
      </w:pPr>
      <w:proofErr w:type="spellStart"/>
      <w:r w:rsidRPr="00A25147">
        <w:rPr>
          <w:snapToGrid/>
          <w:sz w:val="22"/>
          <w:szCs w:val="22"/>
        </w:rPr>
        <w:t>Dincer</w:t>
      </w:r>
      <w:proofErr w:type="spellEnd"/>
      <w:r w:rsidRPr="00A25147">
        <w:rPr>
          <w:snapToGrid/>
          <w:sz w:val="22"/>
          <w:szCs w:val="22"/>
        </w:rPr>
        <w:t xml:space="preserve"> I., </w:t>
      </w:r>
      <w:proofErr w:type="spellStart"/>
      <w:r w:rsidRPr="00A25147">
        <w:rPr>
          <w:snapToGrid/>
          <w:sz w:val="22"/>
          <w:szCs w:val="22"/>
        </w:rPr>
        <w:t>Bicer</w:t>
      </w:r>
      <w:proofErr w:type="spellEnd"/>
      <w:r w:rsidRPr="00A25147">
        <w:rPr>
          <w:snapToGrid/>
          <w:sz w:val="22"/>
          <w:szCs w:val="22"/>
        </w:rPr>
        <w:t xml:space="preserve"> Y. (2018). 2.1 Ammonia. Comprehensive Energy Systems, 2–5, 1–39. </w:t>
      </w:r>
      <w:hyperlink r:id="rId12" w:history="1">
        <w:r w:rsidRPr="00A25147">
          <w:rPr>
            <w:rStyle w:val="Collegamentoipertestuale"/>
            <w:snapToGrid/>
            <w:color w:val="auto"/>
            <w:sz w:val="22"/>
            <w:szCs w:val="22"/>
          </w:rPr>
          <w:t>https://doi.org/10.1016/B978-0-12-809597-3.00201-7</w:t>
        </w:r>
      </w:hyperlink>
    </w:p>
    <w:p w14:paraId="42A29346" w14:textId="69319E35"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Directive 2000/60/EC of the European Parliament and of the Council of 23 October 2000 establishing a framework for Community action in the field of water policy. Available online at: </w:t>
      </w:r>
      <w:hyperlink r:id="rId13" w:history="1">
        <w:r w:rsidR="00C24CA5" w:rsidRPr="00A25147">
          <w:rPr>
            <w:rStyle w:val="Collegamentoipertestuale"/>
            <w:snapToGrid/>
            <w:color w:val="auto"/>
            <w:sz w:val="22"/>
            <w:szCs w:val="22"/>
          </w:rPr>
          <w:t>https://eur-lex.europa.eu/legal-content/EN/TXT/?uri=celex%3A32000L0060</w:t>
        </w:r>
      </w:hyperlink>
      <w:r w:rsidRPr="00A25147">
        <w:rPr>
          <w:snapToGrid/>
          <w:sz w:val="22"/>
          <w:szCs w:val="22"/>
        </w:rPr>
        <w:t>.</w:t>
      </w:r>
      <w:r w:rsidR="00C24CA5" w:rsidRPr="00A25147">
        <w:rPr>
          <w:snapToGrid/>
          <w:sz w:val="22"/>
          <w:szCs w:val="22"/>
        </w:rPr>
        <w:t xml:space="preserve"> Accessed on June 23, 2022</w:t>
      </w:r>
      <w:r w:rsidRPr="00A25147">
        <w:rPr>
          <w:snapToGrid/>
          <w:sz w:val="22"/>
          <w:szCs w:val="22"/>
        </w:rPr>
        <w:t xml:space="preserve"> </w:t>
      </w:r>
    </w:p>
    <w:p w14:paraId="2F8F4553" w14:textId="55A8BBE5" w:rsidR="003D1560" w:rsidRPr="00A25147" w:rsidRDefault="003D1560" w:rsidP="003D1560">
      <w:pPr>
        <w:pStyle w:val="Abstract"/>
        <w:tabs>
          <w:tab w:val="left" w:pos="6379"/>
        </w:tabs>
        <w:spacing w:line="276" w:lineRule="auto"/>
        <w:ind w:right="-30" w:hanging="360"/>
        <w:rPr>
          <w:sz w:val="22"/>
          <w:szCs w:val="22"/>
        </w:rPr>
      </w:pPr>
      <w:r w:rsidRPr="00A25147">
        <w:rPr>
          <w:sz w:val="22"/>
          <w:szCs w:val="22"/>
        </w:rPr>
        <w:t xml:space="preserve">European Bank for Reconstruction and Development (EBRD) (201 Energy Sector Strategy 2019-2023. As approved by the Board of Directors at their meeting of 12 December 2018. Available online at: </w:t>
      </w:r>
      <w:hyperlink r:id="rId14" w:history="1">
        <w:r w:rsidRPr="00A25147">
          <w:rPr>
            <w:rStyle w:val="Collegamentoipertestuale"/>
            <w:color w:val="auto"/>
            <w:sz w:val="22"/>
            <w:szCs w:val="22"/>
          </w:rPr>
          <w:t>https://www.ebrd.com/home</w:t>
        </w:r>
      </w:hyperlink>
      <w:r w:rsidRPr="00A25147">
        <w:rPr>
          <w:sz w:val="22"/>
          <w:szCs w:val="22"/>
        </w:rPr>
        <w:t>. Accessed on June 28, 2022.</w:t>
      </w:r>
    </w:p>
    <w:p w14:paraId="71F8C7B5" w14:textId="2A21F00A"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European Environment Agency (2021). Greenhouse gas emissions from agriculture in Europe. Available online at: </w:t>
      </w:r>
      <w:hyperlink r:id="rId15" w:history="1">
        <w:r w:rsidR="00C24CA5" w:rsidRPr="00A25147">
          <w:rPr>
            <w:rStyle w:val="Collegamentoipertestuale"/>
            <w:snapToGrid/>
            <w:color w:val="auto"/>
            <w:sz w:val="22"/>
            <w:szCs w:val="22"/>
          </w:rPr>
          <w:t>https://www.eea.europa.eu/ims/greenhouse-gas-emissions-from-agriculture</w:t>
        </w:r>
      </w:hyperlink>
      <w:r w:rsidR="00C24CA5" w:rsidRPr="00A25147">
        <w:rPr>
          <w:snapToGrid/>
          <w:sz w:val="22"/>
          <w:szCs w:val="22"/>
        </w:rPr>
        <w:t>.</w:t>
      </w:r>
      <w:r w:rsidRPr="00A25147">
        <w:rPr>
          <w:snapToGrid/>
          <w:sz w:val="22"/>
          <w:szCs w:val="22"/>
        </w:rPr>
        <w:t xml:space="preserve"> Accessed on June 23, 2022.</w:t>
      </w:r>
    </w:p>
    <w:p w14:paraId="70125E71" w14:textId="59342163"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Food and Agriculture Organization (2013). Food Wastage Footprint: Impacts on Natural Resources. Rome: FAO. Available online at: </w:t>
      </w:r>
      <w:hyperlink r:id="rId16" w:history="1">
        <w:r w:rsidR="00C24CA5" w:rsidRPr="00A25147">
          <w:rPr>
            <w:rStyle w:val="Collegamentoipertestuale"/>
            <w:snapToGrid/>
            <w:color w:val="auto"/>
            <w:sz w:val="22"/>
            <w:szCs w:val="22"/>
          </w:rPr>
          <w:t>http://www.fao.org/3/i3347e/i3347e.pdf</w:t>
        </w:r>
      </w:hyperlink>
      <w:r w:rsidR="00C24CA5" w:rsidRPr="00A25147">
        <w:rPr>
          <w:snapToGrid/>
          <w:sz w:val="22"/>
          <w:szCs w:val="22"/>
        </w:rPr>
        <w:t>.</w:t>
      </w:r>
      <w:r w:rsidRPr="00A25147">
        <w:rPr>
          <w:snapToGrid/>
          <w:sz w:val="22"/>
          <w:szCs w:val="22"/>
        </w:rPr>
        <w:t xml:space="preserve"> Accessed on June 12, 2022</w:t>
      </w:r>
    </w:p>
    <w:p w14:paraId="0BBE0047" w14:textId="77777777"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Forster, P.; </w:t>
      </w:r>
      <w:proofErr w:type="spellStart"/>
      <w:r w:rsidRPr="00A25147">
        <w:rPr>
          <w:snapToGrid/>
          <w:sz w:val="22"/>
          <w:szCs w:val="22"/>
        </w:rPr>
        <w:t>Artaxo</w:t>
      </w:r>
      <w:proofErr w:type="spellEnd"/>
      <w:r w:rsidRPr="00A25147">
        <w:rPr>
          <w:snapToGrid/>
          <w:sz w:val="22"/>
          <w:szCs w:val="22"/>
        </w:rPr>
        <w:t xml:space="preserve">, P. (2007). Changes in atmospheric Constituents and in Radiative Forcing. In Climate Change 2007: The Physical Science Basis. Contribution of Working Group I to the Fourth Assessment Report of the Intergovernmental Panel on Climate Change; Solomon, S., Qin, D., Manning, M., Chen, Z., Marquis, M., </w:t>
      </w:r>
      <w:proofErr w:type="spellStart"/>
      <w:r w:rsidRPr="00A25147">
        <w:rPr>
          <w:snapToGrid/>
          <w:sz w:val="22"/>
          <w:szCs w:val="22"/>
        </w:rPr>
        <w:t>Averyt</w:t>
      </w:r>
      <w:proofErr w:type="spellEnd"/>
      <w:r w:rsidRPr="00A25147">
        <w:rPr>
          <w:snapToGrid/>
          <w:sz w:val="22"/>
          <w:szCs w:val="22"/>
        </w:rPr>
        <w:t xml:space="preserve">, K.B., </w:t>
      </w:r>
      <w:proofErr w:type="spellStart"/>
      <w:r w:rsidRPr="00A25147">
        <w:rPr>
          <w:snapToGrid/>
          <w:sz w:val="22"/>
          <w:szCs w:val="22"/>
        </w:rPr>
        <w:t>Tignor</w:t>
      </w:r>
      <w:proofErr w:type="spellEnd"/>
      <w:r w:rsidRPr="00A25147">
        <w:rPr>
          <w:snapToGrid/>
          <w:sz w:val="22"/>
          <w:szCs w:val="22"/>
        </w:rPr>
        <w:t>, M., Miller, H.L., Eds.; Cambridge University Press: Cambridge, UK; New York, NY, USA</w:t>
      </w:r>
    </w:p>
    <w:p w14:paraId="131D5493" w14:textId="77777777" w:rsidR="00B401E6" w:rsidRPr="00A25147" w:rsidRDefault="00B401E6" w:rsidP="003D1560">
      <w:pPr>
        <w:pStyle w:val="Abstract"/>
        <w:tabs>
          <w:tab w:val="left" w:pos="6379"/>
        </w:tabs>
        <w:spacing w:line="276" w:lineRule="auto"/>
        <w:ind w:right="-30" w:hanging="360"/>
        <w:rPr>
          <w:snapToGrid/>
          <w:sz w:val="22"/>
          <w:szCs w:val="22"/>
          <w:lang w:val="it-IT"/>
        </w:rPr>
      </w:pPr>
      <w:proofErr w:type="spellStart"/>
      <w:r w:rsidRPr="00A25147">
        <w:rPr>
          <w:snapToGrid/>
          <w:sz w:val="22"/>
          <w:szCs w:val="22"/>
        </w:rPr>
        <w:t>Frischknecht</w:t>
      </w:r>
      <w:proofErr w:type="spellEnd"/>
      <w:r w:rsidRPr="00A25147">
        <w:rPr>
          <w:snapToGrid/>
          <w:sz w:val="22"/>
          <w:szCs w:val="22"/>
        </w:rPr>
        <w:t xml:space="preserve"> R., </w:t>
      </w:r>
      <w:proofErr w:type="spellStart"/>
      <w:r w:rsidRPr="00A25147">
        <w:rPr>
          <w:snapToGrid/>
          <w:sz w:val="22"/>
          <w:szCs w:val="22"/>
        </w:rPr>
        <w:t>Jungbluth</w:t>
      </w:r>
      <w:proofErr w:type="spellEnd"/>
      <w:r w:rsidRPr="00A25147">
        <w:rPr>
          <w:snapToGrid/>
          <w:sz w:val="22"/>
          <w:szCs w:val="22"/>
        </w:rPr>
        <w:t xml:space="preserve"> N. (2004). Implementation of Life Cycle Impact Assessment Methods. </w:t>
      </w:r>
      <w:r w:rsidRPr="00A25147">
        <w:rPr>
          <w:snapToGrid/>
          <w:sz w:val="22"/>
          <w:szCs w:val="22"/>
          <w:lang w:val="it-IT"/>
        </w:rPr>
        <w:t xml:space="preserve">Data v1.1; Swiss Centre for Life </w:t>
      </w:r>
      <w:proofErr w:type="spellStart"/>
      <w:r w:rsidRPr="00A25147">
        <w:rPr>
          <w:snapToGrid/>
          <w:sz w:val="22"/>
          <w:szCs w:val="22"/>
          <w:lang w:val="it-IT"/>
        </w:rPr>
        <w:t>Cycle</w:t>
      </w:r>
      <w:proofErr w:type="spellEnd"/>
      <w:r w:rsidRPr="00A25147">
        <w:rPr>
          <w:snapToGrid/>
          <w:sz w:val="22"/>
          <w:szCs w:val="22"/>
          <w:lang w:val="it-IT"/>
        </w:rPr>
        <w:t xml:space="preserve"> </w:t>
      </w:r>
      <w:proofErr w:type="spellStart"/>
      <w:proofErr w:type="gramStart"/>
      <w:r w:rsidRPr="00A25147">
        <w:rPr>
          <w:snapToGrid/>
          <w:sz w:val="22"/>
          <w:szCs w:val="22"/>
          <w:lang w:val="it-IT"/>
        </w:rPr>
        <w:t>Inventories</w:t>
      </w:r>
      <w:proofErr w:type="spellEnd"/>
      <w:r w:rsidRPr="00A25147">
        <w:rPr>
          <w:snapToGrid/>
          <w:sz w:val="22"/>
          <w:szCs w:val="22"/>
          <w:lang w:val="it-IT"/>
        </w:rPr>
        <w:t xml:space="preserve">:  </w:t>
      </w:r>
      <w:proofErr w:type="spellStart"/>
      <w:r w:rsidRPr="00A25147">
        <w:rPr>
          <w:snapToGrid/>
          <w:sz w:val="22"/>
          <w:szCs w:val="22"/>
          <w:lang w:val="it-IT"/>
        </w:rPr>
        <w:t>Dübendorf</w:t>
      </w:r>
      <w:proofErr w:type="spellEnd"/>
      <w:proofErr w:type="gramEnd"/>
      <w:r w:rsidRPr="00A25147">
        <w:rPr>
          <w:snapToGrid/>
          <w:sz w:val="22"/>
          <w:szCs w:val="22"/>
          <w:lang w:val="it-IT"/>
        </w:rPr>
        <w:t>, 31−38.</w:t>
      </w:r>
    </w:p>
    <w:p w14:paraId="67424864" w14:textId="6981CF07"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lang w:val="it-IT"/>
        </w:rPr>
        <w:lastRenderedPageBreak/>
        <w:t xml:space="preserve">Gestore dei servizi energetici (GSE) (2020). </w:t>
      </w:r>
      <w:proofErr w:type="spellStart"/>
      <w:r w:rsidRPr="00A25147">
        <w:rPr>
          <w:snapToGrid/>
          <w:sz w:val="22"/>
          <w:szCs w:val="22"/>
          <w:lang w:val="it-IT"/>
        </w:rPr>
        <w:t>Fuel</w:t>
      </w:r>
      <w:proofErr w:type="spellEnd"/>
      <w:r w:rsidRPr="00A25147">
        <w:rPr>
          <w:snapToGrid/>
          <w:sz w:val="22"/>
          <w:szCs w:val="22"/>
          <w:lang w:val="it-IT"/>
        </w:rPr>
        <w:t xml:space="preserve"> Mix, determinazione Del Mix Energetico Per Gli Anni 2019-2020. </w:t>
      </w:r>
      <w:r w:rsidRPr="00A25147">
        <w:rPr>
          <w:snapToGrid/>
          <w:sz w:val="22"/>
          <w:szCs w:val="22"/>
        </w:rPr>
        <w:t xml:space="preserve">Available online at: </w:t>
      </w:r>
      <w:hyperlink r:id="rId17" w:history="1">
        <w:r w:rsidR="00C24CA5" w:rsidRPr="00A25147">
          <w:rPr>
            <w:rStyle w:val="Collegamentoipertestuale"/>
            <w:snapToGrid/>
            <w:color w:val="auto"/>
            <w:sz w:val="22"/>
            <w:szCs w:val="22"/>
          </w:rPr>
          <w:t>https://www.gse.it/servizi-per-te/news/fuel-mix-determinazione-del-mix-energetico-per-gli-anni-2019-2020</w:t>
        </w:r>
      </w:hyperlink>
      <w:r w:rsidR="00C24CA5" w:rsidRPr="00A25147">
        <w:rPr>
          <w:snapToGrid/>
          <w:sz w:val="22"/>
          <w:szCs w:val="22"/>
        </w:rPr>
        <w:t>. A</w:t>
      </w:r>
      <w:r w:rsidRPr="00A25147">
        <w:rPr>
          <w:snapToGrid/>
          <w:sz w:val="22"/>
          <w:szCs w:val="22"/>
        </w:rPr>
        <w:t>ccessed on June 20, 2022</w:t>
      </w:r>
    </w:p>
    <w:p w14:paraId="74E01EFC" w14:textId="0B345DF9"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Gustavsson J., Cederberg C., </w:t>
      </w:r>
      <w:proofErr w:type="spellStart"/>
      <w:r w:rsidRPr="00A25147">
        <w:rPr>
          <w:snapToGrid/>
          <w:sz w:val="22"/>
          <w:szCs w:val="22"/>
        </w:rPr>
        <w:t>Sonesson</w:t>
      </w:r>
      <w:proofErr w:type="spellEnd"/>
      <w:r w:rsidRPr="00A25147">
        <w:rPr>
          <w:snapToGrid/>
          <w:sz w:val="22"/>
          <w:szCs w:val="22"/>
        </w:rPr>
        <w:t xml:space="preserve"> U., van </w:t>
      </w:r>
      <w:proofErr w:type="spellStart"/>
      <w:r w:rsidRPr="00A25147">
        <w:rPr>
          <w:snapToGrid/>
          <w:sz w:val="22"/>
          <w:szCs w:val="22"/>
        </w:rPr>
        <w:t>Otterdijk</w:t>
      </w:r>
      <w:proofErr w:type="spellEnd"/>
      <w:r w:rsidRPr="00A25147">
        <w:rPr>
          <w:snapToGrid/>
          <w:sz w:val="22"/>
          <w:szCs w:val="22"/>
        </w:rPr>
        <w:t xml:space="preserve"> R., </w:t>
      </w:r>
      <w:proofErr w:type="spellStart"/>
      <w:r w:rsidRPr="00A25147">
        <w:rPr>
          <w:snapToGrid/>
          <w:sz w:val="22"/>
          <w:szCs w:val="22"/>
        </w:rPr>
        <w:t>Meybeck</w:t>
      </w:r>
      <w:proofErr w:type="spellEnd"/>
      <w:r w:rsidRPr="00A25147">
        <w:rPr>
          <w:snapToGrid/>
          <w:sz w:val="22"/>
          <w:szCs w:val="22"/>
        </w:rPr>
        <w:t xml:space="preserve"> A. (2011). Global food losses and food waste: extent, causes and prevention. International Congress: Save Food! Available online at: </w:t>
      </w:r>
      <w:hyperlink r:id="rId18" w:history="1">
        <w:r w:rsidR="00C24CA5" w:rsidRPr="00A25147">
          <w:rPr>
            <w:rStyle w:val="Collegamentoipertestuale"/>
            <w:snapToGrid/>
            <w:color w:val="auto"/>
            <w:sz w:val="22"/>
            <w:szCs w:val="22"/>
          </w:rPr>
          <w:t>http://www.fao.org/3/i2697e/i2697e.pdf</w:t>
        </w:r>
      </w:hyperlink>
      <w:r w:rsidR="00C24CA5" w:rsidRPr="00A25147">
        <w:rPr>
          <w:snapToGrid/>
          <w:sz w:val="22"/>
          <w:szCs w:val="22"/>
        </w:rPr>
        <w:t>.</w:t>
      </w:r>
      <w:r w:rsidRPr="00A25147">
        <w:rPr>
          <w:snapToGrid/>
          <w:sz w:val="22"/>
          <w:szCs w:val="22"/>
        </w:rPr>
        <w:t xml:space="preserve"> Accessed on June 12, 2022</w:t>
      </w:r>
    </w:p>
    <w:p w14:paraId="551190A6" w14:textId="2AC2F45A"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Hoekstra A.Y., </w:t>
      </w:r>
      <w:proofErr w:type="spellStart"/>
      <w:r w:rsidRPr="00A25147">
        <w:rPr>
          <w:snapToGrid/>
          <w:sz w:val="22"/>
          <w:szCs w:val="22"/>
        </w:rPr>
        <w:t>Chapagain</w:t>
      </w:r>
      <w:proofErr w:type="spellEnd"/>
      <w:r w:rsidRPr="00A25147">
        <w:rPr>
          <w:snapToGrid/>
          <w:sz w:val="22"/>
          <w:szCs w:val="22"/>
        </w:rPr>
        <w:t xml:space="preserve"> A.K., </w:t>
      </w:r>
      <w:proofErr w:type="spellStart"/>
      <w:r w:rsidRPr="00A25147">
        <w:rPr>
          <w:snapToGrid/>
          <w:sz w:val="22"/>
          <w:szCs w:val="22"/>
        </w:rPr>
        <w:t>Aldaya</w:t>
      </w:r>
      <w:proofErr w:type="spellEnd"/>
      <w:r w:rsidRPr="00A25147">
        <w:rPr>
          <w:snapToGrid/>
          <w:sz w:val="22"/>
          <w:szCs w:val="22"/>
        </w:rPr>
        <w:t xml:space="preserve"> M.M., Hoekstra M. (2011). The Water Footprint Assessment Manual: Setting the Global Standard. Available online at: </w:t>
      </w:r>
      <w:hyperlink r:id="rId19" w:history="1">
        <w:r w:rsidR="00C24CA5" w:rsidRPr="00A25147">
          <w:rPr>
            <w:rStyle w:val="Collegamentoipertestuale"/>
            <w:snapToGrid/>
            <w:color w:val="auto"/>
            <w:sz w:val="22"/>
            <w:szCs w:val="22"/>
          </w:rPr>
          <w:t>https://waterfootprint.org/media/downloads/TheWaterFootprintAssessmentManual_2.pdf</w:t>
        </w:r>
      </w:hyperlink>
      <w:r w:rsidR="00C24CA5" w:rsidRPr="00A25147">
        <w:rPr>
          <w:snapToGrid/>
          <w:sz w:val="22"/>
          <w:szCs w:val="22"/>
        </w:rPr>
        <w:t>.</w:t>
      </w:r>
      <w:r w:rsidRPr="00A25147">
        <w:rPr>
          <w:snapToGrid/>
          <w:sz w:val="22"/>
          <w:szCs w:val="22"/>
        </w:rPr>
        <w:t xml:space="preserve"> Accessed on June 12, 2022</w:t>
      </w:r>
    </w:p>
    <w:p w14:paraId="1DE707C0" w14:textId="7E1102D9" w:rsidR="00B401E6" w:rsidRPr="00A25147" w:rsidRDefault="00B401E6" w:rsidP="003D1560">
      <w:pPr>
        <w:pStyle w:val="Abstract"/>
        <w:tabs>
          <w:tab w:val="left" w:pos="6379"/>
        </w:tabs>
        <w:spacing w:line="276" w:lineRule="auto"/>
        <w:ind w:right="-30" w:hanging="360"/>
        <w:rPr>
          <w:snapToGrid/>
          <w:sz w:val="22"/>
          <w:szCs w:val="22"/>
          <w:lang w:val="it-IT"/>
        </w:rPr>
      </w:pPr>
      <w:r w:rsidRPr="00A25147">
        <w:rPr>
          <w:snapToGrid/>
          <w:sz w:val="22"/>
          <w:szCs w:val="22"/>
        </w:rPr>
        <w:t xml:space="preserve">Intergovernmental Panel on Climate Change (IPCC) (2006). IPCC Guidelines for National Greenhouse Gas Inventories-Volume 3-Industrial Processes. Available online at: </w:t>
      </w:r>
      <w:hyperlink r:id="rId20" w:history="1">
        <w:r w:rsidR="00C24CA5" w:rsidRPr="00A25147">
          <w:rPr>
            <w:rStyle w:val="Collegamentoipertestuale"/>
            <w:snapToGrid/>
            <w:color w:val="auto"/>
            <w:sz w:val="22"/>
            <w:szCs w:val="22"/>
          </w:rPr>
          <w:t>https://www.ipcc-nggip.iges.or.jp/</w:t>
        </w:r>
      </w:hyperlink>
      <w:r w:rsidR="00C24CA5" w:rsidRPr="00A25147">
        <w:rPr>
          <w:snapToGrid/>
          <w:sz w:val="22"/>
          <w:szCs w:val="22"/>
        </w:rPr>
        <w:t>.</w:t>
      </w:r>
      <w:r w:rsidRPr="00A25147">
        <w:rPr>
          <w:snapToGrid/>
          <w:sz w:val="22"/>
          <w:szCs w:val="22"/>
        </w:rPr>
        <w:t xml:space="preserve"> </w:t>
      </w:r>
      <w:proofErr w:type="spellStart"/>
      <w:r w:rsidRPr="00A25147">
        <w:rPr>
          <w:snapToGrid/>
          <w:sz w:val="22"/>
          <w:szCs w:val="22"/>
          <w:lang w:val="it-IT"/>
        </w:rPr>
        <w:t>Accessed</w:t>
      </w:r>
      <w:proofErr w:type="spellEnd"/>
      <w:r w:rsidRPr="00A25147">
        <w:rPr>
          <w:snapToGrid/>
          <w:sz w:val="22"/>
          <w:szCs w:val="22"/>
          <w:lang w:val="it-IT"/>
        </w:rPr>
        <w:t xml:space="preserve"> on June 12, 2022</w:t>
      </w:r>
    </w:p>
    <w:p w14:paraId="43210340" w14:textId="38376E43" w:rsidR="00B401E6" w:rsidRPr="00A25147" w:rsidRDefault="00B401E6" w:rsidP="003D1560">
      <w:pPr>
        <w:pStyle w:val="Abstract"/>
        <w:tabs>
          <w:tab w:val="left" w:pos="6379"/>
        </w:tabs>
        <w:spacing w:line="276" w:lineRule="auto"/>
        <w:ind w:right="-30" w:hanging="360"/>
        <w:rPr>
          <w:snapToGrid/>
          <w:sz w:val="22"/>
          <w:szCs w:val="22"/>
          <w:lang w:val="it-IT"/>
        </w:rPr>
      </w:pPr>
      <w:r w:rsidRPr="00A25147">
        <w:rPr>
          <w:snapToGrid/>
          <w:sz w:val="22"/>
          <w:szCs w:val="22"/>
          <w:lang w:val="it-IT"/>
        </w:rPr>
        <w:t xml:space="preserve">ISTAT (2018). Prelievo di acqua per uso potabile. </w:t>
      </w:r>
      <w:r w:rsidRPr="00A25147">
        <w:rPr>
          <w:snapToGrid/>
          <w:sz w:val="22"/>
          <w:szCs w:val="22"/>
        </w:rPr>
        <w:t xml:space="preserve">Available online at: </w:t>
      </w:r>
      <w:hyperlink r:id="rId21" w:history="1">
        <w:r w:rsidR="00C24CA5" w:rsidRPr="00A25147">
          <w:rPr>
            <w:rStyle w:val="Collegamentoipertestuale"/>
            <w:snapToGrid/>
            <w:color w:val="auto"/>
            <w:sz w:val="22"/>
            <w:szCs w:val="22"/>
          </w:rPr>
          <w:t>http://dati.istat.it/Index.aspx?DataSetCode=DCCV_PRELACQ</w:t>
        </w:r>
      </w:hyperlink>
      <w:r w:rsidR="00C24CA5" w:rsidRPr="00A25147">
        <w:rPr>
          <w:snapToGrid/>
          <w:sz w:val="22"/>
          <w:szCs w:val="22"/>
        </w:rPr>
        <w:t>.</w:t>
      </w:r>
      <w:r w:rsidRPr="00A25147">
        <w:rPr>
          <w:snapToGrid/>
          <w:sz w:val="22"/>
          <w:szCs w:val="22"/>
        </w:rPr>
        <w:t xml:space="preserve"> </w:t>
      </w:r>
      <w:proofErr w:type="spellStart"/>
      <w:r w:rsidR="00C24CA5" w:rsidRPr="00A25147">
        <w:rPr>
          <w:snapToGrid/>
          <w:sz w:val="22"/>
          <w:szCs w:val="22"/>
          <w:lang w:val="it-IT"/>
        </w:rPr>
        <w:t>A</w:t>
      </w:r>
      <w:r w:rsidRPr="00A25147">
        <w:rPr>
          <w:snapToGrid/>
          <w:sz w:val="22"/>
          <w:szCs w:val="22"/>
          <w:lang w:val="it-IT"/>
        </w:rPr>
        <w:t>ccessed</w:t>
      </w:r>
      <w:proofErr w:type="spellEnd"/>
      <w:r w:rsidRPr="00A25147">
        <w:rPr>
          <w:snapToGrid/>
          <w:sz w:val="22"/>
          <w:szCs w:val="22"/>
          <w:lang w:val="it-IT"/>
        </w:rPr>
        <w:t xml:space="preserve"> on June 20, 2022.</w:t>
      </w:r>
    </w:p>
    <w:p w14:paraId="6486986C" w14:textId="30ED3D31"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lang w:val="it-IT"/>
        </w:rPr>
        <w:t xml:space="preserve">Istituto Nazionale di statistica (2021). Superfici e produzione. </w:t>
      </w:r>
      <w:proofErr w:type="spellStart"/>
      <w:r w:rsidRPr="00A25147">
        <w:rPr>
          <w:snapToGrid/>
          <w:sz w:val="22"/>
          <w:szCs w:val="22"/>
        </w:rPr>
        <w:t>Dati</w:t>
      </w:r>
      <w:proofErr w:type="spellEnd"/>
      <w:r w:rsidRPr="00A25147">
        <w:rPr>
          <w:snapToGrid/>
          <w:sz w:val="22"/>
          <w:szCs w:val="22"/>
        </w:rPr>
        <w:t xml:space="preserve"> in </w:t>
      </w:r>
      <w:proofErr w:type="spellStart"/>
      <w:r w:rsidRPr="00A25147">
        <w:rPr>
          <w:snapToGrid/>
          <w:sz w:val="22"/>
          <w:szCs w:val="22"/>
        </w:rPr>
        <w:t>complesso</w:t>
      </w:r>
      <w:proofErr w:type="spellEnd"/>
      <w:r w:rsidRPr="00A25147">
        <w:rPr>
          <w:snapToGrid/>
          <w:sz w:val="22"/>
          <w:szCs w:val="22"/>
        </w:rPr>
        <w:t xml:space="preserve">. Available online at: </w:t>
      </w:r>
      <w:hyperlink r:id="rId22" w:history="1">
        <w:r w:rsidR="00C24CA5" w:rsidRPr="00A25147">
          <w:rPr>
            <w:rStyle w:val="Collegamentoipertestuale"/>
            <w:snapToGrid/>
            <w:color w:val="auto"/>
            <w:sz w:val="22"/>
            <w:szCs w:val="22"/>
          </w:rPr>
          <w:t>https://dati.istat.it/Index.aspx?QueryId=16821</w:t>
        </w:r>
      </w:hyperlink>
      <w:r w:rsidRPr="00A25147">
        <w:rPr>
          <w:snapToGrid/>
          <w:sz w:val="22"/>
          <w:szCs w:val="22"/>
        </w:rPr>
        <w:t>.</w:t>
      </w:r>
      <w:r w:rsidR="00C24CA5" w:rsidRPr="00A25147">
        <w:rPr>
          <w:snapToGrid/>
          <w:sz w:val="22"/>
          <w:szCs w:val="22"/>
        </w:rPr>
        <w:t xml:space="preserve"> </w:t>
      </w:r>
      <w:r w:rsidRPr="00A25147">
        <w:rPr>
          <w:snapToGrid/>
          <w:sz w:val="22"/>
          <w:szCs w:val="22"/>
        </w:rPr>
        <w:t>Accessed on June 12, 2022</w:t>
      </w:r>
    </w:p>
    <w:p w14:paraId="1A924FD6" w14:textId="1844B71C"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lang w:val="it-IT"/>
        </w:rPr>
        <w:t xml:space="preserve">Istituto Superiore per la Protezione e la Ricerca Ambientale (ISPRA) (2013). Variazioni e tendenze degli estremi di temperatura e precipitazioni in Italia. </w:t>
      </w:r>
      <w:proofErr w:type="spellStart"/>
      <w:r w:rsidRPr="000F684C">
        <w:rPr>
          <w:snapToGrid/>
          <w:sz w:val="22"/>
          <w:szCs w:val="22"/>
          <w:lang w:val="en-GB"/>
        </w:rPr>
        <w:t>Stato</w:t>
      </w:r>
      <w:proofErr w:type="spellEnd"/>
      <w:r w:rsidRPr="000F684C">
        <w:rPr>
          <w:snapToGrid/>
          <w:sz w:val="22"/>
          <w:szCs w:val="22"/>
          <w:lang w:val="en-GB"/>
        </w:rPr>
        <w:t xml:space="preserve"> </w:t>
      </w:r>
      <w:proofErr w:type="spellStart"/>
      <w:r w:rsidRPr="000F684C">
        <w:rPr>
          <w:snapToGrid/>
          <w:sz w:val="22"/>
          <w:szCs w:val="22"/>
          <w:lang w:val="en-GB"/>
        </w:rPr>
        <w:t>dell’Ambiente</w:t>
      </w:r>
      <w:proofErr w:type="spellEnd"/>
      <w:r w:rsidRPr="000F684C">
        <w:rPr>
          <w:snapToGrid/>
          <w:sz w:val="22"/>
          <w:szCs w:val="22"/>
          <w:lang w:val="en-GB"/>
        </w:rPr>
        <w:t xml:space="preserve"> 37/2013. ISBN 978-88-448-0599-9. </w:t>
      </w:r>
      <w:r w:rsidR="003D1560" w:rsidRPr="000F684C">
        <w:rPr>
          <w:snapToGrid/>
          <w:sz w:val="22"/>
          <w:szCs w:val="22"/>
          <w:lang w:val="en-GB"/>
        </w:rPr>
        <w:t>Available</w:t>
      </w:r>
      <w:r w:rsidRPr="000F684C">
        <w:rPr>
          <w:snapToGrid/>
          <w:sz w:val="22"/>
          <w:szCs w:val="22"/>
          <w:lang w:val="en-GB"/>
        </w:rPr>
        <w:t xml:space="preserve"> online at: </w:t>
      </w:r>
      <w:hyperlink r:id="rId23" w:history="1">
        <w:r w:rsidR="00C24CA5" w:rsidRPr="000F684C">
          <w:rPr>
            <w:rStyle w:val="Collegamentoipertestuale"/>
            <w:snapToGrid/>
            <w:color w:val="auto"/>
            <w:sz w:val="22"/>
            <w:szCs w:val="22"/>
            <w:lang w:val="en-GB"/>
          </w:rPr>
          <w:t>https://www.isprambiente.gov.it/files/pubblicazioni/statoambiente/SA_37_2013_indici_estremi.pdf</w:t>
        </w:r>
      </w:hyperlink>
      <w:r w:rsidR="00C24CA5" w:rsidRPr="000F684C">
        <w:rPr>
          <w:snapToGrid/>
          <w:sz w:val="22"/>
          <w:szCs w:val="22"/>
          <w:lang w:val="en-GB"/>
        </w:rPr>
        <w:t xml:space="preserve">. </w:t>
      </w:r>
      <w:r w:rsidR="00C24CA5" w:rsidRPr="00A25147">
        <w:rPr>
          <w:snapToGrid/>
          <w:sz w:val="22"/>
          <w:szCs w:val="22"/>
        </w:rPr>
        <w:t>A</w:t>
      </w:r>
      <w:r w:rsidRPr="00A25147">
        <w:rPr>
          <w:snapToGrid/>
          <w:sz w:val="22"/>
          <w:szCs w:val="22"/>
        </w:rPr>
        <w:t>ccessed on June 20, 2022</w:t>
      </w:r>
    </w:p>
    <w:p w14:paraId="23BEB1B3" w14:textId="302C3921" w:rsidR="003D1560" w:rsidRPr="00A25147" w:rsidRDefault="003D1560" w:rsidP="003D1560">
      <w:pPr>
        <w:pStyle w:val="Abstract"/>
        <w:tabs>
          <w:tab w:val="left" w:pos="6379"/>
        </w:tabs>
        <w:spacing w:line="276" w:lineRule="auto"/>
        <w:ind w:right="-30" w:hanging="360"/>
        <w:rPr>
          <w:snapToGrid/>
          <w:sz w:val="22"/>
          <w:szCs w:val="22"/>
        </w:rPr>
      </w:pPr>
      <w:proofErr w:type="spellStart"/>
      <w:r w:rsidRPr="00A25147">
        <w:rPr>
          <w:snapToGrid/>
          <w:sz w:val="22"/>
          <w:szCs w:val="22"/>
        </w:rPr>
        <w:t>Ligthart</w:t>
      </w:r>
      <w:proofErr w:type="spellEnd"/>
      <w:r w:rsidRPr="00A25147">
        <w:rPr>
          <w:snapToGrid/>
          <w:sz w:val="22"/>
          <w:szCs w:val="22"/>
        </w:rPr>
        <w:t xml:space="preserve">, T. N., &amp; van </w:t>
      </w:r>
      <w:proofErr w:type="spellStart"/>
      <w:r w:rsidRPr="00A25147">
        <w:rPr>
          <w:snapToGrid/>
          <w:sz w:val="22"/>
          <w:szCs w:val="22"/>
        </w:rPr>
        <w:t>Harmelen</w:t>
      </w:r>
      <w:proofErr w:type="spellEnd"/>
      <w:r w:rsidRPr="00A25147">
        <w:rPr>
          <w:snapToGrid/>
          <w:sz w:val="22"/>
          <w:szCs w:val="22"/>
        </w:rPr>
        <w:t xml:space="preserve">, T. (2019). Estimation of shadow prices of soil organic carbon depletion and freshwater depletion for use in LCA. International Journal of Life Cycle Assessment, 24(9), 1602-1619. doi:10.1007/s11367-019-01589-8 </w:t>
      </w:r>
    </w:p>
    <w:p w14:paraId="7A0D8E18" w14:textId="44199039"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rPr>
        <w:t xml:space="preserve">Luo T., R. Young, </w:t>
      </w:r>
      <w:proofErr w:type="spellStart"/>
      <w:r w:rsidRPr="00A25147">
        <w:rPr>
          <w:snapToGrid/>
          <w:sz w:val="22"/>
          <w:szCs w:val="22"/>
        </w:rPr>
        <w:t>Reig</w:t>
      </w:r>
      <w:proofErr w:type="spellEnd"/>
      <w:r w:rsidRPr="00A25147">
        <w:rPr>
          <w:snapToGrid/>
          <w:sz w:val="22"/>
          <w:szCs w:val="22"/>
        </w:rPr>
        <w:t xml:space="preserve"> P. (2015). Aqueduct projected water stress rankings. Technical note. Washington, DC: World Resources Institute, August 215. Available online at </w:t>
      </w:r>
      <w:hyperlink r:id="rId24" w:history="1">
        <w:r w:rsidR="00C24CA5" w:rsidRPr="00A25147">
          <w:rPr>
            <w:rStyle w:val="Collegamentoipertestuale"/>
            <w:snapToGrid/>
            <w:color w:val="auto"/>
            <w:sz w:val="22"/>
            <w:szCs w:val="22"/>
          </w:rPr>
          <w:t>http://www.wri.org/publication/aqueduct-projected-water-stress-country-rankings</w:t>
        </w:r>
      </w:hyperlink>
      <w:r w:rsidR="00C24CA5" w:rsidRPr="00A25147">
        <w:rPr>
          <w:snapToGrid/>
          <w:sz w:val="22"/>
          <w:szCs w:val="22"/>
        </w:rPr>
        <w:t>.</w:t>
      </w:r>
      <w:r w:rsidRPr="00A25147">
        <w:rPr>
          <w:snapToGrid/>
          <w:sz w:val="22"/>
          <w:szCs w:val="22"/>
        </w:rPr>
        <w:t xml:space="preserve"> </w:t>
      </w:r>
      <w:r w:rsidR="00C24CA5" w:rsidRPr="00A25147">
        <w:rPr>
          <w:snapToGrid/>
          <w:sz w:val="22"/>
          <w:szCs w:val="22"/>
        </w:rPr>
        <w:t>A</w:t>
      </w:r>
      <w:r w:rsidRPr="00A25147">
        <w:rPr>
          <w:snapToGrid/>
          <w:sz w:val="22"/>
          <w:szCs w:val="22"/>
        </w:rPr>
        <w:t>ccessed on June 20, 2022</w:t>
      </w:r>
    </w:p>
    <w:p w14:paraId="75112840" w14:textId="77777777" w:rsidR="00B401E6" w:rsidRPr="00A25147" w:rsidRDefault="00B401E6" w:rsidP="003D1560">
      <w:pPr>
        <w:pStyle w:val="Abstract"/>
        <w:tabs>
          <w:tab w:val="left" w:pos="6379"/>
        </w:tabs>
        <w:spacing w:line="276" w:lineRule="auto"/>
        <w:ind w:right="-30" w:hanging="360"/>
        <w:rPr>
          <w:snapToGrid/>
          <w:sz w:val="22"/>
          <w:szCs w:val="22"/>
          <w:lang w:val="it-IT"/>
        </w:rPr>
      </w:pPr>
      <w:proofErr w:type="spellStart"/>
      <w:r w:rsidRPr="00A25147">
        <w:rPr>
          <w:snapToGrid/>
          <w:sz w:val="22"/>
          <w:szCs w:val="22"/>
        </w:rPr>
        <w:lastRenderedPageBreak/>
        <w:t>Menegat</w:t>
      </w:r>
      <w:proofErr w:type="spellEnd"/>
      <w:r w:rsidRPr="00A25147">
        <w:rPr>
          <w:snapToGrid/>
          <w:sz w:val="22"/>
          <w:szCs w:val="22"/>
        </w:rPr>
        <w:t xml:space="preserve"> S, Ledo A, Tirado R. (2021). Greenhouse gas emissions from global production and use of nitrogen synthetic fertilizers in agriculture. </w:t>
      </w:r>
      <w:proofErr w:type="spellStart"/>
      <w:r w:rsidRPr="00A25147">
        <w:rPr>
          <w:snapToGrid/>
          <w:sz w:val="22"/>
          <w:szCs w:val="22"/>
          <w:lang w:val="it-IT"/>
        </w:rPr>
        <w:t>Research</w:t>
      </w:r>
      <w:proofErr w:type="spellEnd"/>
      <w:r w:rsidRPr="00A25147">
        <w:rPr>
          <w:snapToGrid/>
          <w:sz w:val="22"/>
          <w:szCs w:val="22"/>
          <w:lang w:val="it-IT"/>
        </w:rPr>
        <w:t xml:space="preserve"> </w:t>
      </w:r>
      <w:proofErr w:type="spellStart"/>
      <w:r w:rsidRPr="00A25147">
        <w:rPr>
          <w:snapToGrid/>
          <w:sz w:val="22"/>
          <w:szCs w:val="22"/>
          <w:lang w:val="it-IT"/>
        </w:rPr>
        <w:t>Square</w:t>
      </w:r>
      <w:proofErr w:type="spellEnd"/>
      <w:r w:rsidRPr="00A25147">
        <w:rPr>
          <w:snapToGrid/>
          <w:sz w:val="22"/>
          <w:szCs w:val="22"/>
          <w:lang w:val="it-IT"/>
        </w:rPr>
        <w:t>, DOI: 10.21203/rs.3.rs-1007419/v1.</w:t>
      </w:r>
    </w:p>
    <w:p w14:paraId="2E421111" w14:textId="12C1966D" w:rsidR="00B401E6" w:rsidRPr="00A25147" w:rsidRDefault="00B401E6" w:rsidP="003D1560">
      <w:pPr>
        <w:pStyle w:val="Abstract"/>
        <w:tabs>
          <w:tab w:val="left" w:pos="6379"/>
        </w:tabs>
        <w:spacing w:line="276" w:lineRule="auto"/>
        <w:ind w:right="-30" w:hanging="360"/>
        <w:rPr>
          <w:snapToGrid/>
          <w:sz w:val="22"/>
          <w:szCs w:val="22"/>
        </w:rPr>
      </w:pPr>
      <w:r w:rsidRPr="00A25147">
        <w:rPr>
          <w:snapToGrid/>
          <w:sz w:val="22"/>
          <w:szCs w:val="22"/>
          <w:lang w:val="it-IT"/>
        </w:rPr>
        <w:t xml:space="preserve">Michetti M., Gualtieri M., </w:t>
      </w:r>
      <w:proofErr w:type="spellStart"/>
      <w:r w:rsidRPr="00A25147">
        <w:rPr>
          <w:snapToGrid/>
          <w:sz w:val="22"/>
          <w:szCs w:val="22"/>
          <w:lang w:val="it-IT"/>
        </w:rPr>
        <w:t>Anav</w:t>
      </w:r>
      <w:proofErr w:type="spellEnd"/>
      <w:r w:rsidRPr="00A25147">
        <w:rPr>
          <w:snapToGrid/>
          <w:sz w:val="22"/>
          <w:szCs w:val="22"/>
          <w:lang w:val="it-IT"/>
        </w:rPr>
        <w:t xml:space="preserve"> A., Adani M., Benassi B., </w:t>
      </w:r>
      <w:proofErr w:type="spellStart"/>
      <w:r w:rsidRPr="00A25147">
        <w:rPr>
          <w:snapToGrid/>
          <w:sz w:val="22"/>
          <w:szCs w:val="22"/>
          <w:lang w:val="it-IT"/>
        </w:rPr>
        <w:t>Dalmastri</w:t>
      </w:r>
      <w:proofErr w:type="spellEnd"/>
      <w:r w:rsidRPr="00A25147">
        <w:rPr>
          <w:snapToGrid/>
          <w:sz w:val="22"/>
          <w:szCs w:val="22"/>
          <w:lang w:val="it-IT"/>
        </w:rPr>
        <w:t xml:space="preserve"> C., D’Elia I., Piersanti A., Sannino G., Zanini G., Uccelli R. (2022). </w:t>
      </w:r>
      <w:r w:rsidRPr="00A25147">
        <w:rPr>
          <w:snapToGrid/>
          <w:sz w:val="22"/>
          <w:szCs w:val="22"/>
        </w:rPr>
        <w:t xml:space="preserve">Climate change and air pollution: Translating their interplay into present and future mortality risk for Rome and Milan municipalities. Science of The Total Environment, 830, 154680. </w:t>
      </w:r>
      <w:hyperlink r:id="rId25" w:history="1">
        <w:r w:rsidR="00C24CA5" w:rsidRPr="00A25147">
          <w:rPr>
            <w:rStyle w:val="Collegamentoipertestuale"/>
            <w:snapToGrid/>
            <w:color w:val="auto"/>
            <w:sz w:val="22"/>
            <w:szCs w:val="22"/>
          </w:rPr>
          <w:t>https://doi.org/10.1016/J.SCITOTENV.2022.154680</w:t>
        </w:r>
      </w:hyperlink>
      <w:r w:rsidR="00C24CA5" w:rsidRPr="00A25147">
        <w:rPr>
          <w:snapToGrid/>
          <w:sz w:val="22"/>
          <w:szCs w:val="22"/>
        </w:rPr>
        <w:t xml:space="preserve"> </w:t>
      </w:r>
    </w:p>
    <w:p w14:paraId="37958FB8" w14:textId="77777777" w:rsidR="00B401E6" w:rsidRPr="000F684C" w:rsidRDefault="00B401E6" w:rsidP="003D1560">
      <w:pPr>
        <w:pStyle w:val="Abstract"/>
        <w:tabs>
          <w:tab w:val="left" w:pos="6379"/>
        </w:tabs>
        <w:spacing w:line="276" w:lineRule="auto"/>
        <w:ind w:right="-30" w:hanging="360"/>
        <w:rPr>
          <w:snapToGrid/>
          <w:sz w:val="22"/>
          <w:szCs w:val="22"/>
          <w:lang w:val="en-GB"/>
        </w:rPr>
      </w:pPr>
      <w:r w:rsidRPr="000F684C">
        <w:rPr>
          <w:snapToGrid/>
          <w:sz w:val="22"/>
          <w:szCs w:val="22"/>
          <w:lang w:val="it-IT"/>
        </w:rPr>
        <w:t xml:space="preserve">Morandini N. P., </w:t>
      </w:r>
      <w:proofErr w:type="spellStart"/>
      <w:r w:rsidRPr="000F684C">
        <w:rPr>
          <w:snapToGrid/>
          <w:sz w:val="22"/>
          <w:szCs w:val="22"/>
          <w:lang w:val="it-IT"/>
        </w:rPr>
        <w:t>Petroudi</w:t>
      </w:r>
      <w:proofErr w:type="spellEnd"/>
      <w:r w:rsidRPr="000F684C">
        <w:rPr>
          <w:snapToGrid/>
          <w:sz w:val="22"/>
          <w:szCs w:val="22"/>
          <w:lang w:val="it-IT"/>
        </w:rPr>
        <w:t xml:space="preserve"> E. R., </w:t>
      </w:r>
      <w:proofErr w:type="spellStart"/>
      <w:r w:rsidRPr="000F684C">
        <w:rPr>
          <w:snapToGrid/>
          <w:sz w:val="22"/>
          <w:szCs w:val="22"/>
          <w:lang w:val="it-IT"/>
        </w:rPr>
        <w:t>Mobasser</w:t>
      </w:r>
      <w:proofErr w:type="spellEnd"/>
      <w:r w:rsidRPr="000F684C">
        <w:rPr>
          <w:snapToGrid/>
          <w:sz w:val="22"/>
          <w:szCs w:val="22"/>
          <w:lang w:val="it-IT"/>
        </w:rPr>
        <w:t xml:space="preserve"> H. R., </w:t>
      </w:r>
      <w:proofErr w:type="spellStart"/>
      <w:r w:rsidRPr="000F684C">
        <w:rPr>
          <w:snapToGrid/>
          <w:sz w:val="22"/>
          <w:szCs w:val="22"/>
          <w:lang w:val="it-IT"/>
        </w:rPr>
        <w:t>Dastan</w:t>
      </w:r>
      <w:proofErr w:type="spellEnd"/>
      <w:r w:rsidRPr="000F684C">
        <w:rPr>
          <w:snapToGrid/>
          <w:sz w:val="22"/>
          <w:szCs w:val="22"/>
          <w:lang w:val="it-IT"/>
        </w:rPr>
        <w:t xml:space="preserve"> S. (2020). </w:t>
      </w:r>
      <w:r w:rsidRPr="00A25147">
        <w:rPr>
          <w:snapToGrid/>
          <w:sz w:val="22"/>
          <w:szCs w:val="22"/>
        </w:rPr>
        <w:t xml:space="preserve">Life Cycle Assessment of Crop Rotation Systems on Rice Cultivars in Northern Iran. </w:t>
      </w:r>
      <w:r w:rsidRPr="000F684C">
        <w:rPr>
          <w:snapToGrid/>
          <w:sz w:val="22"/>
          <w:szCs w:val="22"/>
          <w:lang w:val="en-GB"/>
        </w:rPr>
        <w:t xml:space="preserve">International Journal of Plant Production, 14(3). </w:t>
      </w:r>
      <w:hyperlink r:id="rId26" w:history="1">
        <w:r w:rsidRPr="000F684C">
          <w:rPr>
            <w:rStyle w:val="Collegamentoipertestuale"/>
            <w:snapToGrid/>
            <w:color w:val="auto"/>
            <w:sz w:val="22"/>
            <w:szCs w:val="22"/>
            <w:lang w:val="en-GB"/>
          </w:rPr>
          <w:t>https://doi.org/10.1007/s42106-020-00103-7</w:t>
        </w:r>
      </w:hyperlink>
    </w:p>
    <w:p w14:paraId="7FB757D0" w14:textId="3D3C67ED" w:rsidR="00B401E6" w:rsidRPr="00A25147" w:rsidRDefault="00B401E6" w:rsidP="003D1560">
      <w:pPr>
        <w:pStyle w:val="Abstract"/>
        <w:tabs>
          <w:tab w:val="left" w:pos="6379"/>
        </w:tabs>
        <w:spacing w:line="276" w:lineRule="auto"/>
        <w:ind w:right="-30" w:hanging="360"/>
        <w:rPr>
          <w:snapToGrid/>
          <w:sz w:val="22"/>
          <w:szCs w:val="22"/>
          <w:lang w:val="it-IT"/>
        </w:rPr>
      </w:pPr>
      <w:proofErr w:type="spellStart"/>
      <w:r w:rsidRPr="000F684C">
        <w:rPr>
          <w:snapToGrid/>
          <w:sz w:val="22"/>
          <w:szCs w:val="22"/>
          <w:lang w:val="en-GB"/>
        </w:rPr>
        <w:t>Notarnicola</w:t>
      </w:r>
      <w:proofErr w:type="spellEnd"/>
      <w:r w:rsidRPr="000F684C">
        <w:rPr>
          <w:snapToGrid/>
          <w:sz w:val="22"/>
          <w:szCs w:val="22"/>
          <w:lang w:val="en-GB"/>
        </w:rPr>
        <w:t xml:space="preserve"> B., Di Capua R., </w:t>
      </w:r>
      <w:proofErr w:type="spellStart"/>
      <w:r w:rsidRPr="000F684C">
        <w:rPr>
          <w:snapToGrid/>
          <w:sz w:val="22"/>
          <w:szCs w:val="22"/>
          <w:lang w:val="en-GB"/>
        </w:rPr>
        <w:t>Astuto</w:t>
      </w:r>
      <w:proofErr w:type="spellEnd"/>
      <w:r w:rsidRPr="000F684C">
        <w:rPr>
          <w:snapToGrid/>
          <w:sz w:val="22"/>
          <w:szCs w:val="22"/>
          <w:lang w:val="en-GB"/>
        </w:rPr>
        <w:t xml:space="preserve"> F. (2021). </w:t>
      </w:r>
      <w:r w:rsidRPr="00A25147">
        <w:rPr>
          <w:snapToGrid/>
          <w:sz w:val="22"/>
          <w:szCs w:val="22"/>
          <w:lang w:val="it-IT"/>
        </w:rPr>
        <w:t xml:space="preserve">Il progetto ILCIDAF di sviluppo di un database italiano di Life </w:t>
      </w:r>
      <w:proofErr w:type="spellStart"/>
      <w:r w:rsidRPr="00A25147">
        <w:rPr>
          <w:snapToGrid/>
          <w:sz w:val="22"/>
          <w:szCs w:val="22"/>
          <w:lang w:val="it-IT"/>
        </w:rPr>
        <w:t>Cycle</w:t>
      </w:r>
      <w:proofErr w:type="spellEnd"/>
      <w:r w:rsidRPr="00A25147">
        <w:rPr>
          <w:snapToGrid/>
          <w:sz w:val="22"/>
          <w:szCs w:val="22"/>
          <w:lang w:val="it-IT"/>
        </w:rPr>
        <w:t xml:space="preserve"> Inventory di prodotti agroalimentari: stato dell’arte degli altri database e avanzamenti metodologici. In: Il Life </w:t>
      </w:r>
      <w:proofErr w:type="spellStart"/>
      <w:r w:rsidRPr="00A25147">
        <w:rPr>
          <w:snapToGrid/>
          <w:sz w:val="22"/>
          <w:szCs w:val="22"/>
          <w:lang w:val="it-IT"/>
        </w:rPr>
        <w:t>Cycle</w:t>
      </w:r>
      <w:proofErr w:type="spellEnd"/>
      <w:r w:rsidRPr="00A25147">
        <w:rPr>
          <w:snapToGrid/>
          <w:sz w:val="22"/>
          <w:szCs w:val="22"/>
          <w:lang w:val="it-IT"/>
        </w:rPr>
        <w:t xml:space="preserve"> </w:t>
      </w:r>
      <w:proofErr w:type="spellStart"/>
      <w:r w:rsidRPr="00A25147">
        <w:rPr>
          <w:snapToGrid/>
          <w:sz w:val="22"/>
          <w:szCs w:val="22"/>
          <w:lang w:val="it-IT"/>
        </w:rPr>
        <w:t>Assessment</w:t>
      </w:r>
      <w:proofErr w:type="spellEnd"/>
      <w:r w:rsidRPr="00A25147">
        <w:rPr>
          <w:snapToGrid/>
          <w:sz w:val="22"/>
          <w:szCs w:val="22"/>
          <w:lang w:val="it-IT"/>
        </w:rPr>
        <w:t xml:space="preserve"> per la valutazione della sostenibilità della filiera e dei prodotti agro-alimentari: sfide e nuove opportunità. Atti di convegno, 173-189, Edizioni Nuova Cultura. ISBN: 978-88-33654-44-7</w:t>
      </w:r>
      <w:r w:rsidR="00C24CA5" w:rsidRPr="00A25147">
        <w:rPr>
          <w:snapToGrid/>
          <w:sz w:val="22"/>
          <w:szCs w:val="22"/>
          <w:lang w:val="it-IT"/>
        </w:rPr>
        <w:t xml:space="preserve"> </w:t>
      </w:r>
    </w:p>
    <w:p w14:paraId="37B0BBD3" w14:textId="305E8179" w:rsidR="00B401E6" w:rsidRPr="00A25147" w:rsidRDefault="00B401E6" w:rsidP="003D1560">
      <w:pPr>
        <w:pStyle w:val="Abstract"/>
        <w:tabs>
          <w:tab w:val="left" w:pos="6379"/>
        </w:tabs>
        <w:spacing w:line="276" w:lineRule="auto"/>
        <w:ind w:right="-30" w:hanging="360"/>
        <w:rPr>
          <w:snapToGrid/>
          <w:sz w:val="22"/>
          <w:szCs w:val="22"/>
          <w:lang w:val="it-IT"/>
        </w:rPr>
      </w:pPr>
      <w:r w:rsidRPr="00A25147">
        <w:rPr>
          <w:snapToGrid/>
          <w:sz w:val="22"/>
          <w:szCs w:val="22"/>
          <w:lang w:val="it-IT"/>
        </w:rPr>
        <w:t xml:space="preserve">Spano D., Mereu V., </w:t>
      </w:r>
      <w:proofErr w:type="spellStart"/>
      <w:r w:rsidRPr="00A25147">
        <w:rPr>
          <w:snapToGrid/>
          <w:sz w:val="22"/>
          <w:szCs w:val="22"/>
          <w:lang w:val="it-IT"/>
        </w:rPr>
        <w:t>Bacciu</w:t>
      </w:r>
      <w:proofErr w:type="spellEnd"/>
      <w:r w:rsidRPr="00A25147">
        <w:rPr>
          <w:snapToGrid/>
          <w:sz w:val="22"/>
          <w:szCs w:val="22"/>
          <w:lang w:val="it-IT"/>
        </w:rPr>
        <w:t xml:space="preserve"> V., Marras S., Trabucco A., </w:t>
      </w:r>
      <w:proofErr w:type="spellStart"/>
      <w:r w:rsidRPr="00A25147">
        <w:rPr>
          <w:snapToGrid/>
          <w:sz w:val="22"/>
          <w:szCs w:val="22"/>
          <w:lang w:val="it-IT"/>
        </w:rPr>
        <w:t>Adinolf</w:t>
      </w:r>
      <w:proofErr w:type="spellEnd"/>
      <w:r w:rsidRPr="00A25147">
        <w:rPr>
          <w:snapToGrid/>
          <w:sz w:val="22"/>
          <w:szCs w:val="22"/>
          <w:lang w:val="it-IT"/>
        </w:rPr>
        <w:t xml:space="preserve"> M., Barbato G., Bosello F., Breil M., Chiriacò M. V., Coppini G., </w:t>
      </w:r>
      <w:proofErr w:type="spellStart"/>
      <w:r w:rsidRPr="00A25147">
        <w:rPr>
          <w:snapToGrid/>
          <w:sz w:val="22"/>
          <w:szCs w:val="22"/>
          <w:lang w:val="it-IT"/>
        </w:rPr>
        <w:t>Essenfelder</w:t>
      </w:r>
      <w:proofErr w:type="spellEnd"/>
      <w:r w:rsidRPr="00A25147">
        <w:rPr>
          <w:snapToGrid/>
          <w:sz w:val="22"/>
          <w:szCs w:val="22"/>
          <w:lang w:val="it-IT"/>
        </w:rPr>
        <w:t xml:space="preserve"> A., Galluccio G., Lovato T., Marzi S., Masina S., Mercogliano P., </w:t>
      </w:r>
      <w:proofErr w:type="spellStart"/>
      <w:r w:rsidRPr="00A25147">
        <w:rPr>
          <w:snapToGrid/>
          <w:sz w:val="22"/>
          <w:szCs w:val="22"/>
          <w:lang w:val="it-IT"/>
        </w:rPr>
        <w:t>Mysiak</w:t>
      </w:r>
      <w:proofErr w:type="spellEnd"/>
      <w:r w:rsidRPr="00A25147">
        <w:rPr>
          <w:snapToGrid/>
          <w:sz w:val="22"/>
          <w:szCs w:val="22"/>
          <w:lang w:val="it-IT"/>
        </w:rPr>
        <w:t xml:space="preserve"> J., Noce S., </w:t>
      </w:r>
      <w:proofErr w:type="spellStart"/>
      <w:r w:rsidRPr="00A25147">
        <w:rPr>
          <w:snapToGrid/>
          <w:sz w:val="22"/>
          <w:szCs w:val="22"/>
          <w:lang w:val="it-IT"/>
        </w:rPr>
        <w:t>Pal</w:t>
      </w:r>
      <w:proofErr w:type="spellEnd"/>
      <w:r w:rsidRPr="00A25147">
        <w:rPr>
          <w:snapToGrid/>
          <w:sz w:val="22"/>
          <w:szCs w:val="22"/>
          <w:lang w:val="it-IT"/>
        </w:rPr>
        <w:t xml:space="preserve"> J., </w:t>
      </w:r>
      <w:proofErr w:type="spellStart"/>
      <w:r w:rsidRPr="00A25147">
        <w:rPr>
          <w:snapToGrid/>
          <w:sz w:val="22"/>
          <w:szCs w:val="22"/>
          <w:lang w:val="it-IT"/>
        </w:rPr>
        <w:t>Reder</w:t>
      </w:r>
      <w:proofErr w:type="spellEnd"/>
      <w:r w:rsidRPr="00A25147">
        <w:rPr>
          <w:snapToGrid/>
          <w:sz w:val="22"/>
          <w:szCs w:val="22"/>
          <w:lang w:val="it-IT"/>
        </w:rPr>
        <w:t xml:space="preserve"> A., </w:t>
      </w:r>
      <w:proofErr w:type="spellStart"/>
      <w:r w:rsidRPr="00A25147">
        <w:rPr>
          <w:snapToGrid/>
          <w:sz w:val="22"/>
          <w:szCs w:val="22"/>
          <w:lang w:val="it-IT"/>
        </w:rPr>
        <w:t>Rianna</w:t>
      </w:r>
      <w:proofErr w:type="spellEnd"/>
      <w:r w:rsidRPr="00A25147">
        <w:rPr>
          <w:snapToGrid/>
          <w:sz w:val="22"/>
          <w:szCs w:val="22"/>
          <w:lang w:val="it-IT"/>
        </w:rPr>
        <w:t xml:space="preserve"> G., Rizzo A., Santini M., Sini E., </w:t>
      </w:r>
      <w:proofErr w:type="spellStart"/>
      <w:r w:rsidRPr="00A25147">
        <w:rPr>
          <w:snapToGrid/>
          <w:sz w:val="22"/>
          <w:szCs w:val="22"/>
          <w:lang w:val="it-IT"/>
        </w:rPr>
        <w:t>Staccione</w:t>
      </w:r>
      <w:proofErr w:type="spellEnd"/>
      <w:r w:rsidRPr="00A25147">
        <w:rPr>
          <w:snapToGrid/>
          <w:sz w:val="22"/>
          <w:szCs w:val="22"/>
          <w:lang w:val="it-IT"/>
        </w:rPr>
        <w:t xml:space="preserve"> A., Villani V., </w:t>
      </w:r>
      <w:proofErr w:type="spellStart"/>
      <w:r w:rsidRPr="00A25147">
        <w:rPr>
          <w:snapToGrid/>
          <w:sz w:val="22"/>
          <w:szCs w:val="22"/>
          <w:lang w:val="it-IT"/>
        </w:rPr>
        <w:t>Zavatarelli</w:t>
      </w:r>
      <w:proofErr w:type="spellEnd"/>
      <w:r w:rsidRPr="00A25147">
        <w:rPr>
          <w:snapToGrid/>
          <w:sz w:val="22"/>
          <w:szCs w:val="22"/>
          <w:lang w:val="it-IT"/>
        </w:rPr>
        <w:t xml:space="preserve"> M. (2020). “Analisi del rischio. I cambiamenti climatici in Italia”. DOI: 10.25424/CMCC/ANALISI_DEL_RISCHIO. ISBN 978-88-97666-15-8 © Fondazione CMCC - Centro Euro-Mediterraneo sui Cambiamenti Climatici 2020</w:t>
      </w:r>
    </w:p>
    <w:p w14:paraId="122271D6" w14:textId="0F0AEB93" w:rsidR="00B401E6" w:rsidRPr="00A25147" w:rsidRDefault="00B401E6" w:rsidP="003D1560">
      <w:pPr>
        <w:pStyle w:val="Abstract"/>
        <w:tabs>
          <w:tab w:val="left" w:pos="6379"/>
        </w:tabs>
        <w:spacing w:line="276" w:lineRule="auto"/>
        <w:ind w:right="-30" w:hanging="360"/>
        <w:rPr>
          <w:snapToGrid/>
          <w:sz w:val="22"/>
          <w:szCs w:val="22"/>
        </w:rPr>
      </w:pPr>
      <w:proofErr w:type="spellStart"/>
      <w:r w:rsidRPr="00A25147">
        <w:rPr>
          <w:snapToGrid/>
          <w:sz w:val="22"/>
          <w:szCs w:val="22"/>
          <w:lang w:val="it-IT"/>
        </w:rPr>
        <w:t>Tubiello</w:t>
      </w:r>
      <w:proofErr w:type="spellEnd"/>
      <w:r w:rsidRPr="00A25147">
        <w:rPr>
          <w:snapToGrid/>
          <w:sz w:val="22"/>
          <w:szCs w:val="22"/>
          <w:lang w:val="it-IT"/>
        </w:rPr>
        <w:t xml:space="preserve"> F.N., Karl K. et al. </w:t>
      </w:r>
      <w:r w:rsidRPr="00A25147">
        <w:rPr>
          <w:snapToGrid/>
          <w:sz w:val="22"/>
          <w:szCs w:val="22"/>
        </w:rPr>
        <w:t xml:space="preserve">(2022). Pre-and post-production processes increasingly dominate greenhouse gas emissions from agri-food systems. Earth System Science Data, 14, 1795–1809, 2022 </w:t>
      </w:r>
      <w:hyperlink r:id="rId27" w:history="1">
        <w:r w:rsidR="00C24CA5" w:rsidRPr="00A25147">
          <w:rPr>
            <w:rStyle w:val="Collegamentoipertestuale"/>
            <w:snapToGrid/>
            <w:color w:val="auto"/>
            <w:sz w:val="22"/>
            <w:szCs w:val="22"/>
          </w:rPr>
          <w:t>https://doi.org/10.5194/essd-14-1795-2022</w:t>
        </w:r>
      </w:hyperlink>
      <w:r w:rsidR="00C24CA5" w:rsidRPr="00A25147">
        <w:rPr>
          <w:snapToGrid/>
          <w:sz w:val="22"/>
          <w:szCs w:val="22"/>
        </w:rPr>
        <w:t xml:space="preserve"> </w:t>
      </w:r>
    </w:p>
    <w:p w14:paraId="4E75CC99" w14:textId="6AEB18DD" w:rsidR="00B401E6" w:rsidRPr="00A25147" w:rsidRDefault="00B401E6" w:rsidP="00BC3990">
      <w:pPr>
        <w:pStyle w:val="Abstract"/>
        <w:tabs>
          <w:tab w:val="left" w:pos="6379"/>
        </w:tabs>
        <w:spacing w:line="276" w:lineRule="auto"/>
        <w:ind w:right="-30" w:hanging="360"/>
        <w:rPr>
          <w:snapToGrid/>
          <w:sz w:val="22"/>
          <w:szCs w:val="22"/>
          <w:lang w:val="it-IT"/>
        </w:rPr>
      </w:pPr>
      <w:r w:rsidRPr="00A25147">
        <w:rPr>
          <w:snapToGrid/>
          <w:sz w:val="22"/>
          <w:szCs w:val="22"/>
        </w:rPr>
        <w:t xml:space="preserve">VDI (1997). Cumulative energy demand—terms, definitions, methods of calculation. </w:t>
      </w:r>
      <w:r w:rsidRPr="00A25147">
        <w:rPr>
          <w:snapToGrid/>
          <w:sz w:val="22"/>
          <w:szCs w:val="22"/>
          <w:lang w:val="it-IT"/>
        </w:rPr>
        <w:t>VDI-</w:t>
      </w:r>
      <w:proofErr w:type="spellStart"/>
      <w:r w:rsidRPr="00A25147">
        <w:rPr>
          <w:snapToGrid/>
          <w:sz w:val="22"/>
          <w:szCs w:val="22"/>
          <w:lang w:val="it-IT"/>
        </w:rPr>
        <w:t>Richtlinien</w:t>
      </w:r>
      <w:proofErr w:type="spellEnd"/>
      <w:r w:rsidRPr="00A25147">
        <w:rPr>
          <w:snapToGrid/>
          <w:sz w:val="22"/>
          <w:szCs w:val="22"/>
          <w:lang w:val="it-IT"/>
        </w:rPr>
        <w:t xml:space="preserve"> 4600. </w:t>
      </w:r>
      <w:proofErr w:type="spellStart"/>
      <w:r w:rsidRPr="00A25147">
        <w:rPr>
          <w:snapToGrid/>
          <w:sz w:val="22"/>
          <w:szCs w:val="22"/>
          <w:lang w:val="it-IT"/>
        </w:rPr>
        <w:t>Accessed</w:t>
      </w:r>
      <w:proofErr w:type="spellEnd"/>
      <w:r w:rsidRPr="00A25147">
        <w:rPr>
          <w:snapToGrid/>
          <w:sz w:val="22"/>
          <w:szCs w:val="22"/>
          <w:lang w:val="it-IT"/>
        </w:rPr>
        <w:t xml:space="preserve"> on June 12, 2022</w:t>
      </w:r>
    </w:p>
    <w:p w14:paraId="0C2FC9DA" w14:textId="77777777" w:rsidR="003D1040" w:rsidRPr="00A25147" w:rsidRDefault="003D1040" w:rsidP="00BC3990">
      <w:pPr>
        <w:pStyle w:val="Abstract"/>
        <w:tabs>
          <w:tab w:val="left" w:pos="6379"/>
        </w:tabs>
        <w:spacing w:line="276" w:lineRule="auto"/>
        <w:ind w:right="-30" w:hanging="360"/>
        <w:rPr>
          <w:snapToGrid/>
          <w:sz w:val="24"/>
        </w:rPr>
      </w:pPr>
    </w:p>
    <w:sectPr w:rsidR="003D1040" w:rsidRPr="00A25147" w:rsidSect="00E43F28">
      <w:headerReference w:type="even" r:id="rId28"/>
      <w:headerReference w:type="default" r:id="rId29"/>
      <w:headerReference w:type="first" r:id="rId30"/>
      <w:footerReference w:type="first" r:id="rId3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B06B" w14:textId="77777777" w:rsidR="0007462C" w:rsidRDefault="0007462C">
      <w:pPr>
        <w:spacing w:line="240" w:lineRule="auto"/>
      </w:pPr>
      <w:r>
        <w:separator/>
      </w:r>
    </w:p>
  </w:endnote>
  <w:endnote w:type="continuationSeparator" w:id="0">
    <w:p w14:paraId="2B0EBE19" w14:textId="77777777" w:rsidR="0007462C" w:rsidRDefault="00074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68D2" w14:textId="77777777" w:rsidR="0007462C" w:rsidRDefault="0007462C">
      <w:pPr>
        <w:spacing w:line="240" w:lineRule="auto"/>
      </w:pPr>
      <w:r>
        <w:separator/>
      </w:r>
    </w:p>
  </w:footnote>
  <w:footnote w:type="continuationSeparator" w:id="0">
    <w:p w14:paraId="66531AC2" w14:textId="77777777" w:rsidR="0007462C" w:rsidRDefault="00074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A9B6B79"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234764"/>
    <w:multiLevelType w:val="multilevel"/>
    <w:tmpl w:val="F96AE386"/>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34543"/>
    <w:multiLevelType w:val="hybridMultilevel"/>
    <w:tmpl w:val="52804A74"/>
    <w:lvl w:ilvl="0" w:tplc="0410000F">
      <w:start w:val="1"/>
      <w:numFmt w:val="decimal"/>
      <w:lvlText w:val="%1."/>
      <w:lvlJc w:val="left"/>
      <w:pPr>
        <w:ind w:left="430" w:hanging="360"/>
      </w:pPr>
      <w:rPr>
        <w:rFonts w:hint="default"/>
      </w:rPr>
    </w:lvl>
    <w:lvl w:ilvl="1" w:tplc="04100003" w:tentative="1">
      <w:start w:val="1"/>
      <w:numFmt w:val="bullet"/>
      <w:lvlText w:val="o"/>
      <w:lvlJc w:val="left"/>
      <w:pPr>
        <w:ind w:left="1150" w:hanging="360"/>
      </w:pPr>
      <w:rPr>
        <w:rFonts w:ascii="Courier New" w:hAnsi="Courier New" w:cs="Courier New" w:hint="default"/>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abstractNum w:abstractNumId="5"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7"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8"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1A633E6"/>
    <w:multiLevelType w:val="multilevel"/>
    <w:tmpl w:val="9A122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1" w15:restartNumberingAfterBreak="0">
    <w:nsid w:val="571339AE"/>
    <w:multiLevelType w:val="hybridMultilevel"/>
    <w:tmpl w:val="BD3EA3F0"/>
    <w:lvl w:ilvl="0" w:tplc="20CA371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E903A13"/>
    <w:multiLevelType w:val="multilevel"/>
    <w:tmpl w:val="76D42BA0"/>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4"/>
  </w:num>
  <w:num w:numId="2" w16cid:durableId="1154563820">
    <w:abstractNumId w:val="20"/>
  </w:num>
  <w:num w:numId="3" w16cid:durableId="1604875926">
    <w:abstractNumId w:val="19"/>
  </w:num>
  <w:num w:numId="4" w16cid:durableId="49157816">
    <w:abstractNumId w:val="11"/>
  </w:num>
  <w:num w:numId="5" w16cid:durableId="1591309000">
    <w:abstractNumId w:val="26"/>
  </w:num>
  <w:num w:numId="6" w16cid:durableId="1349022348">
    <w:abstractNumId w:val="12"/>
  </w:num>
  <w:num w:numId="7" w16cid:durableId="1804498611">
    <w:abstractNumId w:val="7"/>
  </w:num>
  <w:num w:numId="8" w16cid:durableId="346055658">
    <w:abstractNumId w:val="13"/>
  </w:num>
  <w:num w:numId="9" w16cid:durableId="992559295">
    <w:abstractNumId w:val="14"/>
  </w:num>
  <w:num w:numId="10" w16cid:durableId="420763820">
    <w:abstractNumId w:val="1"/>
  </w:num>
  <w:num w:numId="11" w16cid:durableId="880214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5"/>
  </w:num>
  <w:num w:numId="14" w16cid:durableId="934049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6"/>
  </w:num>
  <w:num w:numId="17" w16cid:durableId="1382362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2"/>
  </w:num>
  <w:num w:numId="20" w16cid:durableId="1830903244">
    <w:abstractNumId w:val="22"/>
  </w:num>
  <w:num w:numId="21" w16cid:durableId="373581445">
    <w:abstractNumId w:val="22"/>
  </w:num>
  <w:num w:numId="22" w16cid:durableId="1488940817">
    <w:abstractNumId w:val="12"/>
  </w:num>
  <w:num w:numId="23" w16cid:durableId="740298123">
    <w:abstractNumId w:val="12"/>
  </w:num>
  <w:num w:numId="24" w16cid:durableId="616567799">
    <w:abstractNumId w:val="0"/>
  </w:num>
  <w:num w:numId="25" w16cid:durableId="1992981592">
    <w:abstractNumId w:val="8"/>
  </w:num>
  <w:num w:numId="26" w16cid:durableId="1831822808">
    <w:abstractNumId w:val="5"/>
  </w:num>
  <w:num w:numId="27" w16cid:durableId="2101444383">
    <w:abstractNumId w:val="16"/>
  </w:num>
  <w:num w:numId="28" w16cid:durableId="434328944">
    <w:abstractNumId w:val="2"/>
  </w:num>
  <w:num w:numId="29" w16cid:durableId="311301568">
    <w:abstractNumId w:val="10"/>
  </w:num>
  <w:num w:numId="30" w16cid:durableId="1936404977">
    <w:abstractNumId w:val="12"/>
  </w:num>
  <w:num w:numId="31" w16cid:durableId="47920111">
    <w:abstractNumId w:val="12"/>
  </w:num>
  <w:num w:numId="32" w16cid:durableId="1782650537">
    <w:abstractNumId w:val="12"/>
  </w:num>
  <w:num w:numId="33" w16cid:durableId="497309139">
    <w:abstractNumId w:val="12"/>
  </w:num>
  <w:num w:numId="34" w16cid:durableId="1232734524">
    <w:abstractNumId w:val="12"/>
  </w:num>
  <w:num w:numId="35" w16cid:durableId="2052344652">
    <w:abstractNumId w:val="12"/>
  </w:num>
  <w:num w:numId="36" w16cid:durableId="227034539">
    <w:abstractNumId w:val="12"/>
  </w:num>
  <w:num w:numId="37" w16cid:durableId="1790934310">
    <w:abstractNumId w:val="12"/>
  </w:num>
  <w:num w:numId="38" w16cid:durableId="209810597">
    <w:abstractNumId w:val="12"/>
    <w:lvlOverride w:ilvl="0">
      <w:startOverride w:val="1"/>
    </w:lvlOverride>
  </w:num>
  <w:num w:numId="39" w16cid:durableId="1325159432">
    <w:abstractNumId w:val="9"/>
  </w:num>
  <w:num w:numId="40" w16cid:durableId="1979257215">
    <w:abstractNumId w:val="12"/>
  </w:num>
  <w:num w:numId="41" w16cid:durableId="1150750676">
    <w:abstractNumId w:val="12"/>
  </w:num>
  <w:num w:numId="42" w16cid:durableId="1071849616">
    <w:abstractNumId w:val="12"/>
  </w:num>
  <w:num w:numId="43" w16cid:durableId="2093306615">
    <w:abstractNumId w:val="21"/>
  </w:num>
  <w:num w:numId="44" w16cid:durableId="109666519">
    <w:abstractNumId w:val="18"/>
  </w:num>
  <w:num w:numId="45" w16cid:durableId="95950772">
    <w:abstractNumId w:val="25"/>
  </w:num>
  <w:num w:numId="46" w16cid:durableId="586038306">
    <w:abstractNumId w:val="3"/>
  </w:num>
  <w:num w:numId="47" w16cid:durableId="13105972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4E91"/>
    <w:rsid w:val="00006F22"/>
    <w:rsid w:val="000104D9"/>
    <w:rsid w:val="00011663"/>
    <w:rsid w:val="00013FAC"/>
    <w:rsid w:val="000207D2"/>
    <w:rsid w:val="00030475"/>
    <w:rsid w:val="00034143"/>
    <w:rsid w:val="00034334"/>
    <w:rsid w:val="000343A6"/>
    <w:rsid w:val="000358C0"/>
    <w:rsid w:val="0004179E"/>
    <w:rsid w:val="00041C51"/>
    <w:rsid w:val="00054B55"/>
    <w:rsid w:val="00055617"/>
    <w:rsid w:val="00062998"/>
    <w:rsid w:val="0007387C"/>
    <w:rsid w:val="0007462C"/>
    <w:rsid w:val="0007584D"/>
    <w:rsid w:val="000771BE"/>
    <w:rsid w:val="00085022"/>
    <w:rsid w:val="00096B47"/>
    <w:rsid w:val="000A0084"/>
    <w:rsid w:val="000A596C"/>
    <w:rsid w:val="000A676B"/>
    <w:rsid w:val="000D5C93"/>
    <w:rsid w:val="000E2F27"/>
    <w:rsid w:val="000F254D"/>
    <w:rsid w:val="000F5341"/>
    <w:rsid w:val="000F684C"/>
    <w:rsid w:val="001002D8"/>
    <w:rsid w:val="00102024"/>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0E8B"/>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3D88"/>
    <w:rsid w:val="002C58A2"/>
    <w:rsid w:val="002C5CB4"/>
    <w:rsid w:val="002D29FD"/>
    <w:rsid w:val="002D3231"/>
    <w:rsid w:val="002D414C"/>
    <w:rsid w:val="002E4DAC"/>
    <w:rsid w:val="002E6684"/>
    <w:rsid w:val="002F01ED"/>
    <w:rsid w:val="002F7330"/>
    <w:rsid w:val="003069D3"/>
    <w:rsid w:val="003070B1"/>
    <w:rsid w:val="003111B2"/>
    <w:rsid w:val="00311310"/>
    <w:rsid w:val="003177CC"/>
    <w:rsid w:val="00323789"/>
    <w:rsid w:val="00324DA4"/>
    <w:rsid w:val="0033032F"/>
    <w:rsid w:val="00332921"/>
    <w:rsid w:val="00335F68"/>
    <w:rsid w:val="003360BF"/>
    <w:rsid w:val="0033631D"/>
    <w:rsid w:val="00341D1E"/>
    <w:rsid w:val="003436C5"/>
    <w:rsid w:val="00354949"/>
    <w:rsid w:val="003609D7"/>
    <w:rsid w:val="00361090"/>
    <w:rsid w:val="00362D5B"/>
    <w:rsid w:val="00362DC1"/>
    <w:rsid w:val="00364272"/>
    <w:rsid w:val="003719E6"/>
    <w:rsid w:val="00372272"/>
    <w:rsid w:val="00373C13"/>
    <w:rsid w:val="003812D5"/>
    <w:rsid w:val="0038280F"/>
    <w:rsid w:val="003A1EFF"/>
    <w:rsid w:val="003A4089"/>
    <w:rsid w:val="003B0CBD"/>
    <w:rsid w:val="003B2BC3"/>
    <w:rsid w:val="003B392B"/>
    <w:rsid w:val="003D1040"/>
    <w:rsid w:val="003D1560"/>
    <w:rsid w:val="003E156F"/>
    <w:rsid w:val="003E40E0"/>
    <w:rsid w:val="003F21E5"/>
    <w:rsid w:val="00400544"/>
    <w:rsid w:val="00402E4D"/>
    <w:rsid w:val="00410BFC"/>
    <w:rsid w:val="00412D22"/>
    <w:rsid w:val="004136C5"/>
    <w:rsid w:val="00416BA3"/>
    <w:rsid w:val="00417671"/>
    <w:rsid w:val="004178FA"/>
    <w:rsid w:val="00417DA2"/>
    <w:rsid w:val="004225DE"/>
    <w:rsid w:val="004226E9"/>
    <w:rsid w:val="00424DE3"/>
    <w:rsid w:val="00425A66"/>
    <w:rsid w:val="00430738"/>
    <w:rsid w:val="00445735"/>
    <w:rsid w:val="004479AA"/>
    <w:rsid w:val="00452DE7"/>
    <w:rsid w:val="00453F74"/>
    <w:rsid w:val="004554B8"/>
    <w:rsid w:val="00456680"/>
    <w:rsid w:val="00462CBA"/>
    <w:rsid w:val="004647CA"/>
    <w:rsid w:val="00464BF3"/>
    <w:rsid w:val="00466742"/>
    <w:rsid w:val="00474C6A"/>
    <w:rsid w:val="0047576F"/>
    <w:rsid w:val="00476E8C"/>
    <w:rsid w:val="0048706B"/>
    <w:rsid w:val="004A3DD0"/>
    <w:rsid w:val="004A5FF5"/>
    <w:rsid w:val="004A6ABE"/>
    <w:rsid w:val="004B58FF"/>
    <w:rsid w:val="004C0B1B"/>
    <w:rsid w:val="004C7AE9"/>
    <w:rsid w:val="004D03EE"/>
    <w:rsid w:val="004D7CBE"/>
    <w:rsid w:val="004E54C3"/>
    <w:rsid w:val="004F33C2"/>
    <w:rsid w:val="004F3F3C"/>
    <w:rsid w:val="004F6371"/>
    <w:rsid w:val="005052EC"/>
    <w:rsid w:val="0050550F"/>
    <w:rsid w:val="00515114"/>
    <w:rsid w:val="00516571"/>
    <w:rsid w:val="005275B0"/>
    <w:rsid w:val="005300D8"/>
    <w:rsid w:val="005308EB"/>
    <w:rsid w:val="005327E5"/>
    <w:rsid w:val="00532EDB"/>
    <w:rsid w:val="00540D3A"/>
    <w:rsid w:val="005501B1"/>
    <w:rsid w:val="00553BA1"/>
    <w:rsid w:val="00553CAB"/>
    <w:rsid w:val="00555AF1"/>
    <w:rsid w:val="005567E0"/>
    <w:rsid w:val="0056238C"/>
    <w:rsid w:val="00566851"/>
    <w:rsid w:val="00577E65"/>
    <w:rsid w:val="00594E12"/>
    <w:rsid w:val="00596504"/>
    <w:rsid w:val="005B22D7"/>
    <w:rsid w:val="005B238B"/>
    <w:rsid w:val="005B7822"/>
    <w:rsid w:val="005C023E"/>
    <w:rsid w:val="005C400D"/>
    <w:rsid w:val="005C4AA9"/>
    <w:rsid w:val="005C503A"/>
    <w:rsid w:val="005D2441"/>
    <w:rsid w:val="005D2BB9"/>
    <w:rsid w:val="005E4032"/>
    <w:rsid w:val="005E5D86"/>
    <w:rsid w:val="005F12D1"/>
    <w:rsid w:val="00603EFB"/>
    <w:rsid w:val="00606475"/>
    <w:rsid w:val="00607D09"/>
    <w:rsid w:val="00616655"/>
    <w:rsid w:val="00616FBE"/>
    <w:rsid w:val="00617AE9"/>
    <w:rsid w:val="00622050"/>
    <w:rsid w:val="006232D0"/>
    <w:rsid w:val="00626616"/>
    <w:rsid w:val="00631909"/>
    <w:rsid w:val="006334AA"/>
    <w:rsid w:val="00633639"/>
    <w:rsid w:val="006413EE"/>
    <w:rsid w:val="0064475B"/>
    <w:rsid w:val="00647807"/>
    <w:rsid w:val="00656247"/>
    <w:rsid w:val="006616C4"/>
    <w:rsid w:val="00680158"/>
    <w:rsid w:val="006913D2"/>
    <w:rsid w:val="006957D8"/>
    <w:rsid w:val="006A5F51"/>
    <w:rsid w:val="006A7075"/>
    <w:rsid w:val="006B2F24"/>
    <w:rsid w:val="006C12C8"/>
    <w:rsid w:val="006C7CB5"/>
    <w:rsid w:val="006D5BDA"/>
    <w:rsid w:val="006D7E12"/>
    <w:rsid w:val="006E4379"/>
    <w:rsid w:val="006F55CA"/>
    <w:rsid w:val="00701A95"/>
    <w:rsid w:val="00702A68"/>
    <w:rsid w:val="00706B35"/>
    <w:rsid w:val="00707D3A"/>
    <w:rsid w:val="00717EF2"/>
    <w:rsid w:val="007277EC"/>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081"/>
    <w:rsid w:val="007D0E64"/>
    <w:rsid w:val="007D4C47"/>
    <w:rsid w:val="007E2A4C"/>
    <w:rsid w:val="007F1984"/>
    <w:rsid w:val="007F2C96"/>
    <w:rsid w:val="007F33D4"/>
    <w:rsid w:val="007F7EDC"/>
    <w:rsid w:val="00811C43"/>
    <w:rsid w:val="00813091"/>
    <w:rsid w:val="00813818"/>
    <w:rsid w:val="00820F66"/>
    <w:rsid w:val="008235E8"/>
    <w:rsid w:val="008313E0"/>
    <w:rsid w:val="008349D8"/>
    <w:rsid w:val="00836890"/>
    <w:rsid w:val="00842480"/>
    <w:rsid w:val="00854C61"/>
    <w:rsid w:val="00855A7B"/>
    <w:rsid w:val="00864C5F"/>
    <w:rsid w:val="00867EB1"/>
    <w:rsid w:val="00870B2F"/>
    <w:rsid w:val="008743F1"/>
    <w:rsid w:val="00874446"/>
    <w:rsid w:val="00883ADA"/>
    <w:rsid w:val="00885E21"/>
    <w:rsid w:val="00886930"/>
    <w:rsid w:val="00890039"/>
    <w:rsid w:val="008950D5"/>
    <w:rsid w:val="008A3CBB"/>
    <w:rsid w:val="008A602B"/>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22EDF"/>
    <w:rsid w:val="0092464A"/>
    <w:rsid w:val="00925C93"/>
    <w:rsid w:val="00926432"/>
    <w:rsid w:val="0093138F"/>
    <w:rsid w:val="00932A8F"/>
    <w:rsid w:val="00933404"/>
    <w:rsid w:val="0093659F"/>
    <w:rsid w:val="00943340"/>
    <w:rsid w:val="009464AF"/>
    <w:rsid w:val="00947D8C"/>
    <w:rsid w:val="00947FA5"/>
    <w:rsid w:val="0095003F"/>
    <w:rsid w:val="00962F68"/>
    <w:rsid w:val="0096745D"/>
    <w:rsid w:val="0097219A"/>
    <w:rsid w:val="00982020"/>
    <w:rsid w:val="00983608"/>
    <w:rsid w:val="009848F2"/>
    <w:rsid w:val="00994A05"/>
    <w:rsid w:val="00994D6B"/>
    <w:rsid w:val="009A4835"/>
    <w:rsid w:val="009A5892"/>
    <w:rsid w:val="009B02A3"/>
    <w:rsid w:val="009C4022"/>
    <w:rsid w:val="009C5EFD"/>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25147"/>
    <w:rsid w:val="00A36643"/>
    <w:rsid w:val="00A370E2"/>
    <w:rsid w:val="00A45249"/>
    <w:rsid w:val="00A45CB2"/>
    <w:rsid w:val="00A468DC"/>
    <w:rsid w:val="00A46E86"/>
    <w:rsid w:val="00A53732"/>
    <w:rsid w:val="00A552C4"/>
    <w:rsid w:val="00A56CDE"/>
    <w:rsid w:val="00A61854"/>
    <w:rsid w:val="00A667EE"/>
    <w:rsid w:val="00A77727"/>
    <w:rsid w:val="00A80BE1"/>
    <w:rsid w:val="00A913FF"/>
    <w:rsid w:val="00AA3FBA"/>
    <w:rsid w:val="00AA44B5"/>
    <w:rsid w:val="00AA5938"/>
    <w:rsid w:val="00AB3AE7"/>
    <w:rsid w:val="00AC3039"/>
    <w:rsid w:val="00AC67E0"/>
    <w:rsid w:val="00AD2AE9"/>
    <w:rsid w:val="00AE1F85"/>
    <w:rsid w:val="00AF0BD9"/>
    <w:rsid w:val="00AF1114"/>
    <w:rsid w:val="00AF1CC6"/>
    <w:rsid w:val="00AF3380"/>
    <w:rsid w:val="00AF61BC"/>
    <w:rsid w:val="00AF7D8E"/>
    <w:rsid w:val="00B033BC"/>
    <w:rsid w:val="00B0708D"/>
    <w:rsid w:val="00B07E02"/>
    <w:rsid w:val="00B10CED"/>
    <w:rsid w:val="00B214D7"/>
    <w:rsid w:val="00B401E6"/>
    <w:rsid w:val="00B40799"/>
    <w:rsid w:val="00B453CE"/>
    <w:rsid w:val="00B469F2"/>
    <w:rsid w:val="00B53A9E"/>
    <w:rsid w:val="00B6419A"/>
    <w:rsid w:val="00B817CF"/>
    <w:rsid w:val="00B95F57"/>
    <w:rsid w:val="00BB0078"/>
    <w:rsid w:val="00BB4022"/>
    <w:rsid w:val="00BB5183"/>
    <w:rsid w:val="00BC3990"/>
    <w:rsid w:val="00BC3E12"/>
    <w:rsid w:val="00BD4DA7"/>
    <w:rsid w:val="00BD5DF7"/>
    <w:rsid w:val="00BE731C"/>
    <w:rsid w:val="00BF1316"/>
    <w:rsid w:val="00C05871"/>
    <w:rsid w:val="00C122E2"/>
    <w:rsid w:val="00C15C34"/>
    <w:rsid w:val="00C22525"/>
    <w:rsid w:val="00C24CA5"/>
    <w:rsid w:val="00C25E10"/>
    <w:rsid w:val="00C32A69"/>
    <w:rsid w:val="00C43441"/>
    <w:rsid w:val="00C47221"/>
    <w:rsid w:val="00C56538"/>
    <w:rsid w:val="00C5684B"/>
    <w:rsid w:val="00C6025A"/>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5786"/>
    <w:rsid w:val="00CD74E8"/>
    <w:rsid w:val="00CE0383"/>
    <w:rsid w:val="00CE217F"/>
    <w:rsid w:val="00CF0E98"/>
    <w:rsid w:val="00CF74EC"/>
    <w:rsid w:val="00D02EA3"/>
    <w:rsid w:val="00D07C01"/>
    <w:rsid w:val="00D22B5A"/>
    <w:rsid w:val="00D24030"/>
    <w:rsid w:val="00D33858"/>
    <w:rsid w:val="00D40645"/>
    <w:rsid w:val="00D42278"/>
    <w:rsid w:val="00D42803"/>
    <w:rsid w:val="00D455D2"/>
    <w:rsid w:val="00D50412"/>
    <w:rsid w:val="00D5468B"/>
    <w:rsid w:val="00D551B9"/>
    <w:rsid w:val="00D5596B"/>
    <w:rsid w:val="00D56539"/>
    <w:rsid w:val="00D566BC"/>
    <w:rsid w:val="00D617D8"/>
    <w:rsid w:val="00D65CAD"/>
    <w:rsid w:val="00D66C5D"/>
    <w:rsid w:val="00D66ED0"/>
    <w:rsid w:val="00D84BE5"/>
    <w:rsid w:val="00D86AFC"/>
    <w:rsid w:val="00D90731"/>
    <w:rsid w:val="00DB4AE0"/>
    <w:rsid w:val="00DB7B7D"/>
    <w:rsid w:val="00DD3D5B"/>
    <w:rsid w:val="00DD4ED3"/>
    <w:rsid w:val="00DE293F"/>
    <w:rsid w:val="00DE6CE1"/>
    <w:rsid w:val="00DE7AA0"/>
    <w:rsid w:val="00DF0510"/>
    <w:rsid w:val="00DF13A1"/>
    <w:rsid w:val="00DF1E35"/>
    <w:rsid w:val="00DF2FB4"/>
    <w:rsid w:val="00E02792"/>
    <w:rsid w:val="00E12E41"/>
    <w:rsid w:val="00E23375"/>
    <w:rsid w:val="00E364ED"/>
    <w:rsid w:val="00E4310A"/>
    <w:rsid w:val="00E43F28"/>
    <w:rsid w:val="00E5025A"/>
    <w:rsid w:val="00E5642A"/>
    <w:rsid w:val="00E66E69"/>
    <w:rsid w:val="00E73C1A"/>
    <w:rsid w:val="00E75785"/>
    <w:rsid w:val="00E8137F"/>
    <w:rsid w:val="00E81B98"/>
    <w:rsid w:val="00E9559E"/>
    <w:rsid w:val="00EB31D3"/>
    <w:rsid w:val="00EB5CD9"/>
    <w:rsid w:val="00EB6346"/>
    <w:rsid w:val="00EB6EB5"/>
    <w:rsid w:val="00EC0855"/>
    <w:rsid w:val="00ED3556"/>
    <w:rsid w:val="00ED3816"/>
    <w:rsid w:val="00ED3BDA"/>
    <w:rsid w:val="00EE3B7E"/>
    <w:rsid w:val="00EE6A5A"/>
    <w:rsid w:val="00EE6AC0"/>
    <w:rsid w:val="00EF32B6"/>
    <w:rsid w:val="00EF37AA"/>
    <w:rsid w:val="00EF4F66"/>
    <w:rsid w:val="00F00F34"/>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97B54"/>
    <w:rsid w:val="00FA03BC"/>
    <w:rsid w:val="00FA394E"/>
    <w:rsid w:val="00FA6A4A"/>
    <w:rsid w:val="00FB037F"/>
    <w:rsid w:val="00FB126F"/>
    <w:rsid w:val="00FB3213"/>
    <w:rsid w:val="00FB55C5"/>
    <w:rsid w:val="00FB6DC9"/>
    <w:rsid w:val="00FB7056"/>
    <w:rsid w:val="00FC3A4D"/>
    <w:rsid w:val="00FD5A7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Testosegnaposto">
    <w:name w:val="Placeholder Text"/>
    <w:basedOn w:val="Carpredefinitoparagrafo"/>
    <w:uiPriority w:val="99"/>
    <w:semiHidden/>
    <w:rsid w:val="00BB4022"/>
    <w:rPr>
      <w:color w:val="808080"/>
    </w:rPr>
  </w:style>
  <w:style w:type="paragraph" w:styleId="Paragrafoelenco">
    <w:name w:val="List Paragraph"/>
    <w:basedOn w:val="Normale"/>
    <w:uiPriority w:val="34"/>
    <w:qFormat/>
    <w:rsid w:val="004A5FF5"/>
    <w:pPr>
      <w:ind w:left="720"/>
      <w:contextualSpacing/>
    </w:pPr>
  </w:style>
  <w:style w:type="table" w:styleId="Tabellasemplice-2">
    <w:name w:val="Plain Table 2"/>
    <w:basedOn w:val="Tabellanormale"/>
    <w:uiPriority w:val="42"/>
    <w:rsid w:val="004A5FF5"/>
    <w:rPr>
      <w:rFonts w:asciiTheme="minorHAnsi" w:eastAsia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21">
    <w:name w:val="Tabella semplice - 21"/>
    <w:basedOn w:val="Tabellanormale"/>
    <w:next w:val="Tabellasemplice-2"/>
    <w:uiPriority w:val="42"/>
    <w:rsid w:val="00311310"/>
    <w:rPr>
      <w:rFonts w:ascii="Calibri" w:eastAsia="Calibri" w:hAnsi="Calibri"/>
      <w:sz w:val="22"/>
      <w:szCs w:val="22"/>
      <w:lang w:val="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6922-C466-4569-8B7D-F4A0D67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3853</Words>
  <Characters>21965</Characters>
  <Application>Microsoft Office Word</Application>
  <DocSecurity>0</DocSecurity>
  <Lines>183</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Rossana Strippoli</cp:lastModifiedBy>
  <cp:revision>64</cp:revision>
  <cp:lastPrinted>2015-09-03T03:20:00Z</cp:lastPrinted>
  <dcterms:created xsi:type="dcterms:W3CDTF">2022-05-10T16:20:00Z</dcterms:created>
  <dcterms:modified xsi:type="dcterms:W3CDTF">2022-07-05T10:30:00Z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