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57118" w14:textId="112D9A86"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 xml:space="preserve">Chapter </w:t>
      </w:r>
      <w:r w:rsidR="00F97EF4">
        <w:rPr>
          <w:sz w:val="28"/>
        </w:rPr>
        <w:t>078</w:t>
      </w:r>
      <w:r w:rsidR="007808F3">
        <w:rPr>
          <w:sz w:val="28"/>
        </w:rPr>
        <w:t xml:space="preserve"> </w:t>
      </w:r>
    </w:p>
    <w:p w14:paraId="0AA38F2B" w14:textId="60DAE5D3" w:rsidR="009848F2" w:rsidRDefault="000A746C" w:rsidP="00F97EF4">
      <w:pPr>
        <w:pStyle w:val="ChapterTitle"/>
        <w:tabs>
          <w:tab w:val="left" w:pos="5812"/>
          <w:tab w:val="left" w:pos="5954"/>
          <w:tab w:val="left" w:pos="6096"/>
          <w:tab w:val="left" w:pos="6237"/>
        </w:tabs>
        <w:spacing w:after="0" w:line="240" w:lineRule="auto"/>
        <w:ind w:left="0" w:right="-28"/>
        <w:jc w:val="left"/>
        <w:rPr>
          <w:sz w:val="28"/>
        </w:rPr>
      </w:pPr>
      <w:r>
        <w:rPr>
          <w:sz w:val="28"/>
        </w:rPr>
        <w:t>E</w:t>
      </w:r>
      <w:r w:rsidRPr="000A746C">
        <w:rPr>
          <w:sz w:val="28"/>
        </w:rPr>
        <w:t>nhancement of waste from the agri-food chain as</w:t>
      </w:r>
      <w:r w:rsidR="00F97EF4">
        <w:rPr>
          <w:sz w:val="28"/>
        </w:rPr>
        <w:t xml:space="preserve"> </w:t>
      </w:r>
      <w:r w:rsidRPr="000A746C">
        <w:rPr>
          <w:sz w:val="28"/>
        </w:rPr>
        <w:t>innovative ingredients for the formulation of functional foods and their impact in chronic kidney disease</w:t>
      </w:r>
    </w:p>
    <w:p w14:paraId="1355BFCB" w14:textId="77777777" w:rsidR="000A746C" w:rsidRPr="004225DE" w:rsidRDefault="000A746C" w:rsidP="000A746C">
      <w:pPr>
        <w:pStyle w:val="ChapterTitle"/>
        <w:tabs>
          <w:tab w:val="left" w:pos="5812"/>
          <w:tab w:val="left" w:pos="5954"/>
          <w:tab w:val="left" w:pos="6096"/>
          <w:tab w:val="left" w:pos="6237"/>
        </w:tabs>
        <w:spacing w:after="0" w:line="240" w:lineRule="auto"/>
        <w:ind w:left="0" w:right="-28"/>
        <w:rPr>
          <w:sz w:val="28"/>
        </w:rPr>
      </w:pPr>
    </w:p>
    <w:p w14:paraId="61F73F98" w14:textId="77777777" w:rsidR="007B567F" w:rsidRDefault="007B567F" w:rsidP="00D66ED0">
      <w:pPr>
        <w:pStyle w:val="Abstract"/>
        <w:tabs>
          <w:tab w:val="left" w:pos="6379"/>
        </w:tabs>
        <w:spacing w:line="276" w:lineRule="auto"/>
        <w:ind w:left="0" w:right="-30"/>
        <w:rPr>
          <w:b/>
          <w:sz w:val="22"/>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38C60B63" w14:textId="7A1083F0" w:rsidR="004225DE" w:rsidRDefault="004225DE" w:rsidP="00D66ED0">
      <w:pPr>
        <w:pStyle w:val="Abstract"/>
        <w:tabs>
          <w:tab w:val="left" w:pos="6379"/>
        </w:tabs>
        <w:spacing w:line="276" w:lineRule="auto"/>
        <w:ind w:left="0" w:right="-30"/>
        <w:rPr>
          <w:sz w:val="22"/>
        </w:rPr>
      </w:pPr>
      <w:r w:rsidRPr="004225DE">
        <w:rPr>
          <w:b/>
          <w:sz w:val="22"/>
        </w:rPr>
        <w:t>Abstract.</w:t>
      </w:r>
      <w:r w:rsidRPr="004225DE">
        <w:rPr>
          <w:sz w:val="22"/>
        </w:rPr>
        <w:t xml:space="preserve"> </w:t>
      </w:r>
      <w:r w:rsidR="00561E3E" w:rsidRPr="00561E3E">
        <w:rPr>
          <w:sz w:val="22"/>
        </w:rPr>
        <w:t xml:space="preserve">The largest Italian agri-food chains are represented by the production of extra virgin olive (EVO) oil and wine. Their production leads to a great </w:t>
      </w:r>
      <w:proofErr w:type="gramStart"/>
      <w:r w:rsidR="00561E3E" w:rsidRPr="00561E3E">
        <w:rPr>
          <w:sz w:val="22"/>
        </w:rPr>
        <w:t>amount</w:t>
      </w:r>
      <w:proofErr w:type="gramEnd"/>
      <w:r w:rsidR="00561E3E" w:rsidRPr="00561E3E">
        <w:rPr>
          <w:sz w:val="22"/>
        </w:rPr>
        <w:t xml:space="preserve"> of agri-food wastes that can represent an innovative and sustainable source of secondary raw materials that can be used as ingredients for functional foods. In this study, production chain wastes from EVO </w:t>
      </w:r>
      <w:r w:rsidR="008C682A" w:rsidRPr="00561E3E">
        <w:rPr>
          <w:sz w:val="22"/>
        </w:rPr>
        <w:t xml:space="preserve">oil, wine, such as olive leaves, </w:t>
      </w:r>
      <w:r w:rsidR="008C682A">
        <w:rPr>
          <w:sz w:val="22"/>
        </w:rPr>
        <w:t xml:space="preserve">free oil </w:t>
      </w:r>
      <w:r w:rsidR="008C682A" w:rsidRPr="00561E3E">
        <w:rPr>
          <w:sz w:val="22"/>
        </w:rPr>
        <w:t>olive pulp, grape skin,</w:t>
      </w:r>
      <w:r w:rsidR="00561E3E" w:rsidRPr="00561E3E">
        <w:rPr>
          <w:sz w:val="22"/>
        </w:rPr>
        <w:t xml:space="preserve"> and grape seeds, were selected and characterized for the content in antioxidant compounds by HPLC-DAD-MS analysis. Using innovative technologies, micronized powders have been obtained from waste rich in antioxidant bioactive compounds, used as functional ingredients for the formulation of two bars based on EVO oil, rich in </w:t>
      </w:r>
      <w:r w:rsidR="00F355D6">
        <w:rPr>
          <w:sz w:val="22"/>
        </w:rPr>
        <w:t>polyphenols</w:t>
      </w:r>
      <w:r w:rsidR="00561E3E" w:rsidRPr="00561E3E">
        <w:rPr>
          <w:sz w:val="22"/>
        </w:rPr>
        <w:t xml:space="preserve">, fruit and vegetables. The bars were analyzed to evaluate their total antioxidant capacity and the antiradical activity. </w:t>
      </w:r>
      <w:r w:rsidR="00F355D6" w:rsidRPr="00F355D6">
        <w:rPr>
          <w:sz w:val="22"/>
        </w:rPr>
        <w:t xml:space="preserve">The formulated bars were tested for their functional action in a preliminary </w:t>
      </w:r>
      <w:r w:rsidR="00F355D6" w:rsidRPr="00F355D6">
        <w:rPr>
          <w:i/>
          <w:iCs/>
          <w:sz w:val="22"/>
        </w:rPr>
        <w:t>in vivo</w:t>
      </w:r>
      <w:r w:rsidR="00F355D6" w:rsidRPr="00F355D6">
        <w:rPr>
          <w:sz w:val="22"/>
        </w:rPr>
        <w:t xml:space="preserve"> study on renal patients who took bars and performed adapted physical activity.</w:t>
      </w:r>
      <w:r w:rsidR="00561E3E">
        <w:rPr>
          <w:sz w:val="22"/>
        </w:rPr>
        <w:t xml:space="preserve"> </w:t>
      </w:r>
      <w:r w:rsidR="00561E3E" w:rsidRPr="00561E3E">
        <w:rPr>
          <w:sz w:val="22"/>
        </w:rPr>
        <w:t>The preliminary results show that the association of adapted physical activity with the consumption of functional bars, rich in antioxidant and bioactive compounds, lead to an improvement in body composition, other clinical parameters</w:t>
      </w:r>
      <w:r w:rsidR="00F355D6">
        <w:rPr>
          <w:sz w:val="22"/>
        </w:rPr>
        <w:t xml:space="preserve">. </w:t>
      </w:r>
      <w:r w:rsidR="00561E3E" w:rsidRPr="00561E3E">
        <w:rPr>
          <w:sz w:val="22"/>
        </w:rPr>
        <w:t xml:space="preserve"> </w:t>
      </w:r>
    </w:p>
    <w:p w14:paraId="51B7D875" w14:textId="77777777" w:rsidR="00F355D6" w:rsidRDefault="00F355D6" w:rsidP="00D66ED0">
      <w:pPr>
        <w:pStyle w:val="Abstract"/>
        <w:tabs>
          <w:tab w:val="left" w:pos="6379"/>
        </w:tabs>
        <w:spacing w:line="276" w:lineRule="auto"/>
        <w:ind w:left="0" w:right="-30"/>
        <w:rPr>
          <w:snapToGrid/>
          <w:sz w:val="22"/>
        </w:rPr>
      </w:pPr>
    </w:p>
    <w:p w14:paraId="20AF9FE5" w14:textId="2EC6C1BF" w:rsidR="004225DE" w:rsidRDefault="004225DE" w:rsidP="002F4E7A">
      <w:r w:rsidRPr="004225DE">
        <w:rPr>
          <w:b/>
        </w:rPr>
        <w:t>Keywords.</w:t>
      </w:r>
      <w:r>
        <w:t xml:space="preserve"> </w:t>
      </w:r>
      <w:r w:rsidR="002F4E7A" w:rsidRPr="002F4E7A">
        <w:t xml:space="preserve">Antioxidant compounds, Functional food, Waste recovery, </w:t>
      </w:r>
      <w:r w:rsidR="002F4E7A" w:rsidRPr="00E97930">
        <w:rPr>
          <w:i/>
          <w:iCs/>
        </w:rPr>
        <w:t>Olea europaea</w:t>
      </w:r>
      <w:r w:rsidR="002F4E7A" w:rsidRPr="002F4E7A">
        <w:t xml:space="preserve"> L., </w:t>
      </w:r>
      <w:r w:rsidR="002F4E7A" w:rsidRPr="00E97930">
        <w:rPr>
          <w:i/>
          <w:iCs/>
        </w:rPr>
        <w:t>Vitis vinifera</w:t>
      </w:r>
      <w:r w:rsidR="002F4E7A" w:rsidRPr="002F4E7A">
        <w:t xml:space="preserve"> L.</w:t>
      </w:r>
      <w:r>
        <w:t xml:space="preserve"> </w:t>
      </w:r>
    </w:p>
    <w:p w14:paraId="0C95E03F" w14:textId="77777777" w:rsidR="007B567F" w:rsidRDefault="007B567F" w:rsidP="00D66ED0">
      <w:pPr>
        <w:pStyle w:val="Abstract"/>
        <w:tabs>
          <w:tab w:val="left" w:pos="6379"/>
        </w:tabs>
        <w:spacing w:line="276" w:lineRule="auto"/>
        <w:ind w:left="0" w:right="-30"/>
        <w:rPr>
          <w:snapToGrid/>
          <w:sz w:val="22"/>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xmlns:w16sdtdh="http://schemas.microsoft.com/office/word/2020/wordml/sdtdatahash">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7AE8EF34" w14:textId="3AB58CBE" w:rsidR="008C685C" w:rsidRDefault="008C685C" w:rsidP="00AD7322">
      <w:pPr>
        <w:pStyle w:val="Titolo1"/>
        <w:rPr>
          <w:snapToGrid w:val="0"/>
        </w:rPr>
      </w:pPr>
      <w:r>
        <w:rPr>
          <w:snapToGrid w:val="0"/>
        </w:rPr>
        <w:t>Introduction</w:t>
      </w:r>
    </w:p>
    <w:p w14:paraId="5870A589" w14:textId="7DABF866" w:rsidR="00D71931" w:rsidRPr="0095101B" w:rsidRDefault="00D71931" w:rsidP="0095101B">
      <w:r w:rsidRPr="00D71931">
        <w:t>Recent studies have shown that the waste from the agri-food chain is rich in bioactive molecules</w:t>
      </w:r>
      <w:r w:rsidR="00405DBF">
        <w:t xml:space="preserve"> (Romani et al., 2020).</w:t>
      </w:r>
      <w:r w:rsidRPr="00D71931">
        <w:t xml:space="preserve"> In Italy the production of extra virgin olive oil and wine lead to large quantities of waste. The vegetable matrices </w:t>
      </w:r>
      <w:r w:rsidRPr="004C2B73">
        <w:rPr>
          <w:i/>
          <w:iCs/>
        </w:rPr>
        <w:t>Olea europaea</w:t>
      </w:r>
      <w:r w:rsidRPr="00D71931">
        <w:t xml:space="preserve"> L. and </w:t>
      </w:r>
      <w:r w:rsidRPr="004C2B73">
        <w:rPr>
          <w:i/>
          <w:iCs/>
        </w:rPr>
        <w:t>Vitis vinifera</w:t>
      </w:r>
      <w:r w:rsidRPr="00D71931">
        <w:t xml:space="preserve"> L. are chemically characterized by the presence of molecules with high active and biological value such as polyphenols. As regards the active molecules of </w:t>
      </w:r>
      <w:r w:rsidRPr="004C2B73">
        <w:rPr>
          <w:i/>
          <w:iCs/>
        </w:rPr>
        <w:t>Olea europaea</w:t>
      </w:r>
      <w:r w:rsidRPr="00D71931">
        <w:t xml:space="preserve"> L. we find: </w:t>
      </w:r>
      <w:proofErr w:type="spellStart"/>
      <w:r w:rsidRPr="00D71931">
        <w:t>hydroxytyrosol</w:t>
      </w:r>
      <w:proofErr w:type="spellEnd"/>
      <w:r w:rsidRPr="00D71931">
        <w:t xml:space="preserve">, </w:t>
      </w:r>
      <w:proofErr w:type="spellStart"/>
      <w:r w:rsidRPr="00D71931">
        <w:t>tyrosol</w:t>
      </w:r>
      <w:proofErr w:type="spellEnd"/>
      <w:r w:rsidRPr="00D71931">
        <w:t xml:space="preserve">, oleocanthal, </w:t>
      </w:r>
      <w:proofErr w:type="spellStart"/>
      <w:r w:rsidRPr="00D71931">
        <w:t>oleacin</w:t>
      </w:r>
      <w:proofErr w:type="spellEnd"/>
      <w:r w:rsidRPr="00D71931">
        <w:t xml:space="preserve">, oleuropein, </w:t>
      </w:r>
      <w:proofErr w:type="spellStart"/>
      <w:r w:rsidRPr="00D71931">
        <w:t>verbascoside</w:t>
      </w:r>
      <w:proofErr w:type="spellEnd"/>
      <w:r w:rsidRPr="00D71931">
        <w:t xml:space="preserve"> and </w:t>
      </w:r>
      <w:proofErr w:type="spellStart"/>
      <w:r w:rsidRPr="00D71931">
        <w:t>ligstroside</w:t>
      </w:r>
      <w:proofErr w:type="spellEnd"/>
      <w:r w:rsidRPr="00D71931">
        <w:t>, these have in common that they have a high antioxidant and antiradical power</w:t>
      </w:r>
      <w:r w:rsidR="001C2BDD">
        <w:t xml:space="preserve"> (Romani et al., </w:t>
      </w:r>
      <w:r w:rsidR="001C2BDD">
        <w:lastRenderedPageBreak/>
        <w:t>2019)</w:t>
      </w:r>
      <w:r w:rsidRPr="00D71931">
        <w:t>. We find these molecules in EVO oil and are directly linked to the health claim of EFSA 432/2012 relating to the prevention of oxidation of blood lipids and consequent cardiovascular diseases. Some of the same molecules have also been identified in the by-products of the oil supply chain, including olive leaves</w:t>
      </w:r>
      <w:r w:rsidR="00405DBF">
        <w:t xml:space="preserve"> (oleuropein)</w:t>
      </w:r>
      <w:r w:rsidRPr="00D71931">
        <w:t xml:space="preserve"> and </w:t>
      </w:r>
      <w:r w:rsidR="00405DBF">
        <w:t xml:space="preserve">free oil </w:t>
      </w:r>
      <w:r w:rsidRPr="00D71931">
        <w:t>olive p</w:t>
      </w:r>
      <w:r w:rsidR="00405DBF">
        <w:t>ulp</w:t>
      </w:r>
      <w:r w:rsidRPr="00D71931">
        <w:t xml:space="preserve"> </w:t>
      </w:r>
      <w:r w:rsidR="00405DBF">
        <w:t>(</w:t>
      </w:r>
      <w:r w:rsidRPr="00D71931">
        <w:t>hydroxytyrosol</w:t>
      </w:r>
      <w:r w:rsidR="00405DBF">
        <w:t>)</w:t>
      </w:r>
      <w:r w:rsidR="0057031F">
        <w:t xml:space="preserve"> </w:t>
      </w:r>
      <w:r w:rsidR="0057031F" w:rsidRPr="006710FF">
        <w:t>(Romani et al., 201</w:t>
      </w:r>
      <w:r w:rsidR="006710FF" w:rsidRPr="006710FF">
        <w:t>6).</w:t>
      </w:r>
      <w:r w:rsidR="006710FF">
        <w:t xml:space="preserve"> </w:t>
      </w:r>
      <w:r w:rsidRPr="004C2B73">
        <w:rPr>
          <w:i/>
          <w:iCs/>
        </w:rPr>
        <w:t>Vitis vinifera</w:t>
      </w:r>
      <w:r w:rsidRPr="00D71931">
        <w:t xml:space="preserve"> L. is also a matrix characterized by the presence of bioactive molecules belonging to the class of anthocyanins and </w:t>
      </w:r>
      <w:r w:rsidR="00405DBF" w:rsidRPr="00405DBF">
        <w:t>procyanidins</w:t>
      </w:r>
      <w:r w:rsidRPr="00D71931">
        <w:t>. All these molecules are linked to important functional properties, mainly antioxidant and antiradical which allows these waste products to have an important value and potential to be used as innovative secondary raw materials in several product sectors.</w:t>
      </w:r>
      <w:r w:rsidR="00B35EFB" w:rsidRPr="00B35EFB">
        <w:t xml:space="preserve"> Some possible applications of these products are in food sector both as a functional antioxidant ingredient and as a natural preservative in place of chemicals. Further uses can be in the cosmetic, nutraceutical, agronomic, feed</w:t>
      </w:r>
      <w:r w:rsidR="00B35EFB">
        <w:t xml:space="preserve"> </w:t>
      </w:r>
      <w:r w:rsidR="00734CEF">
        <w:t xml:space="preserve">and </w:t>
      </w:r>
      <w:proofErr w:type="spellStart"/>
      <w:r w:rsidR="00734CEF" w:rsidRPr="00734CEF">
        <w:t>phytotherapeutic</w:t>
      </w:r>
      <w:proofErr w:type="spellEnd"/>
      <w:r w:rsidR="00734CEF" w:rsidRPr="00734CEF">
        <w:t xml:space="preserve"> sector</w:t>
      </w:r>
      <w:r w:rsidR="00734CEF">
        <w:t>s</w:t>
      </w:r>
      <w:r w:rsidR="00B35EFB" w:rsidRPr="00B35EFB">
        <w:t>.</w:t>
      </w:r>
      <w:r w:rsidR="00F71453">
        <w:t xml:space="preserve"> </w:t>
      </w:r>
      <w:r w:rsidR="00F71453" w:rsidRPr="00F71453">
        <w:t xml:space="preserve">Recent studies have shown how the action of active molecules of the Olea europaea L. matrix such as </w:t>
      </w:r>
      <w:proofErr w:type="spellStart"/>
      <w:r w:rsidR="00F71453" w:rsidRPr="00F71453">
        <w:t>hydroxytyrosol</w:t>
      </w:r>
      <w:proofErr w:type="spellEnd"/>
      <w:r w:rsidR="00F71453" w:rsidRPr="00F71453">
        <w:t xml:space="preserve">, </w:t>
      </w:r>
      <w:proofErr w:type="spellStart"/>
      <w:r w:rsidR="00F71453" w:rsidRPr="00F71453">
        <w:t>oleacin</w:t>
      </w:r>
      <w:proofErr w:type="spellEnd"/>
      <w:r w:rsidR="00F71453" w:rsidRPr="00F71453">
        <w:t xml:space="preserve"> and oleocanthal, in synergy, can assist in the therapy of patients suffering from chronic kidney disease</w:t>
      </w:r>
      <w:r w:rsidR="00F71453">
        <w:t xml:space="preserve"> (CDK)</w:t>
      </w:r>
      <w:r w:rsidR="00E04BF6">
        <w:t xml:space="preserve"> (</w:t>
      </w:r>
      <w:proofErr w:type="spellStart"/>
      <w:r w:rsidR="00E04BF6">
        <w:t>Noce</w:t>
      </w:r>
      <w:proofErr w:type="spellEnd"/>
      <w:r w:rsidR="00E04BF6">
        <w:t xml:space="preserve"> et al., 2021).</w:t>
      </w:r>
      <w:r w:rsidR="00F71453" w:rsidRPr="00F71453">
        <w:t xml:space="preserve"> Considering the antioxidant molecules that characterize the matrices selected in this work, olea and </w:t>
      </w:r>
      <w:proofErr w:type="spellStart"/>
      <w:r w:rsidR="00F71453" w:rsidRPr="00F71453">
        <w:t>vitis</w:t>
      </w:r>
      <w:proofErr w:type="spellEnd"/>
      <w:r w:rsidR="00F71453" w:rsidRPr="00F71453">
        <w:t xml:space="preserve">, it is possible to hypothesize that these innovative ingredients </w:t>
      </w:r>
      <w:r w:rsidR="00F71453">
        <w:t xml:space="preserve">can </w:t>
      </w:r>
      <w:r w:rsidR="00F71453" w:rsidRPr="00F71453">
        <w:t>are used as the basis of functional food formulations for sport and well-being, but also as an integration in the diet for</w:t>
      </w:r>
      <w:r w:rsidR="00F71453">
        <w:t xml:space="preserve"> CDK</w:t>
      </w:r>
      <w:r w:rsidR="00F71453" w:rsidRPr="00F71453">
        <w:t xml:space="preserve"> patient</w:t>
      </w:r>
      <w:r w:rsidR="00F71453">
        <w:t>s.</w:t>
      </w:r>
    </w:p>
    <w:p w14:paraId="493007B0" w14:textId="1FB35BED" w:rsidR="004004AB" w:rsidRPr="004004AB" w:rsidRDefault="008C685C" w:rsidP="00AD7322">
      <w:pPr>
        <w:pStyle w:val="Titolo1"/>
        <w:rPr>
          <w:snapToGrid w:val="0"/>
        </w:rPr>
      </w:pPr>
      <w:r w:rsidRPr="008C685C">
        <w:rPr>
          <w:snapToGrid w:val="0"/>
        </w:rPr>
        <w:t>Material and methods</w:t>
      </w:r>
    </w:p>
    <w:p w14:paraId="588EA24B" w14:textId="055BE6EE" w:rsidR="002648D0" w:rsidRDefault="002648D0" w:rsidP="00AD7322">
      <w:pPr>
        <w:pStyle w:val="Titolo3"/>
        <w:numPr>
          <w:ilvl w:val="3"/>
          <w:numId w:val="6"/>
        </w:numPr>
        <w:spacing w:before="0" w:after="0" w:line="276" w:lineRule="auto"/>
      </w:pPr>
      <w:r>
        <w:t>HPLC-DAD-MS analysis</w:t>
      </w:r>
    </w:p>
    <w:p w14:paraId="31B6EBCA" w14:textId="190944E8" w:rsidR="002648D0" w:rsidRDefault="002648D0" w:rsidP="002648D0">
      <w:r w:rsidRPr="002648D0">
        <w:t xml:space="preserve">The analyses for the qualitative and quantitative evaluation of bioactive compounds of </w:t>
      </w:r>
      <w:r w:rsidR="008B14E6">
        <w:t>micronized products and EVO oil e</w:t>
      </w:r>
      <w:r w:rsidRPr="002648D0">
        <w:t>xtract</w:t>
      </w:r>
      <w:r w:rsidR="008B14E6">
        <w:t xml:space="preserve"> </w:t>
      </w:r>
      <w:r w:rsidRPr="002648D0">
        <w:t xml:space="preserve">were obtained using an HP-1260 liquid chromatograph equipped with a DAD detector (Agilent-Technologies, Palo Alto, USA). The HPLC system is interfaced with an Agilent MS system equipped with an ESI source (Agilent Corp, Santa Clara, CA, USA). Analyses were acquired in full-scan mode and the mass range was set to m/z 100–1500 in negative </w:t>
      </w:r>
      <w:r w:rsidR="00CD3CF5">
        <w:t xml:space="preserve">and positive </w:t>
      </w:r>
      <w:r w:rsidRPr="002648D0">
        <w:t xml:space="preserve">modes. Analytical columns and chromatographic methods are described in </w:t>
      </w:r>
      <w:r w:rsidRPr="00184605">
        <w:t>Romani et al</w:t>
      </w:r>
      <w:r w:rsidR="000F32B9" w:rsidRPr="00184605">
        <w:t>.</w:t>
      </w:r>
      <w:r w:rsidRPr="00184605">
        <w:t>, 2020.</w:t>
      </w:r>
      <w:r w:rsidRPr="002648D0">
        <w:t xml:space="preserve"> Polyphenols found in the extracts were identified by comparing retention times and UV/Vis spectra with those of the authentic standards. Each compound was quantified at the selected wavelength (240, 280, 330, 350</w:t>
      </w:r>
      <w:r w:rsidR="00CD3CF5">
        <w:t>, 520</w:t>
      </w:r>
      <w:r w:rsidRPr="002648D0">
        <w:t xml:space="preserve"> nm) using a five- point regression curve and applying the correction of the molecular </w:t>
      </w:r>
      <w:r w:rsidRPr="00184605">
        <w:t>weights (Romani et al</w:t>
      </w:r>
      <w:r w:rsidR="000F32B9" w:rsidRPr="00184605">
        <w:t>.</w:t>
      </w:r>
      <w:r w:rsidRPr="00184605">
        <w:t>, 2020).</w:t>
      </w:r>
    </w:p>
    <w:p w14:paraId="0E366B05" w14:textId="77777777" w:rsidR="008B14E6" w:rsidRPr="002648D0" w:rsidRDefault="008B14E6" w:rsidP="002648D0"/>
    <w:p w14:paraId="36874F18" w14:textId="10925334" w:rsidR="004004AB" w:rsidRDefault="004004AB" w:rsidP="00AD7322">
      <w:pPr>
        <w:pStyle w:val="Titolo3"/>
        <w:numPr>
          <w:ilvl w:val="3"/>
          <w:numId w:val="6"/>
        </w:numPr>
        <w:spacing w:before="0" w:after="0" w:line="276" w:lineRule="auto"/>
      </w:pPr>
      <w:r w:rsidRPr="004004AB">
        <w:t>Composition of innovative bars</w:t>
      </w:r>
    </w:p>
    <w:p w14:paraId="79205D8A" w14:textId="2219A16C" w:rsidR="0067178F" w:rsidRDefault="00413C99" w:rsidP="00413C99">
      <w:r>
        <w:lastRenderedPageBreak/>
        <w:t xml:space="preserve">Two functional bars were designed starting from innovative ingredients coming from the recovery and enhancement of waste matrices from agri-food chains. In particular, two vegan and organic bars have been formulated based on fruit, vegetables and secondary raw materials from </w:t>
      </w:r>
      <w:r w:rsidRPr="004C2B73">
        <w:rPr>
          <w:i/>
          <w:iCs/>
        </w:rPr>
        <w:t>Olea europaea</w:t>
      </w:r>
      <w:r>
        <w:t xml:space="preserve"> L. and Vitis vinifera L., both bars are characterized by EVO oil as the main lipid source, with a content in compounds active polar minors (MPC) equal to 775.98 mg / L</w:t>
      </w:r>
      <w:r w:rsidR="008A6506">
        <w:t xml:space="preserve"> (HPLC-DAD-MS analysis)</w:t>
      </w:r>
      <w:r>
        <w:t>.</w:t>
      </w:r>
      <w:r w:rsidR="00E97930">
        <w:t xml:space="preserve"> The t</w:t>
      </w:r>
      <w:r>
        <w:t xml:space="preserve">wo bars designed are green and blue, the green is characterized by the presence of a functional ingredient from Olea, the micronized olive </w:t>
      </w:r>
      <w:r w:rsidR="00014E42">
        <w:t>leaves</w:t>
      </w:r>
      <w:r>
        <w:t xml:space="preserve"> </w:t>
      </w:r>
      <w:r w:rsidR="00014E42">
        <w:t>and micronized free oil olive pulp</w:t>
      </w:r>
      <w:r>
        <w:t>, the blue bar is characterized by the presence of innovative products coming from the recovery of wine-making waste, such as micronized grape film and grape seeds</w:t>
      </w:r>
      <w:r w:rsidR="00FD6BAA" w:rsidRPr="00FD6BAA">
        <w:t>.</w:t>
      </w:r>
      <w:r w:rsidRPr="00413C99">
        <w:t xml:space="preserve"> The two bars have a weight of 32g and a caloric content of 122kcal / bar. Table 1 shows the compositions of the two innovative bars formulated.</w:t>
      </w:r>
    </w:p>
    <w:tbl>
      <w:tblPr>
        <w:tblW w:w="7013" w:type="dxa"/>
        <w:jc w:val="center"/>
        <w:tblCellMar>
          <w:left w:w="70" w:type="dxa"/>
          <w:right w:w="70" w:type="dxa"/>
        </w:tblCellMar>
        <w:tblLook w:val="04A0" w:firstRow="1" w:lastRow="0" w:firstColumn="1" w:lastColumn="0" w:noHBand="0" w:noVBand="1"/>
      </w:tblPr>
      <w:tblGrid>
        <w:gridCol w:w="894"/>
        <w:gridCol w:w="6119"/>
      </w:tblGrid>
      <w:tr w:rsidR="00CD4984" w:rsidRPr="00CD4984" w14:paraId="397E5333" w14:textId="77777777" w:rsidTr="00E04BF6">
        <w:trPr>
          <w:trHeight w:val="517"/>
          <w:jc w:val="center"/>
        </w:trPr>
        <w:tc>
          <w:tcPr>
            <w:tcW w:w="7013" w:type="dxa"/>
            <w:gridSpan w:val="2"/>
            <w:tcBorders>
              <w:top w:val="nil"/>
              <w:left w:val="nil"/>
              <w:bottom w:val="single" w:sz="4" w:space="0" w:color="auto"/>
              <w:right w:val="nil"/>
            </w:tcBorders>
            <w:shd w:val="clear" w:color="auto" w:fill="auto"/>
            <w:vAlign w:val="center"/>
            <w:hideMark/>
          </w:tcPr>
          <w:p w14:paraId="37F12752" w14:textId="2C7A4124" w:rsidR="00CD4984" w:rsidRPr="00CD4984" w:rsidRDefault="00CD4984" w:rsidP="00CD4984">
            <w:pPr>
              <w:spacing w:line="240" w:lineRule="auto"/>
              <w:jc w:val="left"/>
              <w:rPr>
                <w:color w:val="000000"/>
                <w:sz w:val="20"/>
                <w:lang w:eastAsia="it-IT"/>
              </w:rPr>
            </w:pPr>
            <w:r w:rsidRPr="00CD4984">
              <w:rPr>
                <w:color w:val="000000"/>
                <w:sz w:val="20"/>
                <w:lang w:eastAsia="it-IT"/>
              </w:rPr>
              <w:t>Table 1. Composition of innovative bars. BB: blue bar; GB: green bar</w:t>
            </w:r>
          </w:p>
        </w:tc>
      </w:tr>
      <w:tr w:rsidR="00CD4984" w:rsidRPr="00CD4984" w14:paraId="46F4A91D" w14:textId="77777777" w:rsidTr="00E04BF6">
        <w:trPr>
          <w:trHeight w:val="188"/>
          <w:jc w:val="center"/>
        </w:trPr>
        <w:tc>
          <w:tcPr>
            <w:tcW w:w="894" w:type="dxa"/>
            <w:tcBorders>
              <w:top w:val="nil"/>
              <w:left w:val="nil"/>
              <w:bottom w:val="single" w:sz="4" w:space="0" w:color="auto"/>
              <w:right w:val="nil"/>
            </w:tcBorders>
            <w:shd w:val="clear" w:color="auto" w:fill="auto"/>
            <w:noWrap/>
            <w:vAlign w:val="bottom"/>
            <w:hideMark/>
          </w:tcPr>
          <w:p w14:paraId="3E4AA046" w14:textId="77777777" w:rsidR="00CD4984" w:rsidRPr="00CD4984" w:rsidRDefault="00CD4984" w:rsidP="00CD4984">
            <w:pPr>
              <w:spacing w:line="240" w:lineRule="auto"/>
              <w:jc w:val="left"/>
              <w:rPr>
                <w:b/>
                <w:bCs/>
                <w:color w:val="000000"/>
                <w:sz w:val="20"/>
                <w:lang w:val="it-IT" w:eastAsia="it-IT"/>
              </w:rPr>
            </w:pPr>
            <w:r w:rsidRPr="00CD4984">
              <w:rPr>
                <w:b/>
                <w:bCs/>
                <w:color w:val="000000"/>
                <w:sz w:val="20"/>
                <w:lang w:val="it-IT" w:eastAsia="it-IT"/>
              </w:rPr>
              <w:t>Name</w:t>
            </w:r>
          </w:p>
        </w:tc>
        <w:tc>
          <w:tcPr>
            <w:tcW w:w="6119" w:type="dxa"/>
            <w:tcBorders>
              <w:top w:val="nil"/>
              <w:left w:val="nil"/>
              <w:bottom w:val="single" w:sz="4" w:space="0" w:color="auto"/>
              <w:right w:val="nil"/>
            </w:tcBorders>
            <w:shd w:val="clear" w:color="auto" w:fill="auto"/>
            <w:noWrap/>
            <w:vAlign w:val="bottom"/>
            <w:hideMark/>
          </w:tcPr>
          <w:p w14:paraId="4FF3619D" w14:textId="77777777" w:rsidR="00CD4984" w:rsidRPr="00CD4984" w:rsidRDefault="00CD4984" w:rsidP="00CD4984">
            <w:pPr>
              <w:spacing w:line="240" w:lineRule="auto"/>
              <w:jc w:val="center"/>
              <w:rPr>
                <w:b/>
                <w:bCs/>
                <w:color w:val="000000"/>
                <w:sz w:val="20"/>
                <w:lang w:val="it-IT" w:eastAsia="it-IT"/>
              </w:rPr>
            </w:pPr>
            <w:proofErr w:type="spellStart"/>
            <w:r w:rsidRPr="00CD4984">
              <w:rPr>
                <w:b/>
                <w:bCs/>
                <w:color w:val="000000"/>
                <w:sz w:val="20"/>
                <w:lang w:val="it-IT" w:eastAsia="it-IT"/>
              </w:rPr>
              <w:t>Ingredients</w:t>
            </w:r>
            <w:proofErr w:type="spellEnd"/>
          </w:p>
        </w:tc>
      </w:tr>
      <w:tr w:rsidR="00CD4984" w:rsidRPr="00CD4984" w14:paraId="62A24F63" w14:textId="77777777" w:rsidTr="00E04BF6">
        <w:trPr>
          <w:trHeight w:val="819"/>
          <w:jc w:val="center"/>
        </w:trPr>
        <w:tc>
          <w:tcPr>
            <w:tcW w:w="894" w:type="dxa"/>
            <w:tcBorders>
              <w:top w:val="nil"/>
              <w:left w:val="nil"/>
              <w:bottom w:val="nil"/>
              <w:right w:val="nil"/>
            </w:tcBorders>
            <w:shd w:val="clear" w:color="auto" w:fill="auto"/>
            <w:noWrap/>
            <w:vAlign w:val="bottom"/>
            <w:hideMark/>
          </w:tcPr>
          <w:p w14:paraId="330898A6" w14:textId="77777777" w:rsidR="00CD4984" w:rsidRPr="00CD4984" w:rsidRDefault="00CD4984" w:rsidP="00CD4984">
            <w:pPr>
              <w:spacing w:line="240" w:lineRule="auto"/>
              <w:jc w:val="left"/>
              <w:rPr>
                <w:color w:val="000000"/>
                <w:sz w:val="20"/>
                <w:lang w:val="it-IT" w:eastAsia="it-IT"/>
              </w:rPr>
            </w:pPr>
            <w:r w:rsidRPr="00CD4984">
              <w:rPr>
                <w:color w:val="000000"/>
                <w:sz w:val="20"/>
                <w:lang w:val="it-IT" w:eastAsia="it-IT"/>
              </w:rPr>
              <w:t>BB</w:t>
            </w:r>
          </w:p>
        </w:tc>
        <w:tc>
          <w:tcPr>
            <w:tcW w:w="6119" w:type="dxa"/>
            <w:tcBorders>
              <w:top w:val="nil"/>
              <w:left w:val="nil"/>
              <w:bottom w:val="nil"/>
              <w:right w:val="nil"/>
            </w:tcBorders>
            <w:shd w:val="clear" w:color="auto" w:fill="auto"/>
            <w:vAlign w:val="bottom"/>
            <w:hideMark/>
          </w:tcPr>
          <w:p w14:paraId="6BD4ED59" w14:textId="77777777" w:rsidR="00CD4984" w:rsidRPr="00CD4984" w:rsidRDefault="00CD4984" w:rsidP="00CD4984">
            <w:pPr>
              <w:spacing w:line="240" w:lineRule="auto"/>
              <w:rPr>
                <w:color w:val="000000"/>
                <w:sz w:val="20"/>
                <w:lang w:eastAsia="it-IT"/>
              </w:rPr>
            </w:pPr>
            <w:r w:rsidRPr="00CD4984">
              <w:rPr>
                <w:color w:val="000000"/>
                <w:sz w:val="20"/>
                <w:lang w:eastAsia="it-IT"/>
              </w:rPr>
              <w:t xml:space="preserve">dates, </w:t>
            </w:r>
            <w:proofErr w:type="spellStart"/>
            <w:r w:rsidRPr="00CD4984">
              <w:rPr>
                <w:color w:val="000000"/>
                <w:sz w:val="20"/>
                <w:lang w:eastAsia="it-IT"/>
              </w:rPr>
              <w:t>thompson</w:t>
            </w:r>
            <w:proofErr w:type="spellEnd"/>
            <w:r w:rsidRPr="00CD4984">
              <w:rPr>
                <w:color w:val="000000"/>
                <w:sz w:val="20"/>
                <w:lang w:eastAsia="it-IT"/>
              </w:rPr>
              <w:t xml:space="preserve"> grapes, cashews, almonds, plums, acerola powder, cabbage powder, beetroot powder, açai powder, blueberry powder, rhubarb powder, kiwi powder, carob flour, micronized grape film, micronized grape seeds, EVO oil.</w:t>
            </w:r>
          </w:p>
        </w:tc>
      </w:tr>
      <w:tr w:rsidR="00CD4984" w:rsidRPr="00CD4984" w14:paraId="5A11DE12" w14:textId="77777777" w:rsidTr="00E04BF6">
        <w:trPr>
          <w:trHeight w:val="979"/>
          <w:jc w:val="center"/>
        </w:trPr>
        <w:tc>
          <w:tcPr>
            <w:tcW w:w="894" w:type="dxa"/>
            <w:tcBorders>
              <w:top w:val="nil"/>
              <w:left w:val="nil"/>
              <w:bottom w:val="nil"/>
              <w:right w:val="nil"/>
            </w:tcBorders>
            <w:shd w:val="clear" w:color="auto" w:fill="auto"/>
            <w:noWrap/>
            <w:vAlign w:val="bottom"/>
            <w:hideMark/>
          </w:tcPr>
          <w:p w14:paraId="07CC8413" w14:textId="77777777" w:rsidR="00CD4984" w:rsidRPr="00CD4984" w:rsidRDefault="00CD4984" w:rsidP="00CD4984">
            <w:pPr>
              <w:spacing w:line="240" w:lineRule="auto"/>
              <w:jc w:val="left"/>
              <w:rPr>
                <w:color w:val="000000"/>
                <w:sz w:val="20"/>
                <w:lang w:val="it-IT" w:eastAsia="it-IT"/>
              </w:rPr>
            </w:pPr>
            <w:r w:rsidRPr="00CD4984">
              <w:rPr>
                <w:color w:val="000000"/>
                <w:sz w:val="20"/>
                <w:lang w:val="it-IT" w:eastAsia="it-IT"/>
              </w:rPr>
              <w:t>GB</w:t>
            </w:r>
          </w:p>
        </w:tc>
        <w:tc>
          <w:tcPr>
            <w:tcW w:w="6119" w:type="dxa"/>
            <w:tcBorders>
              <w:top w:val="nil"/>
              <w:left w:val="nil"/>
              <w:bottom w:val="nil"/>
              <w:right w:val="nil"/>
            </w:tcBorders>
            <w:shd w:val="clear" w:color="auto" w:fill="auto"/>
            <w:vAlign w:val="bottom"/>
            <w:hideMark/>
          </w:tcPr>
          <w:p w14:paraId="4BF39116" w14:textId="49540140" w:rsidR="00CD4984" w:rsidRPr="00CD4984" w:rsidRDefault="00CD4984" w:rsidP="00CD4984">
            <w:pPr>
              <w:spacing w:line="240" w:lineRule="auto"/>
              <w:rPr>
                <w:color w:val="000000"/>
                <w:sz w:val="20"/>
                <w:lang w:eastAsia="it-IT"/>
              </w:rPr>
            </w:pPr>
            <w:r w:rsidRPr="00CD4984">
              <w:rPr>
                <w:color w:val="000000"/>
                <w:sz w:val="20"/>
                <w:lang w:eastAsia="it-IT"/>
              </w:rPr>
              <w:t xml:space="preserve">dates, cashews, </w:t>
            </w:r>
            <w:proofErr w:type="spellStart"/>
            <w:r w:rsidRPr="00CD4984">
              <w:rPr>
                <w:color w:val="000000"/>
                <w:sz w:val="20"/>
                <w:lang w:eastAsia="it-IT"/>
              </w:rPr>
              <w:t>thompson</w:t>
            </w:r>
            <w:proofErr w:type="spellEnd"/>
            <w:r w:rsidRPr="00CD4984">
              <w:rPr>
                <w:color w:val="000000"/>
                <w:sz w:val="20"/>
                <w:lang w:eastAsia="it-IT"/>
              </w:rPr>
              <w:t xml:space="preserve"> grapes, figs, apple, fennel powder, cabbage powder, celery powder, spinach powder, barley grass powder, carob flour, kiwi powder, grape skin micronized, grape seeds micronized, micronized olive leaves,</w:t>
            </w:r>
            <w:r w:rsidR="00014E42">
              <w:rPr>
                <w:color w:val="000000"/>
                <w:sz w:val="20"/>
                <w:lang w:eastAsia="it-IT"/>
              </w:rPr>
              <w:t xml:space="preserve"> micronized free oil olive pulp,</w:t>
            </w:r>
            <w:r w:rsidRPr="00CD4984">
              <w:rPr>
                <w:color w:val="000000"/>
                <w:sz w:val="20"/>
                <w:lang w:eastAsia="it-IT"/>
              </w:rPr>
              <w:t xml:space="preserve"> EVO oil.</w:t>
            </w:r>
          </w:p>
        </w:tc>
      </w:tr>
    </w:tbl>
    <w:p w14:paraId="0B359083" w14:textId="77777777" w:rsidR="00413C99" w:rsidRPr="004004AB" w:rsidRDefault="00413C99" w:rsidP="00413C99"/>
    <w:p w14:paraId="7854202E" w14:textId="77777777" w:rsidR="004004AB" w:rsidRPr="004004AB" w:rsidRDefault="004004AB" w:rsidP="004004AB"/>
    <w:p w14:paraId="56EF84CB" w14:textId="7DDC40BD" w:rsidR="004004AB" w:rsidRDefault="00D454C6" w:rsidP="00AD7322">
      <w:pPr>
        <w:pStyle w:val="Titolo3"/>
        <w:numPr>
          <w:ilvl w:val="3"/>
          <w:numId w:val="6"/>
        </w:numPr>
        <w:spacing w:before="0" w:after="0" w:line="276" w:lineRule="auto"/>
      </w:pPr>
      <w:r>
        <w:t>T</w:t>
      </w:r>
      <w:r w:rsidRPr="00D454C6">
        <w:t>otal antioxidant capacity</w:t>
      </w:r>
      <w:r w:rsidR="006B3FFB">
        <w:t xml:space="preserve"> (</w:t>
      </w:r>
      <w:proofErr w:type="spellStart"/>
      <w:r w:rsidR="006B3FFB">
        <w:t>Folin</w:t>
      </w:r>
      <w:proofErr w:type="spellEnd"/>
      <w:r w:rsidR="006B3FFB">
        <w:t xml:space="preserve">- </w:t>
      </w:r>
      <w:proofErr w:type="spellStart"/>
      <w:r w:rsidR="006B3FFB">
        <w:t>Ciocalteu</w:t>
      </w:r>
      <w:proofErr w:type="spellEnd"/>
      <w:r w:rsidR="006B3FFB">
        <w:t xml:space="preserve"> assay)</w:t>
      </w:r>
    </w:p>
    <w:p w14:paraId="4029128B" w14:textId="02B92AC7" w:rsidR="00CD3CF5" w:rsidRDefault="00CD3CF5" w:rsidP="00CD3CF5"/>
    <w:p w14:paraId="13EFB9CF" w14:textId="62B2BD3F" w:rsidR="00CD3CF5" w:rsidRPr="00CD3CF5" w:rsidRDefault="00CD3CF5" w:rsidP="00CD3CF5">
      <w:r w:rsidRPr="00CD3CF5">
        <w:t xml:space="preserve">The total antioxidant capacity on </w:t>
      </w:r>
      <w:r w:rsidR="00405DBF">
        <w:t>two bars</w:t>
      </w:r>
      <w:r w:rsidRPr="00CD3CF5">
        <w:t xml:space="preserve"> was evaluated using the Folin-Ciocalteu method adapted to the samples. 500 µl of water and 125 µl of </w:t>
      </w:r>
      <w:proofErr w:type="spellStart"/>
      <w:r w:rsidRPr="00CD3CF5">
        <w:t>Folin</w:t>
      </w:r>
      <w:proofErr w:type="spellEnd"/>
      <w:r w:rsidRPr="00CD3CF5">
        <w:t xml:space="preserve"> reagent were added to 125 µl of suitably diluted extract and it was reacted for 6 minutes in the dark. Subsequently, 1.25 ml of Na2CO3 at 20% in H</w:t>
      </w:r>
      <w:r w:rsidRPr="00405DBF">
        <w:rPr>
          <w:vertAlign w:val="subscript"/>
        </w:rPr>
        <w:t>2</w:t>
      </w:r>
      <w:r w:rsidRPr="00CD3CF5">
        <w:t>O were added, then the solution is brought to the volume of 3 ml with water. The solution is left in the dark for 85 minutes then centrifuged for 5 minutes at 5000 rpm. The spectrophotometric reading is carried out at 725 nm</w:t>
      </w:r>
      <w:r w:rsidR="006B3FFB">
        <w:t xml:space="preserve"> using a Lambda 25 spectrophotometer (PerkinElmer, Waltham, MA, USA) and </w:t>
      </w:r>
      <w:r w:rsidRPr="00CD3CF5">
        <w:t>using the extraction solvent (70:30 hydroalcoholic solution pH 3.2) as blank. The results are expressed in mg of gallic acid (GAE) per g of bar.</w:t>
      </w:r>
    </w:p>
    <w:p w14:paraId="0BED5E10" w14:textId="016BD6C9" w:rsidR="00073053" w:rsidRDefault="00073053" w:rsidP="00AD7322">
      <w:pPr>
        <w:pStyle w:val="Titolo3"/>
        <w:numPr>
          <w:ilvl w:val="3"/>
          <w:numId w:val="6"/>
        </w:numPr>
      </w:pPr>
      <w:r>
        <w:t>Antiradical activity (DPPH assay)</w:t>
      </w:r>
    </w:p>
    <w:p w14:paraId="3547EAC5" w14:textId="77777777" w:rsidR="00073053" w:rsidRDefault="00073053" w:rsidP="00073053">
      <w:r>
        <w:lastRenderedPageBreak/>
        <w:t>A further investigation carried out on the samples under study was the evaluation of the antiradical properties. The method chosen is a spectrophotometric method based on the use of the stable radical DPPH • (radical 1,1-diphenyl-2-picrilidrazil).</w:t>
      </w:r>
    </w:p>
    <w:p w14:paraId="470A41FF" w14:textId="2573489D" w:rsidR="00073053" w:rsidRDefault="00073053" w:rsidP="00834CB5">
      <w:r>
        <w:t>Through this test it is possible to obtain information on efficiency by evaluating the percentage antiradical activity after 20 minutes of contact with the DPPH radical</w:t>
      </w:r>
      <w:r w:rsidR="003472B2">
        <w:t>.</w:t>
      </w:r>
      <w:r>
        <w:t xml:space="preserve"> 1 mL of aqueous solution of the various samples, suitably diluted, was added to 1 mL of an ethanolic solution of DPPH • (obtained by solubilizing 4.0 mg of DPPH • in 100 ml of ethanol). </w:t>
      </w:r>
      <w:r w:rsidR="00834CB5">
        <w:t xml:space="preserve">Absorption was measured at 517 nm immediately and after 20 min using a Lambda 25 spectrophotometer (PerkinElmer, Waltham, MA, USA) versus an </w:t>
      </w:r>
      <w:r w:rsidR="006B3FFB">
        <w:t>ethanol: H</w:t>
      </w:r>
      <w:r w:rsidR="006B3FFB" w:rsidRPr="006B3FFB">
        <w:rPr>
          <w:vertAlign w:val="subscript"/>
        </w:rPr>
        <w:t>2</w:t>
      </w:r>
      <w:r w:rsidR="006B3FFB">
        <w:t>O</w:t>
      </w:r>
      <w:r w:rsidR="00834CB5">
        <w:t xml:space="preserve"> 50:50 solution as a blank. </w:t>
      </w:r>
    </w:p>
    <w:p w14:paraId="6F92AB73" w14:textId="25BFA9C7" w:rsidR="00073053" w:rsidRDefault="00073053" w:rsidP="00073053">
      <w:r>
        <w:t>The reducing activity A.R.% was calculated by applying the following formula:</w:t>
      </w:r>
    </w:p>
    <w:p w14:paraId="68C8567B" w14:textId="2340BAE2" w:rsidR="00073053" w:rsidRDefault="003A2917" w:rsidP="00073053">
      <w:r w:rsidRPr="00834CB5">
        <w:rPr>
          <w:noProof/>
          <w:lang w:val="it-IT" w:eastAsia="it-IT"/>
        </w:rPr>
        <w:drawing>
          <wp:anchor distT="0" distB="0" distL="114300" distR="114300" simplePos="0" relativeHeight="251662336" behindDoc="0" locked="0" layoutInCell="1" allowOverlap="1" wp14:anchorId="0CE583F4" wp14:editId="29C719C6">
            <wp:simplePos x="0" y="0"/>
            <wp:positionH relativeFrom="column">
              <wp:posOffset>1376680</wp:posOffset>
            </wp:positionH>
            <wp:positionV relativeFrom="paragraph">
              <wp:posOffset>138430</wp:posOffset>
            </wp:positionV>
            <wp:extent cx="1819275" cy="438150"/>
            <wp:effectExtent l="0" t="0" r="9525" b="0"/>
            <wp:wrapNone/>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19275" cy="438150"/>
                    </a:xfrm>
                    <a:prstGeom prst="rect">
                      <a:avLst/>
                    </a:prstGeom>
                  </pic:spPr>
                </pic:pic>
              </a:graphicData>
            </a:graphic>
          </wp:anchor>
        </w:drawing>
      </w:r>
    </w:p>
    <w:p w14:paraId="436E4373" w14:textId="0FC56858" w:rsidR="00D454C6" w:rsidRPr="00834CB5" w:rsidRDefault="00D454C6" w:rsidP="00D454C6"/>
    <w:p w14:paraId="7CB16126" w14:textId="3C1E8EFC" w:rsidR="00BE7F4A" w:rsidRPr="00AD7322" w:rsidRDefault="00BE7F4A" w:rsidP="00BE7F4A">
      <w:pPr>
        <w:pStyle w:val="Titolo1"/>
        <w:rPr>
          <w:snapToGrid w:val="0"/>
        </w:rPr>
      </w:pPr>
      <w:r>
        <w:rPr>
          <w:snapToGrid w:val="0"/>
        </w:rPr>
        <w:t>Results</w:t>
      </w:r>
      <w:r w:rsidR="00933B5F">
        <w:rPr>
          <w:snapToGrid w:val="0"/>
        </w:rPr>
        <w:t xml:space="preserve"> and discussion</w:t>
      </w:r>
    </w:p>
    <w:p w14:paraId="04339674" w14:textId="1B8F572E" w:rsidR="00CB1B1B" w:rsidRDefault="00007115" w:rsidP="00AD7322">
      <w:pPr>
        <w:pStyle w:val="Titolo3"/>
        <w:numPr>
          <w:ilvl w:val="3"/>
          <w:numId w:val="6"/>
        </w:numPr>
        <w:spacing w:before="0" w:after="0" w:line="276" w:lineRule="auto"/>
      </w:pPr>
      <w:r w:rsidRPr="00007115">
        <w:t>HPLC-DAD-MS characterization of by-products from Olea europaea L</w:t>
      </w:r>
      <w:r w:rsidR="00CB1B1B">
        <w:t>.</w:t>
      </w:r>
    </w:p>
    <w:p w14:paraId="3D14E13E" w14:textId="4CCAFD79" w:rsidR="00CB1B1B" w:rsidRDefault="00CB1B1B" w:rsidP="00CB1B1B">
      <w:r w:rsidRPr="00410F19">
        <w:t xml:space="preserve">The by-products of the oil supply chain were analyzed by HPLC-DAD-MS, including micronized olive leaves and de-oiled olive pulp. The main molecules of these two products are represented by oleuropein for the olive leaves and hydroxytyrosol for the </w:t>
      </w:r>
      <w:r w:rsidR="00FB6E44">
        <w:t>free oil</w:t>
      </w:r>
      <w:r w:rsidRPr="00410F19">
        <w:t xml:space="preserve"> olive p</w:t>
      </w:r>
      <w:r w:rsidR="00FB6E44">
        <w:t>ulp</w:t>
      </w:r>
      <w:r w:rsidRPr="00410F19">
        <w:t xml:space="preserve">, many studies have shown the functional value of these </w:t>
      </w:r>
      <w:r w:rsidR="00FB6E44">
        <w:t xml:space="preserve">two </w:t>
      </w:r>
      <w:r w:rsidRPr="00410F19">
        <w:t>molecules reacting to their antioxidant and antiradical power</w:t>
      </w:r>
      <w:r>
        <w:t xml:space="preserve"> (Romani et al. 2019). </w:t>
      </w:r>
      <w:r w:rsidRPr="00410F19">
        <w:t xml:space="preserve">The tables below show the qualitative and quantitative characterizations of the analyzed </w:t>
      </w:r>
      <w:r w:rsidRPr="00014E42">
        <w:t>samples. (Table 2</w:t>
      </w:r>
      <w:r w:rsidR="00014E42" w:rsidRPr="00014E42">
        <w:t>, 3)</w:t>
      </w:r>
    </w:p>
    <w:p w14:paraId="3D4E7AD0" w14:textId="06CA63EB" w:rsidR="00014E42" w:rsidRDefault="00014E42" w:rsidP="00CB1B1B"/>
    <w:tbl>
      <w:tblPr>
        <w:tblW w:w="4824" w:type="dxa"/>
        <w:jc w:val="center"/>
        <w:tblCellMar>
          <w:left w:w="70" w:type="dxa"/>
          <w:right w:w="70" w:type="dxa"/>
        </w:tblCellMar>
        <w:tblLook w:val="04A0" w:firstRow="1" w:lastRow="0" w:firstColumn="1" w:lastColumn="0" w:noHBand="0" w:noVBand="1"/>
      </w:tblPr>
      <w:tblGrid>
        <w:gridCol w:w="3691"/>
        <w:gridCol w:w="1133"/>
      </w:tblGrid>
      <w:tr w:rsidR="00014E42" w:rsidRPr="00014E42" w14:paraId="151DA29B" w14:textId="77777777" w:rsidTr="003A2917">
        <w:trPr>
          <w:trHeight w:val="912"/>
          <w:jc w:val="center"/>
        </w:trPr>
        <w:tc>
          <w:tcPr>
            <w:tcW w:w="4824" w:type="dxa"/>
            <w:gridSpan w:val="2"/>
            <w:tcBorders>
              <w:top w:val="nil"/>
              <w:left w:val="nil"/>
              <w:bottom w:val="single" w:sz="4" w:space="0" w:color="auto"/>
              <w:right w:val="nil"/>
            </w:tcBorders>
            <w:shd w:val="clear" w:color="auto" w:fill="auto"/>
            <w:vAlign w:val="center"/>
            <w:hideMark/>
          </w:tcPr>
          <w:p w14:paraId="408DA5C7" w14:textId="299382F4" w:rsidR="00014E42" w:rsidRPr="00014E42" w:rsidRDefault="00014E42" w:rsidP="009C1186">
            <w:pPr>
              <w:spacing w:line="240" w:lineRule="auto"/>
              <w:rPr>
                <w:color w:val="000000"/>
                <w:sz w:val="18"/>
                <w:szCs w:val="18"/>
                <w:lang w:eastAsia="it-IT"/>
              </w:rPr>
            </w:pPr>
            <w:r w:rsidRPr="00014E42">
              <w:rPr>
                <w:color w:val="000000"/>
                <w:sz w:val="18"/>
                <w:szCs w:val="18"/>
                <w:lang w:eastAsia="it-IT"/>
              </w:rPr>
              <w:t>Table 2. Quali-quantitative HPLC</w:t>
            </w:r>
            <w:r w:rsidR="004B041B">
              <w:rPr>
                <w:color w:val="000000"/>
                <w:sz w:val="18"/>
                <w:szCs w:val="18"/>
                <w:lang w:eastAsia="it-IT"/>
              </w:rPr>
              <w:t>-</w:t>
            </w:r>
            <w:r w:rsidRPr="00014E42">
              <w:rPr>
                <w:color w:val="000000"/>
                <w:sz w:val="18"/>
                <w:szCs w:val="18"/>
                <w:lang w:eastAsia="it-IT"/>
              </w:rPr>
              <w:t>DAD</w:t>
            </w:r>
            <w:r w:rsidR="004B041B">
              <w:rPr>
                <w:color w:val="000000"/>
                <w:sz w:val="18"/>
                <w:szCs w:val="18"/>
                <w:lang w:eastAsia="it-IT"/>
              </w:rPr>
              <w:t>-</w:t>
            </w:r>
            <w:r w:rsidRPr="00014E42">
              <w:rPr>
                <w:color w:val="000000"/>
                <w:sz w:val="18"/>
                <w:szCs w:val="18"/>
                <w:lang w:eastAsia="it-IT"/>
              </w:rPr>
              <w:t xml:space="preserve">MS analysis of polyphenols in the micronized powder of olive leaves, data expressed in mg/kg </w:t>
            </w:r>
          </w:p>
        </w:tc>
      </w:tr>
      <w:tr w:rsidR="00014E42" w:rsidRPr="00014E42" w14:paraId="6E4CBC10" w14:textId="77777777" w:rsidTr="004B041B">
        <w:trPr>
          <w:trHeight w:val="280"/>
          <w:jc w:val="center"/>
        </w:trPr>
        <w:tc>
          <w:tcPr>
            <w:tcW w:w="3691" w:type="dxa"/>
            <w:tcBorders>
              <w:top w:val="nil"/>
              <w:left w:val="nil"/>
              <w:bottom w:val="single" w:sz="4" w:space="0" w:color="auto"/>
              <w:right w:val="nil"/>
            </w:tcBorders>
            <w:shd w:val="clear" w:color="auto" w:fill="auto"/>
            <w:noWrap/>
            <w:vAlign w:val="bottom"/>
            <w:hideMark/>
          </w:tcPr>
          <w:p w14:paraId="2CF3C996" w14:textId="77777777" w:rsidR="00014E42" w:rsidRPr="00014E42" w:rsidRDefault="00014E42" w:rsidP="00014E42">
            <w:pPr>
              <w:spacing w:line="240" w:lineRule="auto"/>
              <w:jc w:val="left"/>
              <w:rPr>
                <w:b/>
                <w:bCs/>
                <w:color w:val="000000"/>
                <w:sz w:val="18"/>
                <w:szCs w:val="18"/>
                <w:lang w:val="it-IT" w:eastAsia="it-IT"/>
              </w:rPr>
            </w:pPr>
            <w:proofErr w:type="spellStart"/>
            <w:r w:rsidRPr="00014E42">
              <w:rPr>
                <w:b/>
                <w:bCs/>
                <w:color w:val="000000"/>
                <w:sz w:val="18"/>
                <w:szCs w:val="18"/>
                <w:lang w:val="it-IT" w:eastAsia="it-IT"/>
              </w:rPr>
              <w:t>Compounds</w:t>
            </w:r>
            <w:proofErr w:type="spellEnd"/>
          </w:p>
        </w:tc>
        <w:tc>
          <w:tcPr>
            <w:tcW w:w="1132" w:type="dxa"/>
            <w:tcBorders>
              <w:top w:val="nil"/>
              <w:left w:val="nil"/>
              <w:bottom w:val="single" w:sz="4" w:space="0" w:color="auto"/>
              <w:right w:val="nil"/>
            </w:tcBorders>
            <w:shd w:val="clear" w:color="auto" w:fill="auto"/>
            <w:noWrap/>
            <w:vAlign w:val="bottom"/>
            <w:hideMark/>
          </w:tcPr>
          <w:p w14:paraId="1F893897" w14:textId="77777777" w:rsidR="00014E42" w:rsidRPr="00014E42" w:rsidRDefault="00014E42" w:rsidP="00014E42">
            <w:pPr>
              <w:spacing w:line="240" w:lineRule="auto"/>
              <w:jc w:val="center"/>
              <w:rPr>
                <w:b/>
                <w:bCs/>
                <w:color w:val="000000"/>
                <w:sz w:val="18"/>
                <w:szCs w:val="18"/>
                <w:lang w:val="it-IT" w:eastAsia="it-IT"/>
              </w:rPr>
            </w:pPr>
            <w:r w:rsidRPr="00014E42">
              <w:rPr>
                <w:b/>
                <w:bCs/>
                <w:color w:val="000000"/>
                <w:sz w:val="18"/>
                <w:szCs w:val="18"/>
                <w:lang w:val="it-IT" w:eastAsia="it-IT"/>
              </w:rPr>
              <w:t>mg/kg</w:t>
            </w:r>
          </w:p>
        </w:tc>
      </w:tr>
      <w:tr w:rsidR="00014E42" w:rsidRPr="00014E42" w14:paraId="1EF7CBD8" w14:textId="77777777" w:rsidTr="004B041B">
        <w:trPr>
          <w:trHeight w:val="280"/>
          <w:jc w:val="center"/>
        </w:trPr>
        <w:tc>
          <w:tcPr>
            <w:tcW w:w="3691" w:type="dxa"/>
            <w:tcBorders>
              <w:top w:val="nil"/>
              <w:left w:val="nil"/>
              <w:bottom w:val="nil"/>
              <w:right w:val="nil"/>
            </w:tcBorders>
            <w:shd w:val="clear" w:color="auto" w:fill="auto"/>
            <w:noWrap/>
            <w:vAlign w:val="bottom"/>
            <w:hideMark/>
          </w:tcPr>
          <w:p w14:paraId="10D7AF65" w14:textId="77777777" w:rsidR="00014E42" w:rsidRPr="00014E42" w:rsidRDefault="00014E42" w:rsidP="00014E42">
            <w:pPr>
              <w:spacing w:line="240" w:lineRule="auto"/>
              <w:jc w:val="left"/>
              <w:rPr>
                <w:color w:val="000000"/>
                <w:sz w:val="18"/>
                <w:szCs w:val="18"/>
                <w:lang w:val="it-IT" w:eastAsia="it-IT"/>
              </w:rPr>
            </w:pPr>
            <w:r w:rsidRPr="00014E42">
              <w:rPr>
                <w:color w:val="000000"/>
                <w:sz w:val="18"/>
                <w:szCs w:val="18"/>
                <w:lang w:val="it-IT" w:eastAsia="it-IT"/>
              </w:rPr>
              <w:t>Hydroxytyrosol</w:t>
            </w:r>
          </w:p>
        </w:tc>
        <w:tc>
          <w:tcPr>
            <w:tcW w:w="1132" w:type="dxa"/>
            <w:tcBorders>
              <w:top w:val="nil"/>
              <w:left w:val="nil"/>
              <w:bottom w:val="nil"/>
              <w:right w:val="nil"/>
            </w:tcBorders>
            <w:shd w:val="clear" w:color="auto" w:fill="auto"/>
            <w:noWrap/>
            <w:vAlign w:val="bottom"/>
            <w:hideMark/>
          </w:tcPr>
          <w:p w14:paraId="3D7079A7" w14:textId="77777777" w:rsidR="00014E42" w:rsidRPr="00014E42" w:rsidRDefault="00014E42" w:rsidP="00014E42">
            <w:pPr>
              <w:spacing w:line="240" w:lineRule="auto"/>
              <w:jc w:val="center"/>
              <w:rPr>
                <w:color w:val="000000"/>
                <w:sz w:val="18"/>
                <w:szCs w:val="18"/>
                <w:lang w:val="it-IT" w:eastAsia="it-IT"/>
              </w:rPr>
            </w:pPr>
            <w:r w:rsidRPr="00014E42">
              <w:rPr>
                <w:color w:val="000000"/>
                <w:sz w:val="18"/>
                <w:szCs w:val="18"/>
                <w:lang w:val="it-IT" w:eastAsia="it-IT"/>
              </w:rPr>
              <w:t>0,60</w:t>
            </w:r>
          </w:p>
        </w:tc>
      </w:tr>
      <w:tr w:rsidR="00014E42" w:rsidRPr="00014E42" w14:paraId="78838CFB" w14:textId="77777777" w:rsidTr="004B041B">
        <w:trPr>
          <w:trHeight w:val="280"/>
          <w:jc w:val="center"/>
        </w:trPr>
        <w:tc>
          <w:tcPr>
            <w:tcW w:w="3691" w:type="dxa"/>
            <w:tcBorders>
              <w:top w:val="nil"/>
              <w:left w:val="nil"/>
              <w:bottom w:val="nil"/>
              <w:right w:val="nil"/>
            </w:tcBorders>
            <w:shd w:val="clear" w:color="auto" w:fill="auto"/>
            <w:noWrap/>
            <w:vAlign w:val="bottom"/>
            <w:hideMark/>
          </w:tcPr>
          <w:p w14:paraId="2353DE95" w14:textId="77777777" w:rsidR="00014E42" w:rsidRPr="00014E42" w:rsidRDefault="00014E42" w:rsidP="00014E42">
            <w:pPr>
              <w:spacing w:line="240" w:lineRule="auto"/>
              <w:jc w:val="left"/>
              <w:rPr>
                <w:color w:val="000000"/>
                <w:sz w:val="18"/>
                <w:szCs w:val="18"/>
                <w:lang w:val="it-IT" w:eastAsia="it-IT"/>
              </w:rPr>
            </w:pPr>
            <w:r w:rsidRPr="00014E42">
              <w:rPr>
                <w:color w:val="000000"/>
                <w:sz w:val="18"/>
                <w:szCs w:val="18"/>
                <w:lang w:val="it-IT" w:eastAsia="it-IT"/>
              </w:rPr>
              <w:t>Verbascoside</w:t>
            </w:r>
          </w:p>
        </w:tc>
        <w:tc>
          <w:tcPr>
            <w:tcW w:w="1132" w:type="dxa"/>
            <w:tcBorders>
              <w:top w:val="nil"/>
              <w:left w:val="nil"/>
              <w:bottom w:val="nil"/>
              <w:right w:val="nil"/>
            </w:tcBorders>
            <w:shd w:val="clear" w:color="auto" w:fill="auto"/>
            <w:noWrap/>
            <w:vAlign w:val="bottom"/>
            <w:hideMark/>
          </w:tcPr>
          <w:p w14:paraId="638ECE0C" w14:textId="77777777" w:rsidR="00014E42" w:rsidRPr="00014E42" w:rsidRDefault="00014E42" w:rsidP="00014E42">
            <w:pPr>
              <w:spacing w:line="240" w:lineRule="auto"/>
              <w:jc w:val="center"/>
              <w:rPr>
                <w:color w:val="000000"/>
                <w:sz w:val="18"/>
                <w:szCs w:val="18"/>
                <w:lang w:val="it-IT" w:eastAsia="it-IT"/>
              </w:rPr>
            </w:pPr>
            <w:r w:rsidRPr="00014E42">
              <w:rPr>
                <w:color w:val="000000"/>
                <w:sz w:val="18"/>
                <w:szCs w:val="18"/>
                <w:lang w:val="it-IT" w:eastAsia="it-IT"/>
              </w:rPr>
              <w:t>2,71</w:t>
            </w:r>
          </w:p>
        </w:tc>
      </w:tr>
      <w:tr w:rsidR="00014E42" w:rsidRPr="00014E42" w14:paraId="0E9B6DC3" w14:textId="77777777" w:rsidTr="004B041B">
        <w:trPr>
          <w:trHeight w:val="280"/>
          <w:jc w:val="center"/>
        </w:trPr>
        <w:tc>
          <w:tcPr>
            <w:tcW w:w="3691" w:type="dxa"/>
            <w:tcBorders>
              <w:top w:val="nil"/>
              <w:left w:val="nil"/>
              <w:bottom w:val="nil"/>
              <w:right w:val="nil"/>
            </w:tcBorders>
            <w:shd w:val="clear" w:color="auto" w:fill="auto"/>
            <w:noWrap/>
            <w:vAlign w:val="bottom"/>
            <w:hideMark/>
          </w:tcPr>
          <w:p w14:paraId="69C4653A" w14:textId="77777777" w:rsidR="00014E42" w:rsidRPr="00014E42" w:rsidRDefault="00014E42" w:rsidP="00014E42">
            <w:pPr>
              <w:spacing w:line="240" w:lineRule="auto"/>
              <w:jc w:val="left"/>
              <w:rPr>
                <w:color w:val="000000"/>
                <w:sz w:val="18"/>
                <w:szCs w:val="18"/>
                <w:lang w:val="it-IT" w:eastAsia="it-IT"/>
              </w:rPr>
            </w:pPr>
            <w:proofErr w:type="spellStart"/>
            <w:r w:rsidRPr="00014E42">
              <w:rPr>
                <w:color w:val="000000"/>
                <w:sz w:val="18"/>
                <w:szCs w:val="18"/>
                <w:lang w:val="it-IT" w:eastAsia="it-IT"/>
              </w:rPr>
              <w:t>luteolin</w:t>
            </w:r>
            <w:proofErr w:type="spellEnd"/>
            <w:r w:rsidRPr="00014E42">
              <w:rPr>
                <w:color w:val="000000"/>
                <w:sz w:val="18"/>
                <w:szCs w:val="18"/>
                <w:lang w:val="it-IT" w:eastAsia="it-IT"/>
              </w:rPr>
              <w:t xml:space="preserve"> 7-O-glucoside</w:t>
            </w:r>
          </w:p>
        </w:tc>
        <w:tc>
          <w:tcPr>
            <w:tcW w:w="1132" w:type="dxa"/>
            <w:tcBorders>
              <w:top w:val="nil"/>
              <w:left w:val="nil"/>
              <w:bottom w:val="nil"/>
              <w:right w:val="nil"/>
            </w:tcBorders>
            <w:shd w:val="clear" w:color="auto" w:fill="auto"/>
            <w:noWrap/>
            <w:vAlign w:val="bottom"/>
            <w:hideMark/>
          </w:tcPr>
          <w:p w14:paraId="2E6C5F94" w14:textId="77777777" w:rsidR="00014E42" w:rsidRPr="00014E42" w:rsidRDefault="00014E42" w:rsidP="00014E42">
            <w:pPr>
              <w:spacing w:line="240" w:lineRule="auto"/>
              <w:jc w:val="center"/>
              <w:rPr>
                <w:color w:val="000000"/>
                <w:sz w:val="18"/>
                <w:szCs w:val="18"/>
                <w:lang w:val="it-IT" w:eastAsia="it-IT"/>
              </w:rPr>
            </w:pPr>
            <w:r w:rsidRPr="00014E42">
              <w:rPr>
                <w:color w:val="000000"/>
                <w:sz w:val="18"/>
                <w:szCs w:val="18"/>
                <w:lang w:val="it-IT" w:eastAsia="it-IT"/>
              </w:rPr>
              <w:t>5,11</w:t>
            </w:r>
          </w:p>
        </w:tc>
      </w:tr>
      <w:tr w:rsidR="00014E42" w:rsidRPr="00014E42" w14:paraId="2F7C6A90" w14:textId="77777777" w:rsidTr="004B041B">
        <w:trPr>
          <w:trHeight w:val="280"/>
          <w:jc w:val="center"/>
        </w:trPr>
        <w:tc>
          <w:tcPr>
            <w:tcW w:w="3691" w:type="dxa"/>
            <w:tcBorders>
              <w:top w:val="nil"/>
              <w:left w:val="nil"/>
              <w:bottom w:val="nil"/>
              <w:right w:val="nil"/>
            </w:tcBorders>
            <w:shd w:val="clear" w:color="auto" w:fill="auto"/>
            <w:noWrap/>
            <w:vAlign w:val="bottom"/>
            <w:hideMark/>
          </w:tcPr>
          <w:p w14:paraId="7BCE7FC4" w14:textId="77777777" w:rsidR="00014E42" w:rsidRPr="00014E42" w:rsidRDefault="00014E42" w:rsidP="00014E42">
            <w:pPr>
              <w:spacing w:line="240" w:lineRule="auto"/>
              <w:jc w:val="left"/>
              <w:rPr>
                <w:color w:val="000000"/>
                <w:sz w:val="18"/>
                <w:szCs w:val="18"/>
                <w:lang w:val="it-IT" w:eastAsia="it-IT"/>
              </w:rPr>
            </w:pPr>
            <w:r w:rsidRPr="00014E42">
              <w:rPr>
                <w:color w:val="000000"/>
                <w:sz w:val="18"/>
                <w:szCs w:val="18"/>
                <w:lang w:val="it-IT" w:eastAsia="it-IT"/>
              </w:rPr>
              <w:t>Oleuropein</w:t>
            </w:r>
          </w:p>
        </w:tc>
        <w:tc>
          <w:tcPr>
            <w:tcW w:w="1132" w:type="dxa"/>
            <w:tcBorders>
              <w:top w:val="nil"/>
              <w:left w:val="nil"/>
              <w:bottom w:val="nil"/>
              <w:right w:val="nil"/>
            </w:tcBorders>
            <w:shd w:val="clear" w:color="auto" w:fill="auto"/>
            <w:noWrap/>
            <w:vAlign w:val="bottom"/>
            <w:hideMark/>
          </w:tcPr>
          <w:p w14:paraId="3C088FAB" w14:textId="77777777" w:rsidR="00014E42" w:rsidRPr="00014E42" w:rsidRDefault="00014E42" w:rsidP="00014E42">
            <w:pPr>
              <w:spacing w:line="240" w:lineRule="auto"/>
              <w:jc w:val="center"/>
              <w:rPr>
                <w:color w:val="000000"/>
                <w:sz w:val="18"/>
                <w:szCs w:val="18"/>
                <w:lang w:val="it-IT" w:eastAsia="it-IT"/>
              </w:rPr>
            </w:pPr>
            <w:r w:rsidRPr="00014E42">
              <w:rPr>
                <w:color w:val="000000"/>
                <w:sz w:val="18"/>
                <w:szCs w:val="18"/>
                <w:lang w:val="it-IT" w:eastAsia="it-IT"/>
              </w:rPr>
              <w:t>29,55</w:t>
            </w:r>
          </w:p>
        </w:tc>
      </w:tr>
      <w:tr w:rsidR="00014E42" w:rsidRPr="00014E42" w14:paraId="65F385EA" w14:textId="77777777" w:rsidTr="004B041B">
        <w:trPr>
          <w:trHeight w:val="280"/>
          <w:jc w:val="center"/>
        </w:trPr>
        <w:tc>
          <w:tcPr>
            <w:tcW w:w="3691" w:type="dxa"/>
            <w:tcBorders>
              <w:top w:val="nil"/>
              <w:left w:val="nil"/>
              <w:bottom w:val="nil"/>
              <w:right w:val="nil"/>
            </w:tcBorders>
            <w:shd w:val="clear" w:color="auto" w:fill="auto"/>
            <w:noWrap/>
            <w:vAlign w:val="bottom"/>
            <w:hideMark/>
          </w:tcPr>
          <w:p w14:paraId="5310EF2D" w14:textId="77777777" w:rsidR="00014E42" w:rsidRPr="00014E42" w:rsidRDefault="00014E42" w:rsidP="00014E42">
            <w:pPr>
              <w:spacing w:line="240" w:lineRule="auto"/>
              <w:jc w:val="left"/>
              <w:rPr>
                <w:color w:val="000000"/>
                <w:sz w:val="18"/>
                <w:szCs w:val="18"/>
                <w:lang w:val="it-IT" w:eastAsia="it-IT"/>
              </w:rPr>
            </w:pPr>
            <w:proofErr w:type="spellStart"/>
            <w:r w:rsidRPr="00014E42">
              <w:rPr>
                <w:color w:val="000000"/>
                <w:sz w:val="18"/>
                <w:szCs w:val="18"/>
                <w:lang w:val="it-IT" w:eastAsia="it-IT"/>
              </w:rPr>
              <w:t>Oleuropein</w:t>
            </w:r>
            <w:proofErr w:type="spellEnd"/>
            <w:r w:rsidRPr="00014E42">
              <w:rPr>
                <w:color w:val="000000"/>
                <w:sz w:val="18"/>
                <w:szCs w:val="18"/>
                <w:lang w:val="it-IT" w:eastAsia="it-IT"/>
              </w:rPr>
              <w:t xml:space="preserve"> </w:t>
            </w:r>
            <w:proofErr w:type="spellStart"/>
            <w:r w:rsidRPr="00014E42">
              <w:rPr>
                <w:color w:val="000000"/>
                <w:sz w:val="18"/>
                <w:szCs w:val="18"/>
                <w:lang w:val="it-IT" w:eastAsia="it-IT"/>
              </w:rPr>
              <w:t>aglycone</w:t>
            </w:r>
            <w:proofErr w:type="spellEnd"/>
          </w:p>
        </w:tc>
        <w:tc>
          <w:tcPr>
            <w:tcW w:w="1132" w:type="dxa"/>
            <w:tcBorders>
              <w:top w:val="nil"/>
              <w:left w:val="nil"/>
              <w:bottom w:val="nil"/>
              <w:right w:val="nil"/>
            </w:tcBorders>
            <w:shd w:val="clear" w:color="auto" w:fill="auto"/>
            <w:noWrap/>
            <w:vAlign w:val="bottom"/>
            <w:hideMark/>
          </w:tcPr>
          <w:p w14:paraId="4BB47B85" w14:textId="77777777" w:rsidR="00014E42" w:rsidRPr="00014E42" w:rsidRDefault="00014E42" w:rsidP="00014E42">
            <w:pPr>
              <w:spacing w:line="240" w:lineRule="auto"/>
              <w:jc w:val="center"/>
              <w:rPr>
                <w:color w:val="000000"/>
                <w:sz w:val="18"/>
                <w:szCs w:val="18"/>
                <w:lang w:val="it-IT" w:eastAsia="it-IT"/>
              </w:rPr>
            </w:pPr>
            <w:r w:rsidRPr="00014E42">
              <w:rPr>
                <w:color w:val="000000"/>
                <w:sz w:val="18"/>
                <w:szCs w:val="18"/>
                <w:lang w:val="it-IT" w:eastAsia="it-IT"/>
              </w:rPr>
              <w:t>5,32</w:t>
            </w:r>
          </w:p>
        </w:tc>
      </w:tr>
      <w:tr w:rsidR="00014E42" w:rsidRPr="00014E42" w14:paraId="28B78754" w14:textId="77777777" w:rsidTr="004B041B">
        <w:trPr>
          <w:trHeight w:val="280"/>
          <w:jc w:val="center"/>
        </w:trPr>
        <w:tc>
          <w:tcPr>
            <w:tcW w:w="3691" w:type="dxa"/>
            <w:tcBorders>
              <w:top w:val="single" w:sz="4" w:space="0" w:color="auto"/>
              <w:left w:val="nil"/>
              <w:bottom w:val="single" w:sz="4" w:space="0" w:color="auto"/>
              <w:right w:val="nil"/>
            </w:tcBorders>
            <w:shd w:val="clear" w:color="auto" w:fill="auto"/>
            <w:noWrap/>
            <w:vAlign w:val="bottom"/>
            <w:hideMark/>
          </w:tcPr>
          <w:p w14:paraId="4A6551BA" w14:textId="77777777" w:rsidR="00014E42" w:rsidRPr="00014E42" w:rsidRDefault="00014E42" w:rsidP="00014E42">
            <w:pPr>
              <w:spacing w:line="240" w:lineRule="auto"/>
              <w:jc w:val="left"/>
              <w:rPr>
                <w:b/>
                <w:bCs/>
                <w:color w:val="000000"/>
                <w:sz w:val="18"/>
                <w:szCs w:val="18"/>
                <w:lang w:val="it-IT" w:eastAsia="it-IT"/>
              </w:rPr>
            </w:pPr>
            <w:r w:rsidRPr="00014E42">
              <w:rPr>
                <w:b/>
                <w:bCs/>
                <w:color w:val="000000"/>
                <w:sz w:val="18"/>
                <w:szCs w:val="18"/>
                <w:lang w:val="it-IT" w:eastAsia="it-IT"/>
              </w:rPr>
              <w:t xml:space="preserve">Total </w:t>
            </w:r>
            <w:proofErr w:type="spellStart"/>
            <w:r w:rsidRPr="00014E42">
              <w:rPr>
                <w:b/>
                <w:bCs/>
                <w:color w:val="000000"/>
                <w:sz w:val="18"/>
                <w:szCs w:val="18"/>
                <w:lang w:val="it-IT" w:eastAsia="it-IT"/>
              </w:rPr>
              <w:t>polyphenols</w:t>
            </w:r>
            <w:proofErr w:type="spellEnd"/>
          </w:p>
        </w:tc>
        <w:tc>
          <w:tcPr>
            <w:tcW w:w="1132" w:type="dxa"/>
            <w:tcBorders>
              <w:top w:val="single" w:sz="4" w:space="0" w:color="auto"/>
              <w:left w:val="nil"/>
              <w:bottom w:val="single" w:sz="4" w:space="0" w:color="auto"/>
              <w:right w:val="nil"/>
            </w:tcBorders>
            <w:shd w:val="clear" w:color="auto" w:fill="auto"/>
            <w:noWrap/>
            <w:vAlign w:val="bottom"/>
            <w:hideMark/>
          </w:tcPr>
          <w:p w14:paraId="2BFD1FBE" w14:textId="77777777" w:rsidR="00014E42" w:rsidRPr="00014E42" w:rsidRDefault="00014E42" w:rsidP="00014E42">
            <w:pPr>
              <w:spacing w:line="240" w:lineRule="auto"/>
              <w:jc w:val="center"/>
              <w:rPr>
                <w:b/>
                <w:bCs/>
                <w:color w:val="000000"/>
                <w:sz w:val="18"/>
                <w:szCs w:val="18"/>
                <w:lang w:val="it-IT" w:eastAsia="it-IT"/>
              </w:rPr>
            </w:pPr>
            <w:r w:rsidRPr="00014E42">
              <w:rPr>
                <w:b/>
                <w:bCs/>
                <w:color w:val="000000"/>
                <w:sz w:val="18"/>
                <w:szCs w:val="18"/>
                <w:lang w:val="it-IT" w:eastAsia="it-IT"/>
              </w:rPr>
              <w:t>43,30</w:t>
            </w:r>
          </w:p>
        </w:tc>
      </w:tr>
    </w:tbl>
    <w:p w14:paraId="1D67E67F" w14:textId="2C6A2406" w:rsidR="00014E42" w:rsidRPr="004B041B" w:rsidRDefault="00014E42" w:rsidP="00CB1B1B">
      <w:pPr>
        <w:rPr>
          <w:sz w:val="18"/>
          <w:szCs w:val="18"/>
        </w:rPr>
      </w:pPr>
    </w:p>
    <w:tbl>
      <w:tblPr>
        <w:tblW w:w="4869" w:type="dxa"/>
        <w:jc w:val="center"/>
        <w:tblCellMar>
          <w:left w:w="70" w:type="dxa"/>
          <w:right w:w="70" w:type="dxa"/>
        </w:tblCellMar>
        <w:tblLook w:val="04A0" w:firstRow="1" w:lastRow="0" w:firstColumn="1" w:lastColumn="0" w:noHBand="0" w:noVBand="1"/>
      </w:tblPr>
      <w:tblGrid>
        <w:gridCol w:w="3499"/>
        <w:gridCol w:w="1370"/>
      </w:tblGrid>
      <w:tr w:rsidR="004B041B" w:rsidRPr="004B041B" w14:paraId="16E413B9" w14:textId="77777777" w:rsidTr="003A2917">
        <w:trPr>
          <w:trHeight w:val="830"/>
          <w:jc w:val="center"/>
        </w:trPr>
        <w:tc>
          <w:tcPr>
            <w:tcW w:w="4869" w:type="dxa"/>
            <w:gridSpan w:val="2"/>
            <w:tcBorders>
              <w:top w:val="nil"/>
              <w:left w:val="nil"/>
              <w:bottom w:val="single" w:sz="4" w:space="0" w:color="auto"/>
              <w:right w:val="nil"/>
            </w:tcBorders>
            <w:shd w:val="clear" w:color="auto" w:fill="auto"/>
            <w:vAlign w:val="center"/>
            <w:hideMark/>
          </w:tcPr>
          <w:p w14:paraId="39C00747" w14:textId="77FD1A1C" w:rsidR="004B041B" w:rsidRPr="004B041B" w:rsidRDefault="004B041B" w:rsidP="009C1186">
            <w:pPr>
              <w:spacing w:line="240" w:lineRule="auto"/>
              <w:rPr>
                <w:color w:val="000000"/>
                <w:sz w:val="18"/>
                <w:szCs w:val="18"/>
                <w:lang w:eastAsia="it-IT"/>
              </w:rPr>
            </w:pPr>
            <w:r w:rsidRPr="004B041B">
              <w:rPr>
                <w:color w:val="000000"/>
                <w:sz w:val="18"/>
                <w:szCs w:val="18"/>
                <w:lang w:eastAsia="it-IT"/>
              </w:rPr>
              <w:lastRenderedPageBreak/>
              <w:t>Table 3. Quali-quantitative HPLC</w:t>
            </w:r>
            <w:r>
              <w:rPr>
                <w:color w:val="000000"/>
                <w:sz w:val="18"/>
                <w:szCs w:val="18"/>
                <w:lang w:eastAsia="it-IT"/>
              </w:rPr>
              <w:t>-</w:t>
            </w:r>
            <w:r w:rsidRPr="004B041B">
              <w:rPr>
                <w:color w:val="000000"/>
                <w:sz w:val="18"/>
                <w:szCs w:val="18"/>
                <w:lang w:eastAsia="it-IT"/>
              </w:rPr>
              <w:t>DAD</w:t>
            </w:r>
            <w:r>
              <w:rPr>
                <w:color w:val="000000"/>
                <w:sz w:val="18"/>
                <w:szCs w:val="18"/>
                <w:lang w:eastAsia="it-IT"/>
              </w:rPr>
              <w:t>-</w:t>
            </w:r>
            <w:r w:rsidRPr="004B041B">
              <w:rPr>
                <w:color w:val="000000"/>
                <w:sz w:val="18"/>
                <w:szCs w:val="18"/>
                <w:lang w:eastAsia="it-IT"/>
              </w:rPr>
              <w:t xml:space="preserve">MS analysis of polyphenols in the micronized powder of free oil olive pulp, data expressed in mg/kg </w:t>
            </w:r>
          </w:p>
        </w:tc>
      </w:tr>
      <w:tr w:rsidR="004B041B" w:rsidRPr="004B041B" w14:paraId="0D0454C7" w14:textId="77777777" w:rsidTr="004B041B">
        <w:trPr>
          <w:trHeight w:val="314"/>
          <w:jc w:val="center"/>
        </w:trPr>
        <w:tc>
          <w:tcPr>
            <w:tcW w:w="3499" w:type="dxa"/>
            <w:tcBorders>
              <w:top w:val="nil"/>
              <w:left w:val="nil"/>
              <w:bottom w:val="single" w:sz="4" w:space="0" w:color="auto"/>
              <w:right w:val="nil"/>
            </w:tcBorders>
            <w:shd w:val="clear" w:color="auto" w:fill="auto"/>
            <w:noWrap/>
            <w:vAlign w:val="bottom"/>
            <w:hideMark/>
          </w:tcPr>
          <w:p w14:paraId="46D56D62" w14:textId="77777777" w:rsidR="004B041B" w:rsidRPr="004B041B" w:rsidRDefault="004B041B" w:rsidP="004B041B">
            <w:pPr>
              <w:spacing w:line="240" w:lineRule="auto"/>
              <w:jc w:val="left"/>
              <w:rPr>
                <w:b/>
                <w:bCs/>
                <w:color w:val="000000"/>
                <w:sz w:val="18"/>
                <w:szCs w:val="18"/>
                <w:lang w:val="it-IT" w:eastAsia="it-IT"/>
              </w:rPr>
            </w:pPr>
            <w:proofErr w:type="spellStart"/>
            <w:r w:rsidRPr="004B041B">
              <w:rPr>
                <w:b/>
                <w:bCs/>
                <w:color w:val="000000"/>
                <w:sz w:val="18"/>
                <w:szCs w:val="18"/>
                <w:lang w:val="it-IT" w:eastAsia="it-IT"/>
              </w:rPr>
              <w:t>Compounds</w:t>
            </w:r>
            <w:proofErr w:type="spellEnd"/>
          </w:p>
        </w:tc>
        <w:tc>
          <w:tcPr>
            <w:tcW w:w="1370" w:type="dxa"/>
            <w:tcBorders>
              <w:top w:val="nil"/>
              <w:left w:val="nil"/>
              <w:bottom w:val="single" w:sz="4" w:space="0" w:color="auto"/>
              <w:right w:val="nil"/>
            </w:tcBorders>
            <w:shd w:val="clear" w:color="auto" w:fill="auto"/>
            <w:noWrap/>
            <w:vAlign w:val="bottom"/>
            <w:hideMark/>
          </w:tcPr>
          <w:p w14:paraId="04D225E4" w14:textId="77777777" w:rsidR="004B041B" w:rsidRPr="004B041B" w:rsidRDefault="004B041B" w:rsidP="004B041B">
            <w:pPr>
              <w:spacing w:line="240" w:lineRule="auto"/>
              <w:jc w:val="center"/>
              <w:rPr>
                <w:b/>
                <w:bCs/>
                <w:color w:val="000000"/>
                <w:sz w:val="18"/>
                <w:szCs w:val="18"/>
                <w:lang w:val="it-IT" w:eastAsia="it-IT"/>
              </w:rPr>
            </w:pPr>
            <w:r w:rsidRPr="004B041B">
              <w:rPr>
                <w:b/>
                <w:bCs/>
                <w:color w:val="000000"/>
                <w:sz w:val="18"/>
                <w:szCs w:val="18"/>
                <w:lang w:val="it-IT" w:eastAsia="it-IT"/>
              </w:rPr>
              <w:t>mg/kg</w:t>
            </w:r>
          </w:p>
        </w:tc>
      </w:tr>
      <w:tr w:rsidR="004B041B" w:rsidRPr="004B041B" w14:paraId="6B449713"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7A350B90" w14:textId="3E9BDFE7" w:rsidR="004B041B" w:rsidRPr="004B041B" w:rsidRDefault="004B041B" w:rsidP="004B041B">
            <w:pPr>
              <w:spacing w:line="240" w:lineRule="auto"/>
              <w:jc w:val="left"/>
              <w:rPr>
                <w:color w:val="000000"/>
                <w:sz w:val="18"/>
                <w:szCs w:val="18"/>
                <w:lang w:val="it-IT" w:eastAsia="it-IT"/>
              </w:rPr>
            </w:pPr>
            <w:proofErr w:type="spellStart"/>
            <w:r w:rsidRPr="004B041B">
              <w:rPr>
                <w:color w:val="000000"/>
                <w:sz w:val="18"/>
                <w:szCs w:val="18"/>
                <w:lang w:val="it-IT" w:eastAsia="it-IT"/>
              </w:rPr>
              <w:t>Hydroxytyrosol</w:t>
            </w:r>
            <w:proofErr w:type="spellEnd"/>
            <w:r w:rsidRPr="004B041B">
              <w:rPr>
                <w:color w:val="000000"/>
                <w:sz w:val="18"/>
                <w:szCs w:val="18"/>
                <w:lang w:val="it-IT" w:eastAsia="it-IT"/>
              </w:rPr>
              <w:t xml:space="preserve"> </w:t>
            </w:r>
            <w:proofErr w:type="spellStart"/>
            <w:r w:rsidRPr="004B041B">
              <w:rPr>
                <w:color w:val="000000"/>
                <w:sz w:val="18"/>
                <w:szCs w:val="18"/>
                <w:lang w:val="it-IT" w:eastAsia="it-IT"/>
              </w:rPr>
              <w:t>Glycol</w:t>
            </w:r>
            <w:proofErr w:type="spellEnd"/>
          </w:p>
        </w:tc>
        <w:tc>
          <w:tcPr>
            <w:tcW w:w="1370" w:type="dxa"/>
            <w:tcBorders>
              <w:top w:val="nil"/>
              <w:left w:val="nil"/>
              <w:bottom w:val="nil"/>
              <w:right w:val="nil"/>
            </w:tcBorders>
            <w:shd w:val="clear" w:color="auto" w:fill="auto"/>
            <w:noWrap/>
            <w:vAlign w:val="bottom"/>
            <w:hideMark/>
          </w:tcPr>
          <w:p w14:paraId="60099922"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340,00</w:t>
            </w:r>
          </w:p>
        </w:tc>
      </w:tr>
      <w:tr w:rsidR="004B041B" w:rsidRPr="004B041B" w14:paraId="6CBD5248"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4164990E" w14:textId="77777777" w:rsidR="004B041B" w:rsidRPr="004B041B" w:rsidRDefault="004B041B" w:rsidP="004B041B">
            <w:pPr>
              <w:spacing w:line="240" w:lineRule="auto"/>
              <w:jc w:val="left"/>
              <w:rPr>
                <w:color w:val="000000"/>
                <w:sz w:val="18"/>
                <w:szCs w:val="18"/>
                <w:lang w:val="it-IT" w:eastAsia="it-IT"/>
              </w:rPr>
            </w:pPr>
            <w:r w:rsidRPr="004B041B">
              <w:rPr>
                <w:color w:val="000000"/>
                <w:sz w:val="18"/>
                <w:szCs w:val="18"/>
                <w:lang w:val="it-IT" w:eastAsia="it-IT"/>
              </w:rPr>
              <w:t>Hydroxytyrosol</w:t>
            </w:r>
          </w:p>
        </w:tc>
        <w:tc>
          <w:tcPr>
            <w:tcW w:w="1370" w:type="dxa"/>
            <w:tcBorders>
              <w:top w:val="nil"/>
              <w:left w:val="nil"/>
              <w:bottom w:val="nil"/>
              <w:right w:val="nil"/>
            </w:tcBorders>
            <w:shd w:val="clear" w:color="auto" w:fill="auto"/>
            <w:noWrap/>
            <w:vAlign w:val="bottom"/>
            <w:hideMark/>
          </w:tcPr>
          <w:p w14:paraId="4B509051"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1845,50</w:t>
            </w:r>
          </w:p>
        </w:tc>
      </w:tr>
      <w:tr w:rsidR="004B041B" w:rsidRPr="004B041B" w14:paraId="1644BB63"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360A92B6" w14:textId="77777777" w:rsidR="004B041B" w:rsidRPr="004B041B" w:rsidRDefault="004B041B" w:rsidP="004B041B">
            <w:pPr>
              <w:spacing w:line="240" w:lineRule="auto"/>
              <w:jc w:val="left"/>
              <w:rPr>
                <w:color w:val="000000"/>
                <w:sz w:val="18"/>
                <w:szCs w:val="18"/>
                <w:lang w:val="it-IT" w:eastAsia="it-IT"/>
              </w:rPr>
            </w:pPr>
            <w:r w:rsidRPr="004B041B">
              <w:rPr>
                <w:color w:val="000000"/>
                <w:sz w:val="18"/>
                <w:szCs w:val="18"/>
                <w:lang w:val="it-IT" w:eastAsia="it-IT"/>
              </w:rPr>
              <w:t>Tyrosol</w:t>
            </w:r>
          </w:p>
        </w:tc>
        <w:tc>
          <w:tcPr>
            <w:tcW w:w="1370" w:type="dxa"/>
            <w:tcBorders>
              <w:top w:val="nil"/>
              <w:left w:val="nil"/>
              <w:bottom w:val="nil"/>
              <w:right w:val="nil"/>
            </w:tcBorders>
            <w:shd w:val="clear" w:color="auto" w:fill="auto"/>
            <w:noWrap/>
            <w:vAlign w:val="bottom"/>
            <w:hideMark/>
          </w:tcPr>
          <w:p w14:paraId="4EAB2203"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450,36</w:t>
            </w:r>
          </w:p>
        </w:tc>
      </w:tr>
      <w:tr w:rsidR="004B041B" w:rsidRPr="004B041B" w14:paraId="2A79F59B"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65D586D3" w14:textId="77777777" w:rsidR="004B041B" w:rsidRPr="004B041B" w:rsidRDefault="004B041B" w:rsidP="004B041B">
            <w:pPr>
              <w:spacing w:line="240" w:lineRule="auto"/>
              <w:jc w:val="left"/>
              <w:rPr>
                <w:color w:val="000000"/>
                <w:sz w:val="18"/>
                <w:szCs w:val="18"/>
                <w:lang w:val="it-IT" w:eastAsia="it-IT"/>
              </w:rPr>
            </w:pPr>
            <w:proofErr w:type="spellStart"/>
            <w:r w:rsidRPr="004B041B">
              <w:rPr>
                <w:color w:val="000000"/>
                <w:sz w:val="18"/>
                <w:szCs w:val="18"/>
                <w:lang w:val="it-IT" w:eastAsia="it-IT"/>
              </w:rPr>
              <w:t>Oleoside</w:t>
            </w:r>
            <w:proofErr w:type="spellEnd"/>
          </w:p>
        </w:tc>
        <w:tc>
          <w:tcPr>
            <w:tcW w:w="1370" w:type="dxa"/>
            <w:tcBorders>
              <w:top w:val="nil"/>
              <w:left w:val="nil"/>
              <w:bottom w:val="nil"/>
              <w:right w:val="nil"/>
            </w:tcBorders>
            <w:shd w:val="clear" w:color="auto" w:fill="auto"/>
            <w:noWrap/>
            <w:vAlign w:val="bottom"/>
            <w:hideMark/>
          </w:tcPr>
          <w:p w14:paraId="4BA23FE4"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316,17</w:t>
            </w:r>
          </w:p>
        </w:tc>
      </w:tr>
      <w:tr w:rsidR="004B041B" w:rsidRPr="004B041B" w14:paraId="42EF9FA8"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23D004BE" w14:textId="209C1E3E" w:rsidR="004B041B" w:rsidRPr="004B041B" w:rsidRDefault="004B041B" w:rsidP="004B041B">
            <w:pPr>
              <w:spacing w:line="240" w:lineRule="auto"/>
              <w:jc w:val="left"/>
              <w:rPr>
                <w:color w:val="000000"/>
                <w:sz w:val="18"/>
                <w:szCs w:val="18"/>
                <w:lang w:val="it-IT" w:eastAsia="it-IT"/>
              </w:rPr>
            </w:pPr>
            <w:r w:rsidRPr="004B041B">
              <w:rPr>
                <w:color w:val="000000"/>
                <w:sz w:val="18"/>
                <w:szCs w:val="18"/>
                <w:lang w:val="it-IT" w:eastAsia="it-IT"/>
              </w:rPr>
              <w:t>Verbascoside</w:t>
            </w:r>
          </w:p>
        </w:tc>
        <w:tc>
          <w:tcPr>
            <w:tcW w:w="1370" w:type="dxa"/>
            <w:tcBorders>
              <w:top w:val="nil"/>
              <w:left w:val="nil"/>
              <w:bottom w:val="nil"/>
              <w:right w:val="nil"/>
            </w:tcBorders>
            <w:shd w:val="clear" w:color="auto" w:fill="auto"/>
            <w:noWrap/>
            <w:vAlign w:val="bottom"/>
            <w:hideMark/>
          </w:tcPr>
          <w:p w14:paraId="7E52A0CC"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1269,68</w:t>
            </w:r>
          </w:p>
        </w:tc>
      </w:tr>
      <w:tr w:rsidR="004B041B" w:rsidRPr="004B041B" w14:paraId="476D089B"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7DCCB915" w14:textId="76211287" w:rsidR="004B041B" w:rsidRPr="004B041B" w:rsidRDefault="004B041B" w:rsidP="004B041B">
            <w:pPr>
              <w:spacing w:line="240" w:lineRule="auto"/>
              <w:jc w:val="left"/>
              <w:rPr>
                <w:color w:val="000000"/>
                <w:sz w:val="18"/>
                <w:szCs w:val="18"/>
                <w:lang w:val="it-IT" w:eastAsia="it-IT"/>
              </w:rPr>
            </w:pPr>
            <w:proofErr w:type="spellStart"/>
            <w:r w:rsidRPr="004B041B">
              <w:rPr>
                <w:color w:val="000000"/>
                <w:sz w:val="18"/>
                <w:szCs w:val="18"/>
                <w:lang w:val="it-IT" w:eastAsia="it-IT"/>
              </w:rPr>
              <w:t>Verbascoside</w:t>
            </w:r>
            <w:proofErr w:type="spellEnd"/>
            <w:r w:rsidRPr="004B041B">
              <w:rPr>
                <w:color w:val="000000"/>
                <w:sz w:val="18"/>
                <w:szCs w:val="18"/>
                <w:lang w:val="it-IT" w:eastAsia="it-IT"/>
              </w:rPr>
              <w:t xml:space="preserve"> </w:t>
            </w:r>
            <w:proofErr w:type="spellStart"/>
            <w:r w:rsidRPr="004B041B">
              <w:rPr>
                <w:color w:val="000000"/>
                <w:sz w:val="18"/>
                <w:szCs w:val="18"/>
                <w:lang w:val="it-IT" w:eastAsia="it-IT"/>
              </w:rPr>
              <w:t>Derivatives</w:t>
            </w:r>
            <w:proofErr w:type="spellEnd"/>
          </w:p>
        </w:tc>
        <w:tc>
          <w:tcPr>
            <w:tcW w:w="1370" w:type="dxa"/>
            <w:tcBorders>
              <w:top w:val="nil"/>
              <w:left w:val="nil"/>
              <w:bottom w:val="nil"/>
              <w:right w:val="nil"/>
            </w:tcBorders>
            <w:shd w:val="clear" w:color="auto" w:fill="auto"/>
            <w:noWrap/>
            <w:vAlign w:val="bottom"/>
            <w:hideMark/>
          </w:tcPr>
          <w:p w14:paraId="31E55EA7"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728,93</w:t>
            </w:r>
          </w:p>
        </w:tc>
      </w:tr>
      <w:tr w:rsidR="004B041B" w:rsidRPr="004B041B" w14:paraId="39E2B1D1"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3CEFF747" w14:textId="7DB00DAE" w:rsidR="004B041B" w:rsidRPr="004B041B" w:rsidRDefault="004B041B" w:rsidP="004B041B">
            <w:pPr>
              <w:spacing w:line="240" w:lineRule="auto"/>
              <w:jc w:val="left"/>
              <w:rPr>
                <w:color w:val="000000"/>
                <w:sz w:val="18"/>
                <w:szCs w:val="18"/>
                <w:lang w:val="it-IT" w:eastAsia="it-IT"/>
              </w:rPr>
            </w:pPr>
            <w:r w:rsidRPr="004B041B">
              <w:rPr>
                <w:color w:val="000000"/>
                <w:sz w:val="18"/>
                <w:szCs w:val="18"/>
                <w:lang w:val="it-IT" w:eastAsia="it-IT"/>
              </w:rPr>
              <w:t>Oleuropein</w:t>
            </w:r>
          </w:p>
        </w:tc>
        <w:tc>
          <w:tcPr>
            <w:tcW w:w="1370" w:type="dxa"/>
            <w:tcBorders>
              <w:top w:val="nil"/>
              <w:left w:val="nil"/>
              <w:bottom w:val="nil"/>
              <w:right w:val="nil"/>
            </w:tcBorders>
            <w:shd w:val="clear" w:color="auto" w:fill="auto"/>
            <w:noWrap/>
            <w:vAlign w:val="bottom"/>
            <w:hideMark/>
          </w:tcPr>
          <w:p w14:paraId="5CEE37E2"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4142,81</w:t>
            </w:r>
          </w:p>
        </w:tc>
      </w:tr>
      <w:tr w:rsidR="004B041B" w:rsidRPr="004B041B" w14:paraId="2A914F44"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48CC7B2A" w14:textId="224700FF" w:rsidR="004B041B" w:rsidRPr="004B041B" w:rsidRDefault="004B041B" w:rsidP="004B041B">
            <w:pPr>
              <w:spacing w:line="240" w:lineRule="auto"/>
              <w:jc w:val="left"/>
              <w:rPr>
                <w:color w:val="000000"/>
                <w:sz w:val="18"/>
                <w:szCs w:val="18"/>
                <w:lang w:val="it-IT" w:eastAsia="it-IT"/>
              </w:rPr>
            </w:pPr>
            <w:proofErr w:type="spellStart"/>
            <w:r w:rsidRPr="004B041B">
              <w:rPr>
                <w:color w:val="000000"/>
                <w:sz w:val="18"/>
                <w:szCs w:val="18"/>
                <w:lang w:val="it-IT" w:eastAsia="it-IT"/>
              </w:rPr>
              <w:t>Luteolin</w:t>
            </w:r>
            <w:proofErr w:type="spellEnd"/>
            <w:r w:rsidRPr="004B041B">
              <w:rPr>
                <w:color w:val="000000"/>
                <w:sz w:val="18"/>
                <w:szCs w:val="18"/>
                <w:lang w:val="it-IT" w:eastAsia="it-IT"/>
              </w:rPr>
              <w:t xml:space="preserve"> Glucoside</w:t>
            </w:r>
          </w:p>
        </w:tc>
        <w:tc>
          <w:tcPr>
            <w:tcW w:w="1370" w:type="dxa"/>
            <w:tcBorders>
              <w:top w:val="nil"/>
              <w:left w:val="nil"/>
              <w:bottom w:val="nil"/>
              <w:right w:val="nil"/>
            </w:tcBorders>
            <w:shd w:val="clear" w:color="auto" w:fill="auto"/>
            <w:noWrap/>
            <w:vAlign w:val="bottom"/>
            <w:hideMark/>
          </w:tcPr>
          <w:p w14:paraId="679DC4BC"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815,00</w:t>
            </w:r>
          </w:p>
        </w:tc>
      </w:tr>
      <w:tr w:rsidR="004B041B" w:rsidRPr="004B041B" w14:paraId="51580F77" w14:textId="77777777" w:rsidTr="004B041B">
        <w:trPr>
          <w:trHeight w:val="314"/>
          <w:jc w:val="center"/>
        </w:trPr>
        <w:tc>
          <w:tcPr>
            <w:tcW w:w="3499" w:type="dxa"/>
            <w:tcBorders>
              <w:top w:val="nil"/>
              <w:left w:val="nil"/>
              <w:bottom w:val="nil"/>
              <w:right w:val="nil"/>
            </w:tcBorders>
            <w:shd w:val="clear" w:color="auto" w:fill="auto"/>
            <w:noWrap/>
            <w:vAlign w:val="bottom"/>
            <w:hideMark/>
          </w:tcPr>
          <w:p w14:paraId="239ABDEB" w14:textId="62E26B7C" w:rsidR="004B041B" w:rsidRPr="004B041B" w:rsidRDefault="004B041B" w:rsidP="004B041B">
            <w:pPr>
              <w:spacing w:line="240" w:lineRule="auto"/>
              <w:jc w:val="left"/>
              <w:rPr>
                <w:color w:val="000000"/>
                <w:sz w:val="18"/>
                <w:szCs w:val="18"/>
                <w:lang w:val="it-IT" w:eastAsia="it-IT"/>
              </w:rPr>
            </w:pPr>
            <w:proofErr w:type="spellStart"/>
            <w:r w:rsidRPr="004B041B">
              <w:rPr>
                <w:color w:val="000000"/>
                <w:sz w:val="18"/>
                <w:szCs w:val="18"/>
                <w:lang w:val="it-IT" w:eastAsia="it-IT"/>
              </w:rPr>
              <w:t>Luteolin</w:t>
            </w:r>
            <w:proofErr w:type="spellEnd"/>
            <w:r w:rsidRPr="004B041B">
              <w:rPr>
                <w:color w:val="000000"/>
                <w:sz w:val="18"/>
                <w:szCs w:val="18"/>
                <w:lang w:val="it-IT" w:eastAsia="it-IT"/>
              </w:rPr>
              <w:t xml:space="preserve"> </w:t>
            </w:r>
            <w:proofErr w:type="spellStart"/>
            <w:r w:rsidRPr="004B041B">
              <w:rPr>
                <w:color w:val="000000"/>
                <w:sz w:val="18"/>
                <w:szCs w:val="18"/>
                <w:lang w:val="it-IT" w:eastAsia="it-IT"/>
              </w:rPr>
              <w:t>Derivatives</w:t>
            </w:r>
            <w:proofErr w:type="spellEnd"/>
          </w:p>
        </w:tc>
        <w:tc>
          <w:tcPr>
            <w:tcW w:w="1370" w:type="dxa"/>
            <w:tcBorders>
              <w:top w:val="nil"/>
              <w:left w:val="nil"/>
              <w:bottom w:val="nil"/>
              <w:right w:val="nil"/>
            </w:tcBorders>
            <w:shd w:val="clear" w:color="auto" w:fill="auto"/>
            <w:noWrap/>
            <w:vAlign w:val="bottom"/>
            <w:hideMark/>
          </w:tcPr>
          <w:p w14:paraId="0274AE86" w14:textId="77777777" w:rsidR="004B041B" w:rsidRPr="004B041B" w:rsidRDefault="004B041B" w:rsidP="004B041B">
            <w:pPr>
              <w:spacing w:line="240" w:lineRule="auto"/>
              <w:jc w:val="center"/>
              <w:rPr>
                <w:color w:val="000000"/>
                <w:sz w:val="18"/>
                <w:szCs w:val="18"/>
                <w:lang w:val="it-IT" w:eastAsia="it-IT"/>
              </w:rPr>
            </w:pPr>
            <w:r w:rsidRPr="004B041B">
              <w:rPr>
                <w:color w:val="000000"/>
                <w:sz w:val="18"/>
                <w:szCs w:val="18"/>
                <w:lang w:val="it-IT" w:eastAsia="it-IT"/>
              </w:rPr>
              <w:t>174,00</w:t>
            </w:r>
          </w:p>
        </w:tc>
      </w:tr>
      <w:tr w:rsidR="004B041B" w:rsidRPr="004B041B" w14:paraId="03BB4985" w14:textId="77777777" w:rsidTr="004B041B">
        <w:trPr>
          <w:trHeight w:val="314"/>
          <w:jc w:val="center"/>
        </w:trPr>
        <w:tc>
          <w:tcPr>
            <w:tcW w:w="3499" w:type="dxa"/>
            <w:tcBorders>
              <w:top w:val="single" w:sz="4" w:space="0" w:color="auto"/>
              <w:left w:val="nil"/>
              <w:bottom w:val="single" w:sz="4" w:space="0" w:color="auto"/>
              <w:right w:val="nil"/>
            </w:tcBorders>
            <w:shd w:val="clear" w:color="auto" w:fill="auto"/>
            <w:noWrap/>
            <w:vAlign w:val="bottom"/>
            <w:hideMark/>
          </w:tcPr>
          <w:p w14:paraId="3A561855" w14:textId="77777777" w:rsidR="004B041B" w:rsidRPr="004B041B" w:rsidRDefault="004B041B" w:rsidP="004B041B">
            <w:pPr>
              <w:spacing w:line="240" w:lineRule="auto"/>
              <w:jc w:val="left"/>
              <w:rPr>
                <w:b/>
                <w:bCs/>
                <w:color w:val="000000"/>
                <w:sz w:val="18"/>
                <w:szCs w:val="18"/>
                <w:lang w:val="it-IT" w:eastAsia="it-IT"/>
              </w:rPr>
            </w:pPr>
            <w:r w:rsidRPr="004B041B">
              <w:rPr>
                <w:b/>
                <w:bCs/>
                <w:color w:val="000000"/>
                <w:sz w:val="18"/>
                <w:szCs w:val="18"/>
                <w:lang w:val="it-IT" w:eastAsia="it-IT"/>
              </w:rPr>
              <w:t xml:space="preserve">Total </w:t>
            </w:r>
            <w:proofErr w:type="spellStart"/>
            <w:r w:rsidRPr="004B041B">
              <w:rPr>
                <w:b/>
                <w:bCs/>
                <w:color w:val="000000"/>
                <w:sz w:val="18"/>
                <w:szCs w:val="18"/>
                <w:lang w:val="it-IT" w:eastAsia="it-IT"/>
              </w:rPr>
              <w:t>polyphenols</w:t>
            </w:r>
            <w:proofErr w:type="spellEnd"/>
          </w:p>
        </w:tc>
        <w:tc>
          <w:tcPr>
            <w:tcW w:w="1370" w:type="dxa"/>
            <w:tcBorders>
              <w:top w:val="single" w:sz="4" w:space="0" w:color="auto"/>
              <w:left w:val="nil"/>
              <w:bottom w:val="single" w:sz="4" w:space="0" w:color="auto"/>
              <w:right w:val="nil"/>
            </w:tcBorders>
            <w:shd w:val="clear" w:color="auto" w:fill="auto"/>
            <w:noWrap/>
            <w:vAlign w:val="bottom"/>
            <w:hideMark/>
          </w:tcPr>
          <w:p w14:paraId="13F04607" w14:textId="77777777" w:rsidR="004B041B" w:rsidRPr="004B041B" w:rsidRDefault="004B041B" w:rsidP="004B041B">
            <w:pPr>
              <w:spacing w:line="240" w:lineRule="auto"/>
              <w:jc w:val="center"/>
              <w:rPr>
                <w:b/>
                <w:bCs/>
                <w:color w:val="000000"/>
                <w:sz w:val="18"/>
                <w:szCs w:val="18"/>
                <w:lang w:val="it-IT" w:eastAsia="it-IT"/>
              </w:rPr>
            </w:pPr>
            <w:r w:rsidRPr="004B041B">
              <w:rPr>
                <w:b/>
                <w:bCs/>
                <w:color w:val="000000"/>
                <w:sz w:val="18"/>
                <w:szCs w:val="18"/>
                <w:lang w:val="it-IT" w:eastAsia="it-IT"/>
              </w:rPr>
              <w:t>10082,45</w:t>
            </w:r>
          </w:p>
        </w:tc>
      </w:tr>
    </w:tbl>
    <w:p w14:paraId="7BBB220D" w14:textId="77777777" w:rsidR="00FB6E44" w:rsidRPr="00CB1B1B" w:rsidRDefault="00FB6E44" w:rsidP="00CB1B1B"/>
    <w:p w14:paraId="50E5D511" w14:textId="77777777" w:rsidR="00CB1B1B" w:rsidRPr="00007115" w:rsidRDefault="00CB1B1B" w:rsidP="00AD7322">
      <w:pPr>
        <w:pStyle w:val="Titolo3"/>
        <w:numPr>
          <w:ilvl w:val="3"/>
          <w:numId w:val="6"/>
        </w:numPr>
        <w:spacing w:before="0" w:after="0" w:line="276" w:lineRule="auto"/>
      </w:pPr>
      <w:r w:rsidRPr="00007115">
        <w:t xml:space="preserve">HPLC-DAD-MS characterization of by-products from </w:t>
      </w:r>
      <w:r>
        <w:t xml:space="preserve">Vitis vinifera </w:t>
      </w:r>
      <w:r w:rsidRPr="00007115">
        <w:t>L</w:t>
      </w:r>
      <w:r>
        <w:t>.</w:t>
      </w:r>
    </w:p>
    <w:p w14:paraId="1C2BCBE3" w14:textId="465BB977" w:rsidR="00CB1B1B" w:rsidRPr="00007115" w:rsidRDefault="00CB1B1B" w:rsidP="00CB1B1B">
      <w:r w:rsidRPr="000E7099">
        <w:t xml:space="preserve">The by-products of the wine chain including the micronized grape </w:t>
      </w:r>
      <w:r>
        <w:t>skin</w:t>
      </w:r>
      <w:r w:rsidRPr="000E7099">
        <w:t xml:space="preserve"> and grape seeds were analyzed by HPLC-DAD-MS. The main molecules of these two products are represented by procyanidins and anthocyan</w:t>
      </w:r>
      <w:r>
        <w:t>ins</w:t>
      </w:r>
      <w:r w:rsidRPr="000E7099">
        <w:t>, many studies have shown the functional value of these two molecules reacting to their antioxidant and antiradical power</w:t>
      </w:r>
      <w:r>
        <w:t xml:space="preserve"> (Romani et al., 2020)</w:t>
      </w:r>
      <w:r w:rsidRPr="000E7099">
        <w:t>. The tables below show the qualitative and quantitative characterizations of the analyzed samples</w:t>
      </w:r>
      <w:r>
        <w:t xml:space="preserve"> (Table </w:t>
      </w:r>
      <w:r w:rsidR="004B041B">
        <w:t>4</w:t>
      </w:r>
      <w:r>
        <w:t>)</w:t>
      </w:r>
    </w:p>
    <w:tbl>
      <w:tblPr>
        <w:tblW w:w="5380" w:type="dxa"/>
        <w:jc w:val="center"/>
        <w:tblCellMar>
          <w:left w:w="70" w:type="dxa"/>
          <w:right w:w="70" w:type="dxa"/>
        </w:tblCellMar>
        <w:tblLook w:val="04A0" w:firstRow="1" w:lastRow="0" w:firstColumn="1" w:lastColumn="0" w:noHBand="0" w:noVBand="1"/>
      </w:tblPr>
      <w:tblGrid>
        <w:gridCol w:w="3348"/>
        <w:gridCol w:w="1016"/>
        <w:gridCol w:w="1016"/>
      </w:tblGrid>
      <w:tr w:rsidR="00D112C7" w:rsidRPr="00D112C7" w14:paraId="23098353" w14:textId="77777777" w:rsidTr="000F63D4">
        <w:trPr>
          <w:trHeight w:val="1172"/>
          <w:jc w:val="center"/>
        </w:trPr>
        <w:tc>
          <w:tcPr>
            <w:tcW w:w="5380" w:type="dxa"/>
            <w:gridSpan w:val="3"/>
            <w:tcBorders>
              <w:top w:val="nil"/>
              <w:left w:val="nil"/>
              <w:bottom w:val="single" w:sz="4" w:space="0" w:color="auto"/>
              <w:right w:val="nil"/>
            </w:tcBorders>
            <w:shd w:val="clear" w:color="auto" w:fill="auto"/>
            <w:vAlign w:val="center"/>
            <w:hideMark/>
          </w:tcPr>
          <w:p w14:paraId="136EF714" w14:textId="44719D32" w:rsidR="00D112C7" w:rsidRPr="00D112C7" w:rsidRDefault="00D112C7" w:rsidP="001C2BDD">
            <w:pPr>
              <w:spacing w:line="240" w:lineRule="auto"/>
              <w:rPr>
                <w:color w:val="000000"/>
                <w:sz w:val="20"/>
                <w:lang w:eastAsia="it-IT"/>
              </w:rPr>
            </w:pPr>
            <w:r w:rsidRPr="00D112C7">
              <w:rPr>
                <w:color w:val="000000"/>
                <w:sz w:val="20"/>
                <w:lang w:eastAsia="it-IT"/>
              </w:rPr>
              <w:t xml:space="preserve">Table </w:t>
            </w:r>
            <w:r>
              <w:rPr>
                <w:color w:val="000000"/>
                <w:sz w:val="20"/>
                <w:lang w:eastAsia="it-IT"/>
              </w:rPr>
              <w:t>4</w:t>
            </w:r>
            <w:r w:rsidRPr="00D112C7">
              <w:rPr>
                <w:color w:val="000000"/>
                <w:sz w:val="20"/>
                <w:lang w:eastAsia="it-IT"/>
              </w:rPr>
              <w:t>. Quali-quantitative HPLC</w:t>
            </w:r>
            <w:r w:rsidR="001C2BDD">
              <w:rPr>
                <w:color w:val="000000"/>
                <w:sz w:val="20"/>
                <w:lang w:eastAsia="it-IT"/>
              </w:rPr>
              <w:t>-</w:t>
            </w:r>
            <w:r w:rsidRPr="00D112C7">
              <w:rPr>
                <w:color w:val="000000"/>
                <w:sz w:val="20"/>
                <w:lang w:eastAsia="it-IT"/>
              </w:rPr>
              <w:t>DAD</w:t>
            </w:r>
            <w:r w:rsidR="001C2BDD">
              <w:rPr>
                <w:color w:val="000000"/>
                <w:sz w:val="20"/>
                <w:lang w:eastAsia="it-IT"/>
              </w:rPr>
              <w:t>-</w:t>
            </w:r>
            <w:r w:rsidRPr="00D112C7">
              <w:rPr>
                <w:color w:val="000000"/>
                <w:sz w:val="20"/>
                <w:lang w:eastAsia="it-IT"/>
              </w:rPr>
              <w:t xml:space="preserve">MS analysis of polyphenols in the micronized powders, data expressed in mg/g compounds in each of the analyzed powders.  GSE: micronized </w:t>
            </w:r>
            <w:proofErr w:type="spellStart"/>
            <w:r w:rsidRPr="00D112C7">
              <w:rPr>
                <w:color w:val="000000"/>
                <w:sz w:val="20"/>
                <w:lang w:eastAsia="it-IT"/>
              </w:rPr>
              <w:t>greape</w:t>
            </w:r>
            <w:proofErr w:type="spellEnd"/>
            <w:r w:rsidRPr="00D112C7">
              <w:rPr>
                <w:color w:val="000000"/>
                <w:sz w:val="20"/>
                <w:lang w:eastAsia="it-IT"/>
              </w:rPr>
              <w:t xml:space="preserve"> seeds ; GSK: micronized </w:t>
            </w:r>
            <w:proofErr w:type="spellStart"/>
            <w:r w:rsidRPr="00D112C7">
              <w:rPr>
                <w:color w:val="000000"/>
                <w:sz w:val="20"/>
                <w:lang w:eastAsia="it-IT"/>
              </w:rPr>
              <w:t>greape</w:t>
            </w:r>
            <w:proofErr w:type="spellEnd"/>
            <w:r w:rsidRPr="00D112C7">
              <w:rPr>
                <w:color w:val="000000"/>
                <w:sz w:val="20"/>
                <w:lang w:eastAsia="it-IT"/>
              </w:rPr>
              <w:t xml:space="preserve"> skin </w:t>
            </w:r>
          </w:p>
        </w:tc>
      </w:tr>
      <w:tr w:rsidR="00D112C7" w:rsidRPr="00D112C7" w14:paraId="61E0A316" w14:textId="77777777" w:rsidTr="00D112C7">
        <w:trPr>
          <w:trHeight w:val="300"/>
          <w:jc w:val="center"/>
        </w:trPr>
        <w:tc>
          <w:tcPr>
            <w:tcW w:w="3348" w:type="dxa"/>
            <w:tcBorders>
              <w:top w:val="nil"/>
              <w:left w:val="nil"/>
              <w:bottom w:val="single" w:sz="4" w:space="0" w:color="auto"/>
              <w:right w:val="nil"/>
            </w:tcBorders>
            <w:shd w:val="clear" w:color="auto" w:fill="auto"/>
            <w:noWrap/>
            <w:vAlign w:val="bottom"/>
            <w:hideMark/>
          </w:tcPr>
          <w:p w14:paraId="3EFFBE73" w14:textId="77777777" w:rsidR="00D112C7" w:rsidRPr="00D112C7" w:rsidRDefault="00D112C7" w:rsidP="00D112C7">
            <w:pPr>
              <w:spacing w:line="240" w:lineRule="auto"/>
              <w:jc w:val="left"/>
              <w:rPr>
                <w:b/>
                <w:bCs/>
                <w:color w:val="000000"/>
                <w:sz w:val="20"/>
                <w:lang w:eastAsia="it-IT"/>
              </w:rPr>
            </w:pPr>
            <w:r w:rsidRPr="00D112C7">
              <w:rPr>
                <w:b/>
                <w:bCs/>
                <w:color w:val="000000"/>
                <w:sz w:val="20"/>
                <w:lang w:eastAsia="it-IT"/>
              </w:rPr>
              <w:t> </w:t>
            </w:r>
          </w:p>
        </w:tc>
        <w:tc>
          <w:tcPr>
            <w:tcW w:w="1016" w:type="dxa"/>
            <w:tcBorders>
              <w:top w:val="nil"/>
              <w:left w:val="nil"/>
              <w:bottom w:val="single" w:sz="4" w:space="0" w:color="auto"/>
              <w:right w:val="nil"/>
            </w:tcBorders>
            <w:shd w:val="clear" w:color="auto" w:fill="auto"/>
            <w:noWrap/>
            <w:vAlign w:val="bottom"/>
            <w:hideMark/>
          </w:tcPr>
          <w:p w14:paraId="743A1D90" w14:textId="77777777" w:rsidR="00D112C7" w:rsidRPr="00D112C7" w:rsidRDefault="00D112C7" w:rsidP="00D112C7">
            <w:pPr>
              <w:spacing w:line="240" w:lineRule="auto"/>
              <w:jc w:val="center"/>
              <w:rPr>
                <w:b/>
                <w:bCs/>
                <w:color w:val="000000"/>
                <w:sz w:val="20"/>
                <w:lang w:val="it-IT" w:eastAsia="it-IT"/>
              </w:rPr>
            </w:pPr>
            <w:r w:rsidRPr="00D112C7">
              <w:rPr>
                <w:b/>
                <w:bCs/>
                <w:color w:val="000000"/>
                <w:sz w:val="20"/>
                <w:lang w:val="it-IT" w:eastAsia="it-IT"/>
              </w:rPr>
              <w:t>GSE</w:t>
            </w:r>
          </w:p>
        </w:tc>
        <w:tc>
          <w:tcPr>
            <w:tcW w:w="1016" w:type="dxa"/>
            <w:tcBorders>
              <w:top w:val="nil"/>
              <w:left w:val="nil"/>
              <w:bottom w:val="single" w:sz="4" w:space="0" w:color="auto"/>
              <w:right w:val="nil"/>
            </w:tcBorders>
            <w:shd w:val="clear" w:color="auto" w:fill="auto"/>
            <w:noWrap/>
            <w:vAlign w:val="bottom"/>
            <w:hideMark/>
          </w:tcPr>
          <w:p w14:paraId="748D0AB4" w14:textId="77777777" w:rsidR="00D112C7" w:rsidRPr="00D112C7" w:rsidRDefault="00D112C7" w:rsidP="00D112C7">
            <w:pPr>
              <w:spacing w:line="240" w:lineRule="auto"/>
              <w:jc w:val="center"/>
              <w:rPr>
                <w:b/>
                <w:bCs/>
                <w:color w:val="000000"/>
                <w:sz w:val="20"/>
                <w:lang w:val="it-IT" w:eastAsia="it-IT"/>
              </w:rPr>
            </w:pPr>
            <w:r w:rsidRPr="00D112C7">
              <w:rPr>
                <w:b/>
                <w:bCs/>
                <w:color w:val="000000"/>
                <w:sz w:val="20"/>
                <w:lang w:val="it-IT" w:eastAsia="it-IT"/>
              </w:rPr>
              <w:t>GSK</w:t>
            </w:r>
          </w:p>
        </w:tc>
      </w:tr>
      <w:tr w:rsidR="00D112C7" w:rsidRPr="00D112C7" w14:paraId="006E05E7"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01DD5B09"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Gallic</w:t>
            </w:r>
            <w:proofErr w:type="spellEnd"/>
            <w:r w:rsidRPr="00D112C7">
              <w:rPr>
                <w:color w:val="000000"/>
                <w:sz w:val="20"/>
                <w:lang w:val="it-IT" w:eastAsia="it-IT"/>
              </w:rPr>
              <w:t xml:space="preserve"> acid</w:t>
            </w:r>
          </w:p>
        </w:tc>
        <w:tc>
          <w:tcPr>
            <w:tcW w:w="1016" w:type="dxa"/>
            <w:tcBorders>
              <w:top w:val="nil"/>
              <w:left w:val="nil"/>
              <w:bottom w:val="nil"/>
              <w:right w:val="nil"/>
            </w:tcBorders>
            <w:shd w:val="clear" w:color="auto" w:fill="auto"/>
            <w:vAlign w:val="bottom"/>
            <w:hideMark/>
          </w:tcPr>
          <w:p w14:paraId="23FA2C2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0,072</w:t>
            </w:r>
          </w:p>
        </w:tc>
        <w:tc>
          <w:tcPr>
            <w:tcW w:w="1016" w:type="dxa"/>
            <w:tcBorders>
              <w:top w:val="nil"/>
              <w:left w:val="nil"/>
              <w:bottom w:val="nil"/>
              <w:right w:val="nil"/>
            </w:tcBorders>
            <w:shd w:val="clear" w:color="auto" w:fill="auto"/>
            <w:vAlign w:val="bottom"/>
            <w:hideMark/>
          </w:tcPr>
          <w:p w14:paraId="4F7CC3BD"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0,052</w:t>
            </w:r>
          </w:p>
        </w:tc>
      </w:tr>
      <w:tr w:rsidR="00D112C7" w:rsidRPr="00D112C7" w14:paraId="4361D21E"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17E51309"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Other</w:t>
            </w:r>
            <w:proofErr w:type="spellEnd"/>
            <w:r w:rsidRPr="00D112C7">
              <w:rPr>
                <w:color w:val="000000"/>
                <w:sz w:val="20"/>
                <w:lang w:val="it-IT" w:eastAsia="it-IT"/>
              </w:rPr>
              <w:t xml:space="preserve"> </w:t>
            </w:r>
            <w:proofErr w:type="spellStart"/>
            <w:r w:rsidRPr="00D112C7">
              <w:rPr>
                <w:color w:val="000000"/>
                <w:sz w:val="20"/>
                <w:lang w:val="it-IT" w:eastAsia="it-IT"/>
              </w:rPr>
              <w:t>procyanidins</w:t>
            </w:r>
            <w:proofErr w:type="spellEnd"/>
          </w:p>
        </w:tc>
        <w:tc>
          <w:tcPr>
            <w:tcW w:w="1016" w:type="dxa"/>
            <w:tcBorders>
              <w:top w:val="nil"/>
              <w:left w:val="nil"/>
              <w:bottom w:val="nil"/>
              <w:right w:val="nil"/>
            </w:tcBorders>
            <w:shd w:val="clear" w:color="auto" w:fill="auto"/>
            <w:vAlign w:val="bottom"/>
            <w:hideMark/>
          </w:tcPr>
          <w:p w14:paraId="4A1808E0"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0,772</w:t>
            </w:r>
          </w:p>
        </w:tc>
        <w:tc>
          <w:tcPr>
            <w:tcW w:w="1016" w:type="dxa"/>
            <w:tcBorders>
              <w:top w:val="nil"/>
              <w:left w:val="nil"/>
              <w:bottom w:val="nil"/>
              <w:right w:val="nil"/>
            </w:tcBorders>
            <w:shd w:val="clear" w:color="auto" w:fill="auto"/>
            <w:vAlign w:val="bottom"/>
            <w:hideMark/>
          </w:tcPr>
          <w:p w14:paraId="17195F1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0,08</w:t>
            </w:r>
          </w:p>
        </w:tc>
      </w:tr>
      <w:tr w:rsidR="00D112C7" w:rsidRPr="00D112C7" w14:paraId="2F4C63E9"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1AC69DCB"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Catechin</w:t>
            </w:r>
            <w:proofErr w:type="spellEnd"/>
            <w:r w:rsidRPr="00D112C7">
              <w:rPr>
                <w:color w:val="000000"/>
                <w:sz w:val="20"/>
                <w:lang w:val="it-IT" w:eastAsia="it-IT"/>
              </w:rPr>
              <w:t xml:space="preserve"> </w:t>
            </w:r>
            <w:proofErr w:type="spellStart"/>
            <w:r w:rsidRPr="00D112C7">
              <w:rPr>
                <w:color w:val="000000"/>
                <w:sz w:val="20"/>
                <w:lang w:val="it-IT" w:eastAsia="it-IT"/>
              </w:rPr>
              <w:t>dimer</w:t>
            </w:r>
            <w:proofErr w:type="spellEnd"/>
            <w:r w:rsidRPr="00D112C7">
              <w:rPr>
                <w:color w:val="000000"/>
                <w:sz w:val="20"/>
                <w:lang w:val="it-IT" w:eastAsia="it-IT"/>
              </w:rPr>
              <w:t xml:space="preserve"> B3</w:t>
            </w:r>
          </w:p>
        </w:tc>
        <w:tc>
          <w:tcPr>
            <w:tcW w:w="1016" w:type="dxa"/>
            <w:tcBorders>
              <w:top w:val="nil"/>
              <w:left w:val="nil"/>
              <w:bottom w:val="nil"/>
              <w:right w:val="nil"/>
            </w:tcBorders>
            <w:shd w:val="clear" w:color="auto" w:fill="auto"/>
            <w:vAlign w:val="bottom"/>
            <w:hideMark/>
          </w:tcPr>
          <w:p w14:paraId="50A046DE"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1,446</w:t>
            </w:r>
          </w:p>
        </w:tc>
        <w:tc>
          <w:tcPr>
            <w:tcW w:w="1016" w:type="dxa"/>
            <w:tcBorders>
              <w:top w:val="nil"/>
              <w:left w:val="nil"/>
              <w:bottom w:val="nil"/>
              <w:right w:val="nil"/>
            </w:tcBorders>
            <w:shd w:val="clear" w:color="auto" w:fill="auto"/>
            <w:vAlign w:val="bottom"/>
            <w:hideMark/>
          </w:tcPr>
          <w:p w14:paraId="2FCB8F7C"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0,416</w:t>
            </w:r>
          </w:p>
        </w:tc>
      </w:tr>
      <w:tr w:rsidR="00D112C7" w:rsidRPr="00D112C7" w14:paraId="21E94510"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20A1AFA6"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Epicatechin</w:t>
            </w:r>
            <w:proofErr w:type="spellEnd"/>
          </w:p>
        </w:tc>
        <w:tc>
          <w:tcPr>
            <w:tcW w:w="1016" w:type="dxa"/>
            <w:tcBorders>
              <w:top w:val="nil"/>
              <w:left w:val="nil"/>
              <w:bottom w:val="nil"/>
              <w:right w:val="nil"/>
            </w:tcBorders>
            <w:shd w:val="clear" w:color="auto" w:fill="auto"/>
            <w:vAlign w:val="bottom"/>
            <w:hideMark/>
          </w:tcPr>
          <w:p w14:paraId="75DC2A26"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0,281</w:t>
            </w:r>
          </w:p>
        </w:tc>
        <w:tc>
          <w:tcPr>
            <w:tcW w:w="1016" w:type="dxa"/>
            <w:tcBorders>
              <w:top w:val="nil"/>
              <w:left w:val="nil"/>
              <w:bottom w:val="nil"/>
              <w:right w:val="nil"/>
            </w:tcBorders>
            <w:shd w:val="clear" w:color="auto" w:fill="auto"/>
            <w:vAlign w:val="bottom"/>
            <w:hideMark/>
          </w:tcPr>
          <w:p w14:paraId="1A49F283"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0,012</w:t>
            </w:r>
          </w:p>
        </w:tc>
      </w:tr>
      <w:tr w:rsidR="00D112C7" w:rsidRPr="00D112C7" w14:paraId="3D03F019"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0D0B3681"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Catechin</w:t>
            </w:r>
            <w:proofErr w:type="spellEnd"/>
            <w:r w:rsidRPr="00D112C7">
              <w:rPr>
                <w:color w:val="000000"/>
                <w:sz w:val="20"/>
                <w:lang w:val="it-IT" w:eastAsia="it-IT"/>
              </w:rPr>
              <w:t xml:space="preserve"> </w:t>
            </w:r>
            <w:proofErr w:type="spellStart"/>
            <w:r w:rsidRPr="00D112C7">
              <w:rPr>
                <w:color w:val="000000"/>
                <w:sz w:val="20"/>
                <w:lang w:val="it-IT" w:eastAsia="it-IT"/>
              </w:rPr>
              <w:t>trimer</w:t>
            </w:r>
            <w:proofErr w:type="spellEnd"/>
          </w:p>
        </w:tc>
        <w:tc>
          <w:tcPr>
            <w:tcW w:w="1016" w:type="dxa"/>
            <w:tcBorders>
              <w:top w:val="nil"/>
              <w:left w:val="nil"/>
              <w:bottom w:val="nil"/>
              <w:right w:val="nil"/>
            </w:tcBorders>
            <w:shd w:val="clear" w:color="auto" w:fill="auto"/>
            <w:vAlign w:val="bottom"/>
            <w:hideMark/>
          </w:tcPr>
          <w:p w14:paraId="0236B57B"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2,082</w:t>
            </w:r>
          </w:p>
        </w:tc>
        <w:tc>
          <w:tcPr>
            <w:tcW w:w="1016" w:type="dxa"/>
            <w:tcBorders>
              <w:top w:val="nil"/>
              <w:left w:val="nil"/>
              <w:bottom w:val="nil"/>
              <w:right w:val="nil"/>
            </w:tcBorders>
            <w:shd w:val="clear" w:color="auto" w:fill="auto"/>
            <w:vAlign w:val="bottom"/>
            <w:hideMark/>
          </w:tcPr>
          <w:p w14:paraId="07DCCF2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0,435</w:t>
            </w:r>
          </w:p>
        </w:tc>
      </w:tr>
      <w:tr w:rsidR="00D112C7" w:rsidRPr="00D112C7" w14:paraId="22A2D276"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5B1ED340"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Epicatechin</w:t>
            </w:r>
            <w:proofErr w:type="spellEnd"/>
            <w:r w:rsidRPr="00D112C7">
              <w:rPr>
                <w:color w:val="000000"/>
                <w:sz w:val="20"/>
                <w:lang w:val="it-IT" w:eastAsia="it-IT"/>
              </w:rPr>
              <w:t xml:space="preserve"> gallate </w:t>
            </w:r>
            <w:proofErr w:type="spellStart"/>
            <w:r w:rsidRPr="00D112C7">
              <w:rPr>
                <w:color w:val="000000"/>
                <w:sz w:val="20"/>
                <w:lang w:val="it-IT" w:eastAsia="it-IT"/>
              </w:rPr>
              <w:t>dimer</w:t>
            </w:r>
            <w:proofErr w:type="spellEnd"/>
          </w:p>
        </w:tc>
        <w:tc>
          <w:tcPr>
            <w:tcW w:w="1016" w:type="dxa"/>
            <w:tcBorders>
              <w:top w:val="nil"/>
              <w:left w:val="nil"/>
              <w:bottom w:val="nil"/>
              <w:right w:val="nil"/>
            </w:tcBorders>
            <w:shd w:val="clear" w:color="auto" w:fill="auto"/>
            <w:vAlign w:val="bottom"/>
            <w:hideMark/>
          </w:tcPr>
          <w:p w14:paraId="489B298C"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0,552</w:t>
            </w:r>
          </w:p>
        </w:tc>
        <w:tc>
          <w:tcPr>
            <w:tcW w:w="1016" w:type="dxa"/>
            <w:tcBorders>
              <w:top w:val="nil"/>
              <w:left w:val="nil"/>
              <w:bottom w:val="nil"/>
              <w:right w:val="nil"/>
            </w:tcBorders>
            <w:shd w:val="clear" w:color="auto" w:fill="auto"/>
            <w:vAlign w:val="bottom"/>
            <w:hideMark/>
          </w:tcPr>
          <w:p w14:paraId="0395BDE6"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0,192</w:t>
            </w:r>
          </w:p>
        </w:tc>
      </w:tr>
      <w:tr w:rsidR="00D112C7" w:rsidRPr="00D112C7" w14:paraId="2460F67B"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5B70AB4B"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Catechin</w:t>
            </w:r>
            <w:proofErr w:type="spellEnd"/>
            <w:r w:rsidRPr="00D112C7">
              <w:rPr>
                <w:color w:val="000000"/>
                <w:sz w:val="20"/>
                <w:lang w:val="it-IT" w:eastAsia="it-IT"/>
              </w:rPr>
              <w:t xml:space="preserve"> </w:t>
            </w:r>
            <w:proofErr w:type="spellStart"/>
            <w:r w:rsidRPr="00D112C7">
              <w:rPr>
                <w:color w:val="000000"/>
                <w:sz w:val="20"/>
                <w:lang w:val="it-IT" w:eastAsia="it-IT"/>
              </w:rPr>
              <w:t>tetramers</w:t>
            </w:r>
            <w:proofErr w:type="spellEnd"/>
          </w:p>
        </w:tc>
        <w:tc>
          <w:tcPr>
            <w:tcW w:w="1016" w:type="dxa"/>
            <w:tcBorders>
              <w:top w:val="nil"/>
              <w:left w:val="nil"/>
              <w:bottom w:val="nil"/>
              <w:right w:val="nil"/>
            </w:tcBorders>
            <w:shd w:val="clear" w:color="auto" w:fill="auto"/>
            <w:vAlign w:val="bottom"/>
            <w:hideMark/>
          </w:tcPr>
          <w:p w14:paraId="0C683F74"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24,694</w:t>
            </w:r>
          </w:p>
        </w:tc>
        <w:tc>
          <w:tcPr>
            <w:tcW w:w="1016" w:type="dxa"/>
            <w:tcBorders>
              <w:top w:val="nil"/>
              <w:left w:val="nil"/>
              <w:bottom w:val="nil"/>
              <w:right w:val="nil"/>
            </w:tcBorders>
            <w:shd w:val="clear" w:color="auto" w:fill="auto"/>
            <w:vAlign w:val="bottom"/>
            <w:hideMark/>
          </w:tcPr>
          <w:p w14:paraId="16570B80"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15,875</w:t>
            </w:r>
          </w:p>
        </w:tc>
      </w:tr>
      <w:tr w:rsidR="00D112C7" w:rsidRPr="00D112C7" w14:paraId="488203B3"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36DCA360"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Epigallocatechin</w:t>
            </w:r>
            <w:proofErr w:type="spellEnd"/>
            <w:r w:rsidRPr="00D112C7">
              <w:rPr>
                <w:color w:val="000000"/>
                <w:sz w:val="20"/>
                <w:lang w:val="it-IT" w:eastAsia="it-IT"/>
              </w:rPr>
              <w:t xml:space="preserve"> </w:t>
            </w:r>
            <w:proofErr w:type="spellStart"/>
            <w:r w:rsidRPr="00D112C7">
              <w:rPr>
                <w:color w:val="000000"/>
                <w:sz w:val="20"/>
                <w:lang w:val="it-IT" w:eastAsia="it-IT"/>
              </w:rPr>
              <w:t>dimer</w:t>
            </w:r>
            <w:proofErr w:type="spellEnd"/>
          </w:p>
        </w:tc>
        <w:tc>
          <w:tcPr>
            <w:tcW w:w="1016" w:type="dxa"/>
            <w:tcBorders>
              <w:top w:val="nil"/>
              <w:left w:val="nil"/>
              <w:bottom w:val="nil"/>
              <w:right w:val="nil"/>
            </w:tcBorders>
            <w:shd w:val="clear" w:color="auto" w:fill="auto"/>
            <w:vAlign w:val="bottom"/>
            <w:hideMark/>
          </w:tcPr>
          <w:p w14:paraId="497479C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1,03</w:t>
            </w:r>
          </w:p>
        </w:tc>
        <w:tc>
          <w:tcPr>
            <w:tcW w:w="1016" w:type="dxa"/>
            <w:tcBorders>
              <w:top w:val="nil"/>
              <w:left w:val="nil"/>
              <w:bottom w:val="nil"/>
              <w:right w:val="nil"/>
            </w:tcBorders>
            <w:shd w:val="clear" w:color="auto" w:fill="auto"/>
            <w:vAlign w:val="bottom"/>
            <w:hideMark/>
          </w:tcPr>
          <w:p w14:paraId="1470DAAE"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7,6</w:t>
            </w:r>
          </w:p>
        </w:tc>
      </w:tr>
      <w:tr w:rsidR="00D112C7" w:rsidRPr="00D112C7" w14:paraId="59DAD1A0"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3ED4D699" w14:textId="77777777" w:rsidR="00D112C7" w:rsidRPr="00D112C7" w:rsidRDefault="00D112C7" w:rsidP="00D112C7">
            <w:pPr>
              <w:spacing w:line="240" w:lineRule="auto"/>
              <w:jc w:val="left"/>
              <w:rPr>
                <w:color w:val="000000"/>
                <w:sz w:val="20"/>
                <w:lang w:val="it-IT" w:eastAsia="it-IT"/>
              </w:rPr>
            </w:pPr>
            <w:proofErr w:type="spellStart"/>
            <w:r w:rsidRPr="00D112C7">
              <w:rPr>
                <w:color w:val="000000"/>
                <w:sz w:val="20"/>
                <w:lang w:val="it-IT" w:eastAsia="it-IT"/>
              </w:rPr>
              <w:t>Catechin</w:t>
            </w:r>
            <w:proofErr w:type="spellEnd"/>
            <w:r w:rsidRPr="00D112C7">
              <w:rPr>
                <w:color w:val="000000"/>
                <w:sz w:val="20"/>
                <w:lang w:val="it-IT" w:eastAsia="it-IT"/>
              </w:rPr>
              <w:t>/</w:t>
            </w:r>
            <w:proofErr w:type="spellStart"/>
            <w:r w:rsidRPr="00D112C7">
              <w:rPr>
                <w:color w:val="000000"/>
                <w:sz w:val="20"/>
                <w:lang w:val="it-IT" w:eastAsia="it-IT"/>
              </w:rPr>
              <w:t>epicatechin</w:t>
            </w:r>
            <w:proofErr w:type="spellEnd"/>
            <w:r w:rsidRPr="00D112C7">
              <w:rPr>
                <w:color w:val="000000"/>
                <w:sz w:val="20"/>
                <w:lang w:val="it-IT" w:eastAsia="it-IT"/>
              </w:rPr>
              <w:t xml:space="preserve"> </w:t>
            </w:r>
            <w:proofErr w:type="spellStart"/>
            <w:r w:rsidRPr="00D112C7">
              <w:rPr>
                <w:color w:val="000000"/>
                <w:sz w:val="20"/>
                <w:lang w:val="it-IT" w:eastAsia="it-IT"/>
              </w:rPr>
              <w:t>trimers</w:t>
            </w:r>
            <w:proofErr w:type="spellEnd"/>
            <w:r w:rsidRPr="00D112C7">
              <w:rPr>
                <w:color w:val="000000"/>
                <w:sz w:val="20"/>
                <w:lang w:val="it-IT" w:eastAsia="it-IT"/>
              </w:rPr>
              <w:t xml:space="preserve"> </w:t>
            </w:r>
            <w:proofErr w:type="spellStart"/>
            <w:r w:rsidRPr="00D112C7">
              <w:rPr>
                <w:color w:val="000000"/>
                <w:sz w:val="20"/>
                <w:lang w:val="it-IT" w:eastAsia="it-IT"/>
              </w:rPr>
              <w:t>digallated</w:t>
            </w:r>
            <w:proofErr w:type="spellEnd"/>
          </w:p>
        </w:tc>
        <w:tc>
          <w:tcPr>
            <w:tcW w:w="1016" w:type="dxa"/>
            <w:tcBorders>
              <w:top w:val="nil"/>
              <w:left w:val="nil"/>
              <w:bottom w:val="nil"/>
              <w:right w:val="nil"/>
            </w:tcBorders>
            <w:shd w:val="clear" w:color="auto" w:fill="auto"/>
            <w:vAlign w:val="bottom"/>
            <w:hideMark/>
          </w:tcPr>
          <w:p w14:paraId="06398CFE"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27,307</w:t>
            </w:r>
          </w:p>
        </w:tc>
        <w:tc>
          <w:tcPr>
            <w:tcW w:w="1016" w:type="dxa"/>
            <w:tcBorders>
              <w:top w:val="nil"/>
              <w:left w:val="nil"/>
              <w:bottom w:val="nil"/>
              <w:right w:val="nil"/>
            </w:tcBorders>
            <w:shd w:val="clear" w:color="auto" w:fill="auto"/>
            <w:vAlign w:val="bottom"/>
            <w:hideMark/>
          </w:tcPr>
          <w:p w14:paraId="68E2A4D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28,368</w:t>
            </w:r>
          </w:p>
        </w:tc>
      </w:tr>
      <w:tr w:rsidR="00D112C7" w:rsidRPr="00D112C7" w14:paraId="74249F77"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3AA8DB31"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lastRenderedPageBreak/>
              <w:t>Delphinidin-3-glucoside</w:t>
            </w:r>
          </w:p>
        </w:tc>
        <w:tc>
          <w:tcPr>
            <w:tcW w:w="1016" w:type="dxa"/>
            <w:tcBorders>
              <w:top w:val="nil"/>
              <w:left w:val="nil"/>
              <w:bottom w:val="nil"/>
              <w:right w:val="nil"/>
            </w:tcBorders>
            <w:shd w:val="clear" w:color="auto" w:fill="auto"/>
            <w:vAlign w:val="bottom"/>
            <w:hideMark/>
          </w:tcPr>
          <w:p w14:paraId="7AEDA823"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0,009</w:t>
            </w:r>
          </w:p>
        </w:tc>
        <w:tc>
          <w:tcPr>
            <w:tcW w:w="1016" w:type="dxa"/>
            <w:tcBorders>
              <w:top w:val="nil"/>
              <w:left w:val="nil"/>
              <w:bottom w:val="nil"/>
              <w:right w:val="nil"/>
            </w:tcBorders>
            <w:shd w:val="clear" w:color="auto" w:fill="auto"/>
            <w:vAlign w:val="bottom"/>
            <w:hideMark/>
          </w:tcPr>
          <w:p w14:paraId="0A582F8B"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0,017</w:t>
            </w:r>
          </w:p>
        </w:tc>
      </w:tr>
      <w:tr w:rsidR="00D112C7" w:rsidRPr="00D112C7" w14:paraId="4A7050E7"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3C068C5F"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Cyanidin-3-glucoside</w:t>
            </w:r>
          </w:p>
        </w:tc>
        <w:tc>
          <w:tcPr>
            <w:tcW w:w="1016" w:type="dxa"/>
            <w:tcBorders>
              <w:top w:val="nil"/>
              <w:left w:val="nil"/>
              <w:bottom w:val="nil"/>
              <w:right w:val="nil"/>
            </w:tcBorders>
            <w:shd w:val="clear" w:color="auto" w:fill="auto"/>
            <w:vAlign w:val="bottom"/>
            <w:hideMark/>
          </w:tcPr>
          <w:p w14:paraId="6243E0F7"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w:t>
            </w:r>
          </w:p>
        </w:tc>
        <w:tc>
          <w:tcPr>
            <w:tcW w:w="1016" w:type="dxa"/>
            <w:tcBorders>
              <w:top w:val="nil"/>
              <w:left w:val="nil"/>
              <w:bottom w:val="nil"/>
              <w:right w:val="nil"/>
            </w:tcBorders>
            <w:shd w:val="clear" w:color="auto" w:fill="auto"/>
            <w:vAlign w:val="bottom"/>
            <w:hideMark/>
          </w:tcPr>
          <w:p w14:paraId="611A565E"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0,002</w:t>
            </w:r>
          </w:p>
        </w:tc>
      </w:tr>
      <w:tr w:rsidR="00D112C7" w:rsidRPr="00D112C7" w14:paraId="0F52AF34"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51DC9851"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Petunidin-3-glucoside</w:t>
            </w:r>
          </w:p>
        </w:tc>
        <w:tc>
          <w:tcPr>
            <w:tcW w:w="1016" w:type="dxa"/>
            <w:tcBorders>
              <w:top w:val="nil"/>
              <w:left w:val="nil"/>
              <w:bottom w:val="nil"/>
              <w:right w:val="nil"/>
            </w:tcBorders>
            <w:shd w:val="clear" w:color="auto" w:fill="auto"/>
            <w:vAlign w:val="bottom"/>
            <w:hideMark/>
          </w:tcPr>
          <w:p w14:paraId="16CC3292"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0,014</w:t>
            </w:r>
          </w:p>
        </w:tc>
        <w:tc>
          <w:tcPr>
            <w:tcW w:w="1016" w:type="dxa"/>
            <w:tcBorders>
              <w:top w:val="nil"/>
              <w:left w:val="nil"/>
              <w:bottom w:val="nil"/>
              <w:right w:val="nil"/>
            </w:tcBorders>
            <w:shd w:val="clear" w:color="auto" w:fill="auto"/>
            <w:vAlign w:val="bottom"/>
            <w:hideMark/>
          </w:tcPr>
          <w:p w14:paraId="32BCC80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0,024</w:t>
            </w:r>
          </w:p>
        </w:tc>
      </w:tr>
      <w:tr w:rsidR="00D112C7" w:rsidRPr="00D112C7" w14:paraId="5E775632"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72181EA0"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Peonidin-3-glucoside</w:t>
            </w:r>
          </w:p>
        </w:tc>
        <w:tc>
          <w:tcPr>
            <w:tcW w:w="1016" w:type="dxa"/>
            <w:tcBorders>
              <w:top w:val="nil"/>
              <w:left w:val="nil"/>
              <w:bottom w:val="nil"/>
              <w:right w:val="nil"/>
            </w:tcBorders>
            <w:shd w:val="clear" w:color="auto" w:fill="auto"/>
            <w:vAlign w:val="bottom"/>
            <w:hideMark/>
          </w:tcPr>
          <w:p w14:paraId="225BDDEF"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w:t>
            </w:r>
          </w:p>
        </w:tc>
        <w:tc>
          <w:tcPr>
            <w:tcW w:w="1016" w:type="dxa"/>
            <w:tcBorders>
              <w:top w:val="nil"/>
              <w:left w:val="nil"/>
              <w:bottom w:val="nil"/>
              <w:right w:val="nil"/>
            </w:tcBorders>
            <w:shd w:val="clear" w:color="auto" w:fill="auto"/>
            <w:vAlign w:val="bottom"/>
            <w:hideMark/>
          </w:tcPr>
          <w:p w14:paraId="395DCC67"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w:t>
            </w:r>
          </w:p>
        </w:tc>
      </w:tr>
      <w:tr w:rsidR="00D112C7" w:rsidRPr="00D112C7" w14:paraId="0E826E6A"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2332A0A5"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Malvidin-3-glucoside</w:t>
            </w:r>
          </w:p>
        </w:tc>
        <w:tc>
          <w:tcPr>
            <w:tcW w:w="1016" w:type="dxa"/>
            <w:tcBorders>
              <w:top w:val="nil"/>
              <w:left w:val="nil"/>
              <w:bottom w:val="nil"/>
              <w:right w:val="nil"/>
            </w:tcBorders>
            <w:shd w:val="clear" w:color="auto" w:fill="auto"/>
            <w:vAlign w:val="bottom"/>
            <w:hideMark/>
          </w:tcPr>
          <w:p w14:paraId="6849A3AB"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0,048</w:t>
            </w:r>
          </w:p>
        </w:tc>
        <w:tc>
          <w:tcPr>
            <w:tcW w:w="1016" w:type="dxa"/>
            <w:tcBorders>
              <w:top w:val="nil"/>
              <w:left w:val="nil"/>
              <w:bottom w:val="nil"/>
              <w:right w:val="nil"/>
            </w:tcBorders>
            <w:shd w:val="clear" w:color="auto" w:fill="auto"/>
            <w:vAlign w:val="bottom"/>
            <w:hideMark/>
          </w:tcPr>
          <w:p w14:paraId="6C18CD21"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0,09</w:t>
            </w:r>
          </w:p>
        </w:tc>
      </w:tr>
      <w:tr w:rsidR="00D112C7" w:rsidRPr="00D112C7" w14:paraId="2C2B560D"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3CD2A310"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Delphinidin-3-acetylglucoside</w:t>
            </w:r>
          </w:p>
        </w:tc>
        <w:tc>
          <w:tcPr>
            <w:tcW w:w="1016" w:type="dxa"/>
            <w:tcBorders>
              <w:top w:val="nil"/>
              <w:left w:val="nil"/>
              <w:bottom w:val="nil"/>
              <w:right w:val="nil"/>
            </w:tcBorders>
            <w:shd w:val="clear" w:color="auto" w:fill="auto"/>
            <w:vAlign w:val="bottom"/>
            <w:hideMark/>
          </w:tcPr>
          <w:p w14:paraId="77C66C62"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0,003</w:t>
            </w:r>
          </w:p>
        </w:tc>
        <w:tc>
          <w:tcPr>
            <w:tcW w:w="1016" w:type="dxa"/>
            <w:tcBorders>
              <w:top w:val="nil"/>
              <w:left w:val="nil"/>
              <w:bottom w:val="nil"/>
              <w:right w:val="nil"/>
            </w:tcBorders>
            <w:shd w:val="clear" w:color="auto" w:fill="auto"/>
            <w:vAlign w:val="bottom"/>
            <w:hideMark/>
          </w:tcPr>
          <w:p w14:paraId="1238E810"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0,002</w:t>
            </w:r>
          </w:p>
        </w:tc>
      </w:tr>
      <w:tr w:rsidR="00D112C7" w:rsidRPr="00D112C7" w14:paraId="7FE550E9"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1590F8F5"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Cyanidin-3-acetylglucoside</w:t>
            </w:r>
          </w:p>
        </w:tc>
        <w:tc>
          <w:tcPr>
            <w:tcW w:w="1016" w:type="dxa"/>
            <w:tcBorders>
              <w:top w:val="nil"/>
              <w:left w:val="nil"/>
              <w:bottom w:val="nil"/>
              <w:right w:val="nil"/>
            </w:tcBorders>
            <w:shd w:val="clear" w:color="auto" w:fill="auto"/>
            <w:vAlign w:val="bottom"/>
            <w:hideMark/>
          </w:tcPr>
          <w:p w14:paraId="75AB865F"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0,005</w:t>
            </w:r>
          </w:p>
        </w:tc>
        <w:tc>
          <w:tcPr>
            <w:tcW w:w="1016" w:type="dxa"/>
            <w:tcBorders>
              <w:top w:val="nil"/>
              <w:left w:val="nil"/>
              <w:bottom w:val="nil"/>
              <w:right w:val="nil"/>
            </w:tcBorders>
            <w:shd w:val="clear" w:color="auto" w:fill="auto"/>
            <w:vAlign w:val="bottom"/>
            <w:hideMark/>
          </w:tcPr>
          <w:p w14:paraId="504EF3A1"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0,009</w:t>
            </w:r>
          </w:p>
        </w:tc>
      </w:tr>
      <w:tr w:rsidR="00D112C7" w:rsidRPr="00D112C7" w14:paraId="3B8340F5"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1B5DEA4A"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Petunidin-3-acetylglucoside</w:t>
            </w:r>
          </w:p>
        </w:tc>
        <w:tc>
          <w:tcPr>
            <w:tcW w:w="1016" w:type="dxa"/>
            <w:tcBorders>
              <w:top w:val="nil"/>
              <w:left w:val="nil"/>
              <w:bottom w:val="nil"/>
              <w:right w:val="nil"/>
            </w:tcBorders>
            <w:shd w:val="clear" w:color="auto" w:fill="auto"/>
            <w:vAlign w:val="bottom"/>
            <w:hideMark/>
          </w:tcPr>
          <w:p w14:paraId="7CF1E53B"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0,004</w:t>
            </w:r>
          </w:p>
        </w:tc>
        <w:tc>
          <w:tcPr>
            <w:tcW w:w="1016" w:type="dxa"/>
            <w:tcBorders>
              <w:top w:val="nil"/>
              <w:left w:val="nil"/>
              <w:bottom w:val="nil"/>
              <w:right w:val="nil"/>
            </w:tcBorders>
            <w:shd w:val="clear" w:color="auto" w:fill="auto"/>
            <w:vAlign w:val="bottom"/>
            <w:hideMark/>
          </w:tcPr>
          <w:p w14:paraId="66F40C28"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0,005</w:t>
            </w:r>
          </w:p>
        </w:tc>
      </w:tr>
      <w:tr w:rsidR="00D112C7" w:rsidRPr="00D112C7" w14:paraId="7D719F3F"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355FDC75"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Malvidin-3-acetylglucoside</w:t>
            </w:r>
          </w:p>
        </w:tc>
        <w:tc>
          <w:tcPr>
            <w:tcW w:w="1016" w:type="dxa"/>
            <w:tcBorders>
              <w:top w:val="nil"/>
              <w:left w:val="nil"/>
              <w:bottom w:val="nil"/>
              <w:right w:val="nil"/>
            </w:tcBorders>
            <w:shd w:val="clear" w:color="auto" w:fill="auto"/>
            <w:vAlign w:val="bottom"/>
            <w:hideMark/>
          </w:tcPr>
          <w:p w14:paraId="39994C19"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0,004</w:t>
            </w:r>
          </w:p>
        </w:tc>
        <w:tc>
          <w:tcPr>
            <w:tcW w:w="1016" w:type="dxa"/>
            <w:tcBorders>
              <w:top w:val="nil"/>
              <w:left w:val="nil"/>
              <w:bottom w:val="nil"/>
              <w:right w:val="nil"/>
            </w:tcBorders>
            <w:shd w:val="clear" w:color="auto" w:fill="auto"/>
            <w:vAlign w:val="bottom"/>
            <w:hideMark/>
          </w:tcPr>
          <w:p w14:paraId="49091B85"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0,009</w:t>
            </w:r>
          </w:p>
        </w:tc>
      </w:tr>
      <w:tr w:rsidR="00D112C7" w:rsidRPr="00D112C7" w14:paraId="1F497DFD" w14:textId="77777777" w:rsidTr="00D112C7">
        <w:trPr>
          <w:trHeight w:val="300"/>
          <w:jc w:val="center"/>
        </w:trPr>
        <w:tc>
          <w:tcPr>
            <w:tcW w:w="3348" w:type="dxa"/>
            <w:tcBorders>
              <w:top w:val="nil"/>
              <w:left w:val="nil"/>
              <w:bottom w:val="nil"/>
              <w:right w:val="nil"/>
            </w:tcBorders>
            <w:shd w:val="clear" w:color="auto" w:fill="auto"/>
            <w:noWrap/>
            <w:vAlign w:val="bottom"/>
            <w:hideMark/>
          </w:tcPr>
          <w:p w14:paraId="0AF71D3D" w14:textId="77777777" w:rsidR="00D112C7" w:rsidRPr="00D112C7" w:rsidRDefault="00D112C7" w:rsidP="00D112C7">
            <w:pPr>
              <w:spacing w:line="240" w:lineRule="auto"/>
              <w:jc w:val="left"/>
              <w:rPr>
                <w:color w:val="000000"/>
                <w:sz w:val="20"/>
                <w:lang w:val="it-IT" w:eastAsia="it-IT"/>
              </w:rPr>
            </w:pPr>
            <w:r w:rsidRPr="00D112C7">
              <w:rPr>
                <w:color w:val="000000"/>
                <w:sz w:val="20"/>
                <w:lang w:val="it-IT" w:eastAsia="it-IT"/>
              </w:rPr>
              <w:t>Malvinidin-3-caffeoylglucoside</w:t>
            </w:r>
          </w:p>
        </w:tc>
        <w:tc>
          <w:tcPr>
            <w:tcW w:w="1016" w:type="dxa"/>
            <w:tcBorders>
              <w:top w:val="nil"/>
              <w:left w:val="nil"/>
              <w:bottom w:val="nil"/>
              <w:right w:val="nil"/>
            </w:tcBorders>
            <w:shd w:val="clear" w:color="auto" w:fill="auto"/>
            <w:vAlign w:val="bottom"/>
            <w:hideMark/>
          </w:tcPr>
          <w:p w14:paraId="45296F9F"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0,014</w:t>
            </w:r>
          </w:p>
        </w:tc>
        <w:tc>
          <w:tcPr>
            <w:tcW w:w="1016" w:type="dxa"/>
            <w:tcBorders>
              <w:top w:val="nil"/>
              <w:left w:val="nil"/>
              <w:bottom w:val="nil"/>
              <w:right w:val="nil"/>
            </w:tcBorders>
            <w:shd w:val="clear" w:color="auto" w:fill="auto"/>
            <w:vAlign w:val="bottom"/>
            <w:hideMark/>
          </w:tcPr>
          <w:p w14:paraId="61AC0505" w14:textId="77777777" w:rsidR="00D112C7" w:rsidRPr="00D112C7" w:rsidRDefault="00D112C7" w:rsidP="00D112C7">
            <w:pPr>
              <w:spacing w:line="240" w:lineRule="auto"/>
              <w:jc w:val="right"/>
              <w:rPr>
                <w:color w:val="000000"/>
                <w:sz w:val="20"/>
                <w:lang w:val="it-IT" w:eastAsia="it-IT"/>
              </w:rPr>
            </w:pPr>
            <w:r w:rsidRPr="00D112C7">
              <w:rPr>
                <w:color w:val="000000"/>
                <w:sz w:val="20"/>
                <w:lang w:val="it-IT" w:eastAsia="it-IT"/>
              </w:rPr>
              <w:t>0,036</w:t>
            </w:r>
          </w:p>
        </w:tc>
      </w:tr>
      <w:tr w:rsidR="00D112C7" w:rsidRPr="00D112C7" w14:paraId="4C47070E" w14:textId="77777777" w:rsidTr="00D112C7">
        <w:trPr>
          <w:trHeight w:val="300"/>
          <w:jc w:val="center"/>
        </w:trPr>
        <w:tc>
          <w:tcPr>
            <w:tcW w:w="3348" w:type="dxa"/>
            <w:tcBorders>
              <w:top w:val="single" w:sz="4" w:space="0" w:color="auto"/>
              <w:left w:val="nil"/>
              <w:bottom w:val="single" w:sz="4" w:space="0" w:color="auto"/>
              <w:right w:val="nil"/>
            </w:tcBorders>
            <w:shd w:val="clear" w:color="auto" w:fill="auto"/>
            <w:noWrap/>
            <w:vAlign w:val="bottom"/>
            <w:hideMark/>
          </w:tcPr>
          <w:p w14:paraId="61731F56" w14:textId="77777777" w:rsidR="00D112C7" w:rsidRPr="00D112C7" w:rsidRDefault="00D112C7" w:rsidP="00D112C7">
            <w:pPr>
              <w:spacing w:line="240" w:lineRule="auto"/>
              <w:jc w:val="left"/>
              <w:rPr>
                <w:b/>
                <w:bCs/>
                <w:color w:val="000000"/>
                <w:sz w:val="20"/>
                <w:lang w:val="it-IT" w:eastAsia="it-IT"/>
              </w:rPr>
            </w:pPr>
            <w:r w:rsidRPr="00D112C7">
              <w:rPr>
                <w:b/>
                <w:bCs/>
                <w:color w:val="000000"/>
                <w:sz w:val="20"/>
                <w:lang w:val="it-IT" w:eastAsia="it-IT"/>
              </w:rPr>
              <w:t xml:space="preserve">Total </w:t>
            </w:r>
            <w:proofErr w:type="spellStart"/>
            <w:r w:rsidRPr="00D112C7">
              <w:rPr>
                <w:b/>
                <w:bCs/>
                <w:color w:val="000000"/>
                <w:sz w:val="20"/>
                <w:lang w:val="it-IT" w:eastAsia="it-IT"/>
              </w:rPr>
              <w:t>polyphenols</w:t>
            </w:r>
            <w:proofErr w:type="spellEnd"/>
          </w:p>
        </w:tc>
        <w:tc>
          <w:tcPr>
            <w:tcW w:w="1016" w:type="dxa"/>
            <w:tcBorders>
              <w:top w:val="single" w:sz="4" w:space="0" w:color="auto"/>
              <w:left w:val="nil"/>
              <w:bottom w:val="single" w:sz="4" w:space="0" w:color="auto"/>
              <w:right w:val="nil"/>
            </w:tcBorders>
            <w:shd w:val="clear" w:color="auto" w:fill="auto"/>
            <w:vAlign w:val="bottom"/>
            <w:hideMark/>
          </w:tcPr>
          <w:p w14:paraId="18860A93" w14:textId="77777777" w:rsidR="00D112C7" w:rsidRPr="00D112C7" w:rsidRDefault="00D112C7" w:rsidP="00D112C7">
            <w:pPr>
              <w:spacing w:line="240" w:lineRule="auto"/>
              <w:jc w:val="right"/>
              <w:rPr>
                <w:b/>
                <w:bCs/>
                <w:color w:val="000000"/>
                <w:sz w:val="20"/>
                <w:lang w:val="it-IT" w:eastAsia="it-IT"/>
              </w:rPr>
            </w:pPr>
            <w:r w:rsidRPr="00D112C7">
              <w:rPr>
                <w:b/>
                <w:bCs/>
                <w:color w:val="000000"/>
                <w:sz w:val="20"/>
                <w:lang w:val="it-IT" w:eastAsia="it-IT"/>
              </w:rPr>
              <w:t>58,335</w:t>
            </w:r>
          </w:p>
        </w:tc>
        <w:tc>
          <w:tcPr>
            <w:tcW w:w="1016" w:type="dxa"/>
            <w:tcBorders>
              <w:top w:val="single" w:sz="4" w:space="0" w:color="auto"/>
              <w:left w:val="nil"/>
              <w:bottom w:val="single" w:sz="4" w:space="0" w:color="auto"/>
              <w:right w:val="nil"/>
            </w:tcBorders>
            <w:shd w:val="clear" w:color="auto" w:fill="auto"/>
            <w:vAlign w:val="bottom"/>
            <w:hideMark/>
          </w:tcPr>
          <w:p w14:paraId="69506531" w14:textId="77777777" w:rsidR="00D112C7" w:rsidRPr="00D112C7" w:rsidRDefault="00D112C7" w:rsidP="00D112C7">
            <w:pPr>
              <w:spacing w:line="240" w:lineRule="auto"/>
              <w:jc w:val="right"/>
              <w:rPr>
                <w:b/>
                <w:bCs/>
                <w:color w:val="000000"/>
                <w:sz w:val="20"/>
                <w:lang w:val="it-IT" w:eastAsia="it-IT"/>
              </w:rPr>
            </w:pPr>
            <w:r w:rsidRPr="00D112C7">
              <w:rPr>
                <w:b/>
                <w:bCs/>
                <w:color w:val="000000"/>
                <w:sz w:val="20"/>
                <w:lang w:val="it-IT" w:eastAsia="it-IT"/>
              </w:rPr>
              <w:t>53,224</w:t>
            </w:r>
          </w:p>
        </w:tc>
      </w:tr>
    </w:tbl>
    <w:p w14:paraId="17E58C95" w14:textId="77777777" w:rsidR="003A2917" w:rsidRPr="003A2917" w:rsidRDefault="003A2917" w:rsidP="003A2917"/>
    <w:p w14:paraId="66B17873" w14:textId="0563591A" w:rsidR="00CB1B1B" w:rsidRDefault="00CB1B1B" w:rsidP="00AD7322">
      <w:pPr>
        <w:pStyle w:val="Titolo3"/>
        <w:numPr>
          <w:ilvl w:val="3"/>
          <w:numId w:val="6"/>
        </w:numPr>
        <w:spacing w:before="0" w:after="0" w:line="276" w:lineRule="auto"/>
      </w:pPr>
      <w:r>
        <w:t>Total antioxidant capacity (Folin-Ciocalteu)</w:t>
      </w:r>
      <w:r w:rsidR="00CD3CF5">
        <w:t xml:space="preserve"> and antiradical activity (AAR%)</w:t>
      </w:r>
      <w:r w:rsidR="00890FC0">
        <w:t xml:space="preserve"> </w:t>
      </w:r>
    </w:p>
    <w:p w14:paraId="54EFF834" w14:textId="06BAD5CE" w:rsidR="00CB1B1B" w:rsidRPr="000233B0" w:rsidRDefault="004025FC" w:rsidP="000233B0">
      <w:pPr>
        <w:pStyle w:val="Titolo3"/>
        <w:numPr>
          <w:ilvl w:val="0"/>
          <w:numId w:val="0"/>
        </w:numPr>
        <w:spacing w:before="0" w:after="0" w:line="276" w:lineRule="auto"/>
        <w:rPr>
          <w:i w:val="0"/>
          <w:iCs/>
        </w:rPr>
      </w:pPr>
      <w:r w:rsidRPr="004025FC">
        <w:rPr>
          <w:i w:val="0"/>
          <w:iCs/>
        </w:rPr>
        <w:t xml:space="preserve">The two bars formulated based on micronized </w:t>
      </w:r>
      <w:r w:rsidR="00FB6E44" w:rsidRPr="00FB6E44">
        <w:t>O</w:t>
      </w:r>
      <w:r w:rsidRPr="00FB6E44">
        <w:t>lea</w:t>
      </w:r>
      <w:r w:rsidR="00FB6E44" w:rsidRPr="00FB6E44">
        <w:t xml:space="preserve"> europaea</w:t>
      </w:r>
      <w:r w:rsidR="00FB6E44">
        <w:rPr>
          <w:i w:val="0"/>
          <w:iCs/>
        </w:rPr>
        <w:t xml:space="preserve"> L.</w:t>
      </w:r>
      <w:r w:rsidRPr="004025FC">
        <w:rPr>
          <w:i w:val="0"/>
          <w:iCs/>
        </w:rPr>
        <w:t xml:space="preserve"> and </w:t>
      </w:r>
      <w:r w:rsidR="00FB6E44" w:rsidRPr="00FB6E44">
        <w:t>V</w:t>
      </w:r>
      <w:r w:rsidRPr="00FB6E44">
        <w:t>itis</w:t>
      </w:r>
      <w:r w:rsidR="00FB6E44" w:rsidRPr="00FB6E44">
        <w:t xml:space="preserve"> vinifera</w:t>
      </w:r>
      <w:r w:rsidR="00FB6E44">
        <w:rPr>
          <w:i w:val="0"/>
          <w:iCs/>
        </w:rPr>
        <w:t xml:space="preserve"> L.</w:t>
      </w:r>
      <w:r w:rsidRPr="004025FC">
        <w:rPr>
          <w:i w:val="0"/>
          <w:iCs/>
        </w:rPr>
        <w:t xml:space="preserve"> from circular agriculture standardized in active compounds and traced quality EVO oil were analyzed to evaluate their functionality. </w:t>
      </w:r>
      <w:r w:rsidR="00164AC4">
        <w:rPr>
          <w:i w:val="0"/>
          <w:iCs/>
        </w:rPr>
        <w:t>T</w:t>
      </w:r>
      <w:r w:rsidRPr="004025FC">
        <w:rPr>
          <w:i w:val="0"/>
          <w:iCs/>
        </w:rPr>
        <w:t>he total antioxidant capacity (</w:t>
      </w:r>
      <w:proofErr w:type="spellStart"/>
      <w:r w:rsidRPr="004025FC">
        <w:rPr>
          <w:i w:val="0"/>
          <w:iCs/>
        </w:rPr>
        <w:t>Folin</w:t>
      </w:r>
      <w:proofErr w:type="spellEnd"/>
      <w:r w:rsidR="00164AC4">
        <w:rPr>
          <w:i w:val="0"/>
          <w:iCs/>
        </w:rPr>
        <w:t xml:space="preserve"> -</w:t>
      </w:r>
      <w:r w:rsidRPr="004025FC">
        <w:rPr>
          <w:i w:val="0"/>
          <w:iCs/>
        </w:rPr>
        <w:t xml:space="preserve"> </w:t>
      </w:r>
      <w:proofErr w:type="spellStart"/>
      <w:r w:rsidRPr="004025FC">
        <w:rPr>
          <w:i w:val="0"/>
          <w:iCs/>
        </w:rPr>
        <w:t>Ciocalteu</w:t>
      </w:r>
      <w:proofErr w:type="spellEnd"/>
      <w:r w:rsidRPr="004025FC">
        <w:rPr>
          <w:i w:val="0"/>
          <w:iCs/>
        </w:rPr>
        <w:t xml:space="preserve">) and the percentage antiradical activity (AAR%) were evaluated using the DPPH radical. As shown in table 5, both bars have optimal values, proclaiming a marked functional antioxidant and anti-radical activity, both exceeding 80% AAR. These values allow us to affirm that the products from the recovery of </w:t>
      </w:r>
      <w:proofErr w:type="spellStart"/>
      <w:r w:rsidRPr="004025FC">
        <w:rPr>
          <w:i w:val="0"/>
          <w:iCs/>
        </w:rPr>
        <w:t>agrifood</w:t>
      </w:r>
      <w:proofErr w:type="spellEnd"/>
      <w:r w:rsidRPr="004025FC">
        <w:rPr>
          <w:i w:val="0"/>
          <w:iCs/>
        </w:rPr>
        <w:t xml:space="preserve"> chains standardized in active compounds in association with EVO oil with a high content of antioxidant compounds can be considered innovative ingredients to be used for the food, nutraceutical, but also cosmetic sector</w:t>
      </w:r>
      <w:r>
        <w:rPr>
          <w:i w:val="0"/>
          <w:iCs/>
        </w:rPr>
        <w:t>,</w:t>
      </w:r>
      <w:r w:rsidRPr="004025FC">
        <w:rPr>
          <w:i w:val="0"/>
          <w:iCs/>
        </w:rPr>
        <w:t xml:space="preserve"> agronomic and feed.</w:t>
      </w:r>
    </w:p>
    <w:p w14:paraId="089C0F49" w14:textId="06B23CA5" w:rsidR="00A370E2" w:rsidRDefault="00A370E2" w:rsidP="00A370E2"/>
    <w:tbl>
      <w:tblPr>
        <w:tblW w:w="6511" w:type="dxa"/>
        <w:jc w:val="center"/>
        <w:tblCellMar>
          <w:left w:w="70" w:type="dxa"/>
          <w:right w:w="70" w:type="dxa"/>
        </w:tblCellMar>
        <w:tblLook w:val="04A0" w:firstRow="1" w:lastRow="0" w:firstColumn="1" w:lastColumn="0" w:noHBand="0" w:noVBand="1"/>
      </w:tblPr>
      <w:tblGrid>
        <w:gridCol w:w="1293"/>
        <w:gridCol w:w="2432"/>
        <w:gridCol w:w="2786"/>
      </w:tblGrid>
      <w:tr w:rsidR="00913505" w:rsidRPr="00913505" w14:paraId="17D6E257" w14:textId="77777777" w:rsidTr="000F63D4">
        <w:trPr>
          <w:trHeight w:val="574"/>
          <w:jc w:val="center"/>
        </w:trPr>
        <w:tc>
          <w:tcPr>
            <w:tcW w:w="6511" w:type="dxa"/>
            <w:gridSpan w:val="3"/>
            <w:tcBorders>
              <w:top w:val="nil"/>
              <w:left w:val="nil"/>
              <w:bottom w:val="single" w:sz="4" w:space="0" w:color="auto"/>
              <w:right w:val="nil"/>
            </w:tcBorders>
            <w:shd w:val="clear" w:color="auto" w:fill="auto"/>
            <w:vAlign w:val="center"/>
            <w:hideMark/>
          </w:tcPr>
          <w:p w14:paraId="34861B6D" w14:textId="081A1308" w:rsidR="00913505" w:rsidRPr="00913505" w:rsidRDefault="00913505" w:rsidP="009C1186">
            <w:pPr>
              <w:spacing w:line="240" w:lineRule="auto"/>
              <w:rPr>
                <w:color w:val="000000"/>
                <w:sz w:val="20"/>
                <w:lang w:eastAsia="it-IT"/>
              </w:rPr>
            </w:pPr>
            <w:r w:rsidRPr="00913505">
              <w:rPr>
                <w:color w:val="000000"/>
                <w:sz w:val="20"/>
                <w:lang w:eastAsia="it-IT"/>
              </w:rPr>
              <w:t xml:space="preserve">Table </w:t>
            </w:r>
            <w:r w:rsidR="00695D28">
              <w:rPr>
                <w:color w:val="000000"/>
                <w:sz w:val="20"/>
                <w:lang w:eastAsia="it-IT"/>
              </w:rPr>
              <w:t>5</w:t>
            </w:r>
            <w:r w:rsidRPr="00913505">
              <w:rPr>
                <w:color w:val="000000"/>
                <w:sz w:val="20"/>
                <w:lang w:eastAsia="it-IT"/>
              </w:rPr>
              <w:t xml:space="preserve">. Total antioxidant capacity (TAC) mg GAE / 32g and antiradical </w:t>
            </w:r>
            <w:r>
              <w:rPr>
                <w:color w:val="000000"/>
                <w:sz w:val="20"/>
                <w:lang w:eastAsia="it-IT"/>
              </w:rPr>
              <w:t>activity</w:t>
            </w:r>
            <w:r w:rsidRPr="00913505">
              <w:rPr>
                <w:color w:val="000000"/>
                <w:sz w:val="20"/>
                <w:lang w:eastAsia="it-IT"/>
              </w:rPr>
              <w:t xml:space="preserve"> (AAR%). BB: blue bar; GB: green bar</w:t>
            </w:r>
          </w:p>
        </w:tc>
      </w:tr>
      <w:tr w:rsidR="00913505" w:rsidRPr="00913505" w14:paraId="679D9CC3" w14:textId="77777777" w:rsidTr="000F63D4">
        <w:trPr>
          <w:trHeight w:val="308"/>
          <w:jc w:val="center"/>
        </w:trPr>
        <w:tc>
          <w:tcPr>
            <w:tcW w:w="1293" w:type="dxa"/>
            <w:tcBorders>
              <w:top w:val="nil"/>
              <w:left w:val="nil"/>
              <w:bottom w:val="single" w:sz="4" w:space="0" w:color="auto"/>
              <w:right w:val="nil"/>
            </w:tcBorders>
            <w:shd w:val="clear" w:color="auto" w:fill="auto"/>
            <w:noWrap/>
            <w:vAlign w:val="bottom"/>
            <w:hideMark/>
          </w:tcPr>
          <w:p w14:paraId="29B5F0DC" w14:textId="77777777" w:rsidR="00913505" w:rsidRPr="00913505" w:rsidRDefault="00913505" w:rsidP="00913505">
            <w:pPr>
              <w:spacing w:line="240" w:lineRule="auto"/>
              <w:jc w:val="left"/>
              <w:rPr>
                <w:b/>
                <w:bCs/>
                <w:color w:val="000000"/>
                <w:sz w:val="20"/>
                <w:lang w:eastAsia="it-IT"/>
              </w:rPr>
            </w:pPr>
            <w:r w:rsidRPr="00913505">
              <w:rPr>
                <w:b/>
                <w:bCs/>
                <w:color w:val="000000"/>
                <w:sz w:val="20"/>
                <w:lang w:eastAsia="it-IT"/>
              </w:rPr>
              <w:t> </w:t>
            </w:r>
          </w:p>
        </w:tc>
        <w:tc>
          <w:tcPr>
            <w:tcW w:w="2432" w:type="dxa"/>
            <w:tcBorders>
              <w:top w:val="nil"/>
              <w:left w:val="nil"/>
              <w:bottom w:val="single" w:sz="4" w:space="0" w:color="auto"/>
              <w:right w:val="nil"/>
            </w:tcBorders>
            <w:shd w:val="clear" w:color="auto" w:fill="auto"/>
            <w:noWrap/>
            <w:vAlign w:val="bottom"/>
            <w:hideMark/>
          </w:tcPr>
          <w:p w14:paraId="43E5E5D0" w14:textId="77777777" w:rsidR="00913505" w:rsidRPr="00913505" w:rsidRDefault="00913505" w:rsidP="006710FF">
            <w:pPr>
              <w:spacing w:line="240" w:lineRule="auto"/>
              <w:jc w:val="center"/>
              <w:rPr>
                <w:b/>
                <w:bCs/>
                <w:color w:val="000000"/>
                <w:sz w:val="20"/>
                <w:lang w:val="it-IT" w:eastAsia="it-IT"/>
              </w:rPr>
            </w:pPr>
            <w:r w:rsidRPr="00913505">
              <w:rPr>
                <w:b/>
                <w:bCs/>
                <w:color w:val="000000"/>
                <w:sz w:val="20"/>
                <w:lang w:val="it-IT" w:eastAsia="it-IT"/>
              </w:rPr>
              <w:t>TAC</w:t>
            </w:r>
          </w:p>
        </w:tc>
        <w:tc>
          <w:tcPr>
            <w:tcW w:w="2785" w:type="dxa"/>
            <w:tcBorders>
              <w:top w:val="nil"/>
              <w:left w:val="nil"/>
              <w:bottom w:val="single" w:sz="4" w:space="0" w:color="auto"/>
              <w:right w:val="nil"/>
            </w:tcBorders>
            <w:shd w:val="clear" w:color="auto" w:fill="auto"/>
            <w:noWrap/>
            <w:vAlign w:val="bottom"/>
            <w:hideMark/>
          </w:tcPr>
          <w:p w14:paraId="65AE37C0" w14:textId="77777777" w:rsidR="00913505" w:rsidRPr="00913505" w:rsidRDefault="00913505" w:rsidP="006710FF">
            <w:pPr>
              <w:spacing w:line="240" w:lineRule="auto"/>
              <w:jc w:val="center"/>
              <w:rPr>
                <w:b/>
                <w:bCs/>
                <w:color w:val="000000"/>
                <w:sz w:val="20"/>
                <w:lang w:val="it-IT" w:eastAsia="it-IT"/>
              </w:rPr>
            </w:pPr>
            <w:r w:rsidRPr="00913505">
              <w:rPr>
                <w:b/>
                <w:bCs/>
                <w:color w:val="000000"/>
                <w:sz w:val="20"/>
                <w:lang w:val="it-IT" w:eastAsia="it-IT"/>
              </w:rPr>
              <w:t>AAR%</w:t>
            </w:r>
          </w:p>
        </w:tc>
      </w:tr>
      <w:tr w:rsidR="00913505" w:rsidRPr="00913505" w14:paraId="27CAAAAE" w14:textId="77777777" w:rsidTr="000F63D4">
        <w:trPr>
          <w:trHeight w:val="308"/>
          <w:jc w:val="center"/>
        </w:trPr>
        <w:tc>
          <w:tcPr>
            <w:tcW w:w="1293" w:type="dxa"/>
            <w:tcBorders>
              <w:top w:val="nil"/>
              <w:left w:val="nil"/>
              <w:bottom w:val="nil"/>
              <w:right w:val="nil"/>
            </w:tcBorders>
            <w:shd w:val="clear" w:color="auto" w:fill="auto"/>
            <w:noWrap/>
            <w:vAlign w:val="bottom"/>
            <w:hideMark/>
          </w:tcPr>
          <w:p w14:paraId="2493C0C7" w14:textId="77777777" w:rsidR="00913505" w:rsidRPr="00913505" w:rsidRDefault="00913505" w:rsidP="00913505">
            <w:pPr>
              <w:spacing w:line="240" w:lineRule="auto"/>
              <w:jc w:val="left"/>
              <w:rPr>
                <w:color w:val="000000"/>
                <w:sz w:val="20"/>
                <w:lang w:val="it-IT" w:eastAsia="it-IT"/>
              </w:rPr>
            </w:pPr>
            <w:r w:rsidRPr="00913505">
              <w:rPr>
                <w:color w:val="000000"/>
                <w:sz w:val="20"/>
                <w:lang w:val="it-IT" w:eastAsia="it-IT"/>
              </w:rPr>
              <w:t>BB</w:t>
            </w:r>
          </w:p>
        </w:tc>
        <w:tc>
          <w:tcPr>
            <w:tcW w:w="2432" w:type="dxa"/>
            <w:tcBorders>
              <w:top w:val="nil"/>
              <w:left w:val="nil"/>
              <w:bottom w:val="nil"/>
              <w:right w:val="nil"/>
            </w:tcBorders>
            <w:shd w:val="clear" w:color="auto" w:fill="auto"/>
            <w:noWrap/>
            <w:vAlign w:val="bottom"/>
            <w:hideMark/>
          </w:tcPr>
          <w:p w14:paraId="53576743" w14:textId="77777777" w:rsidR="00913505" w:rsidRPr="00913505" w:rsidRDefault="00913505" w:rsidP="006710FF">
            <w:pPr>
              <w:spacing w:line="240" w:lineRule="auto"/>
              <w:jc w:val="center"/>
              <w:rPr>
                <w:color w:val="000000"/>
                <w:sz w:val="20"/>
                <w:lang w:val="it-IT" w:eastAsia="it-IT"/>
              </w:rPr>
            </w:pPr>
            <w:r w:rsidRPr="00913505">
              <w:rPr>
                <w:color w:val="000000"/>
                <w:sz w:val="20"/>
                <w:lang w:val="it-IT" w:eastAsia="it-IT"/>
              </w:rPr>
              <w:t>250,12</w:t>
            </w:r>
          </w:p>
        </w:tc>
        <w:tc>
          <w:tcPr>
            <w:tcW w:w="2785" w:type="dxa"/>
            <w:tcBorders>
              <w:top w:val="nil"/>
              <w:left w:val="nil"/>
              <w:bottom w:val="nil"/>
              <w:right w:val="nil"/>
            </w:tcBorders>
            <w:shd w:val="clear" w:color="auto" w:fill="auto"/>
            <w:noWrap/>
            <w:vAlign w:val="bottom"/>
            <w:hideMark/>
          </w:tcPr>
          <w:p w14:paraId="5B214E6E" w14:textId="77777777" w:rsidR="00913505" w:rsidRPr="00913505" w:rsidRDefault="00913505" w:rsidP="006710FF">
            <w:pPr>
              <w:spacing w:line="240" w:lineRule="auto"/>
              <w:jc w:val="center"/>
              <w:rPr>
                <w:color w:val="000000"/>
                <w:sz w:val="20"/>
                <w:lang w:val="it-IT" w:eastAsia="it-IT"/>
              </w:rPr>
            </w:pPr>
            <w:r w:rsidRPr="00913505">
              <w:rPr>
                <w:color w:val="000000"/>
                <w:sz w:val="20"/>
                <w:lang w:val="it-IT" w:eastAsia="it-IT"/>
              </w:rPr>
              <w:t>84,49</w:t>
            </w:r>
          </w:p>
        </w:tc>
      </w:tr>
      <w:tr w:rsidR="00913505" w:rsidRPr="00913505" w14:paraId="5C9D6D9A" w14:textId="77777777" w:rsidTr="000F63D4">
        <w:trPr>
          <w:trHeight w:val="308"/>
          <w:jc w:val="center"/>
        </w:trPr>
        <w:tc>
          <w:tcPr>
            <w:tcW w:w="1293" w:type="dxa"/>
            <w:tcBorders>
              <w:top w:val="nil"/>
              <w:left w:val="nil"/>
              <w:bottom w:val="nil"/>
              <w:right w:val="nil"/>
            </w:tcBorders>
            <w:shd w:val="clear" w:color="auto" w:fill="auto"/>
            <w:noWrap/>
            <w:vAlign w:val="bottom"/>
            <w:hideMark/>
          </w:tcPr>
          <w:p w14:paraId="25028B16" w14:textId="77777777" w:rsidR="00913505" w:rsidRPr="00913505" w:rsidRDefault="00913505" w:rsidP="00913505">
            <w:pPr>
              <w:spacing w:line="240" w:lineRule="auto"/>
              <w:jc w:val="left"/>
              <w:rPr>
                <w:color w:val="000000"/>
                <w:sz w:val="20"/>
                <w:lang w:val="it-IT" w:eastAsia="it-IT"/>
              </w:rPr>
            </w:pPr>
            <w:r w:rsidRPr="00913505">
              <w:rPr>
                <w:color w:val="000000"/>
                <w:sz w:val="20"/>
                <w:lang w:val="it-IT" w:eastAsia="it-IT"/>
              </w:rPr>
              <w:t>GB</w:t>
            </w:r>
          </w:p>
        </w:tc>
        <w:tc>
          <w:tcPr>
            <w:tcW w:w="2432" w:type="dxa"/>
            <w:tcBorders>
              <w:top w:val="nil"/>
              <w:left w:val="nil"/>
              <w:bottom w:val="nil"/>
              <w:right w:val="nil"/>
            </w:tcBorders>
            <w:shd w:val="clear" w:color="auto" w:fill="auto"/>
            <w:noWrap/>
            <w:vAlign w:val="bottom"/>
            <w:hideMark/>
          </w:tcPr>
          <w:p w14:paraId="6D9E9578" w14:textId="77777777" w:rsidR="00913505" w:rsidRPr="00913505" w:rsidRDefault="00913505" w:rsidP="006710FF">
            <w:pPr>
              <w:spacing w:line="240" w:lineRule="auto"/>
              <w:jc w:val="center"/>
              <w:rPr>
                <w:color w:val="000000"/>
                <w:sz w:val="20"/>
                <w:lang w:val="it-IT" w:eastAsia="it-IT"/>
              </w:rPr>
            </w:pPr>
            <w:r w:rsidRPr="00913505">
              <w:rPr>
                <w:color w:val="000000"/>
                <w:sz w:val="20"/>
                <w:lang w:val="it-IT" w:eastAsia="it-IT"/>
              </w:rPr>
              <w:t>207,47</w:t>
            </w:r>
          </w:p>
        </w:tc>
        <w:tc>
          <w:tcPr>
            <w:tcW w:w="2785" w:type="dxa"/>
            <w:tcBorders>
              <w:top w:val="nil"/>
              <w:left w:val="nil"/>
              <w:bottom w:val="nil"/>
              <w:right w:val="nil"/>
            </w:tcBorders>
            <w:shd w:val="clear" w:color="auto" w:fill="auto"/>
            <w:noWrap/>
            <w:vAlign w:val="bottom"/>
            <w:hideMark/>
          </w:tcPr>
          <w:p w14:paraId="77D90B8F" w14:textId="77777777" w:rsidR="00913505" w:rsidRPr="00913505" w:rsidRDefault="00913505" w:rsidP="006710FF">
            <w:pPr>
              <w:spacing w:line="240" w:lineRule="auto"/>
              <w:jc w:val="center"/>
              <w:rPr>
                <w:color w:val="000000"/>
                <w:sz w:val="20"/>
                <w:lang w:val="it-IT" w:eastAsia="it-IT"/>
              </w:rPr>
            </w:pPr>
            <w:r w:rsidRPr="00913505">
              <w:rPr>
                <w:color w:val="000000"/>
                <w:sz w:val="20"/>
                <w:lang w:val="it-IT" w:eastAsia="it-IT"/>
              </w:rPr>
              <w:t>80,53</w:t>
            </w:r>
          </w:p>
        </w:tc>
      </w:tr>
    </w:tbl>
    <w:p w14:paraId="6D5B4A45" w14:textId="430724E7" w:rsidR="00041C51" w:rsidRDefault="00041C51" w:rsidP="00D66ED0">
      <w:pPr>
        <w:pStyle w:val="Text"/>
        <w:spacing w:line="276" w:lineRule="auto"/>
      </w:pPr>
      <w:bookmarkStart w:id="0" w:name="_Toc75162077"/>
      <w:bookmarkStart w:id="1" w:name="_Toc142104141"/>
    </w:p>
    <w:p w14:paraId="327B2757" w14:textId="041F7C40" w:rsidR="00933B5F" w:rsidRDefault="00933B5F" w:rsidP="00AD7322">
      <w:pPr>
        <w:pStyle w:val="Titolo1"/>
        <w:spacing w:before="320" w:line="276" w:lineRule="auto"/>
        <w:contextualSpacing/>
        <w:rPr>
          <w:color w:val="000000"/>
        </w:rPr>
      </w:pPr>
      <w:r w:rsidRPr="00933B5F">
        <w:rPr>
          <w:color w:val="000000"/>
        </w:rPr>
        <w:t>Conclusions and future perspectives</w:t>
      </w:r>
    </w:p>
    <w:p w14:paraId="08586AD5" w14:textId="58D5BEE2" w:rsidR="006710FF" w:rsidRPr="006710FF" w:rsidRDefault="00A57CD4" w:rsidP="006710FF">
      <w:r w:rsidRPr="00A57CD4">
        <w:t xml:space="preserve">The study represents an example of a circular model for the recovery of waste from the agri-food chain and the development of innovative functional ingredients </w:t>
      </w:r>
      <w:r w:rsidRPr="00A57CD4">
        <w:lastRenderedPageBreak/>
        <w:t>starting from secondary raw materials. The recovery and controlled transformation of the by-products of wine and EVO oil production have made it possible to apply the principles of circular economy and to obtain new products to be used in various product sectors, including food, nutraceutical, agronomic, feed, and cosmetic. The selected sector is functional sports-wellness nutrition</w:t>
      </w:r>
      <w:r w:rsidR="00164AC4">
        <w:t>.</w:t>
      </w:r>
      <w:r w:rsidRPr="00A57CD4">
        <w:t xml:space="preserve"> </w:t>
      </w:r>
      <w:r w:rsidR="00164AC4">
        <w:t>T</w:t>
      </w:r>
      <w:r w:rsidRPr="00A57CD4">
        <w:t xml:space="preserve">wo bars based on fruit and vegetables were formulated and added with standardized micronized in antioxidant compounds of olive leaves, </w:t>
      </w:r>
      <w:r w:rsidR="00164AC4">
        <w:t>free oil</w:t>
      </w:r>
      <w:r w:rsidRPr="00A57CD4">
        <w:t xml:space="preserve"> olive pulp, grape skin and grape seeds. The association of these innovative ingredients with the EVO oil with a high CMP content has made it possible to obtain two functional antioxidant products thanks to the synergy created between the molecules present in the formulation. The antioxidant and antiradical functionality has been tested </w:t>
      </w:r>
      <w:r w:rsidRPr="001C2BDD">
        <w:rPr>
          <w:i/>
          <w:iCs/>
        </w:rPr>
        <w:t>in vitro</w:t>
      </w:r>
      <w:r w:rsidRPr="00A57CD4">
        <w:t xml:space="preserve"> with the Folin-Ciocalteu and DPPH test, but these bars have also been selected for an </w:t>
      </w:r>
      <w:r w:rsidRPr="001C2BDD">
        <w:rPr>
          <w:i/>
          <w:iCs/>
        </w:rPr>
        <w:t>in vivo</w:t>
      </w:r>
      <w:r w:rsidRPr="00A57CD4">
        <w:t xml:space="preserve"> study entitled "Evaluation of the possible energetic and beneficial action induced by the association of a supplement food with sports activities for the treatment of uremic sarcopenia "in collaboration with the Tor </w:t>
      </w:r>
      <w:proofErr w:type="spellStart"/>
      <w:r w:rsidRPr="00A57CD4">
        <w:t>Vergata</w:t>
      </w:r>
      <w:proofErr w:type="spellEnd"/>
      <w:r w:rsidRPr="00A57CD4">
        <w:t xml:space="preserve"> University of Rome and the University of the </w:t>
      </w:r>
      <w:proofErr w:type="spellStart"/>
      <w:r w:rsidRPr="00A57CD4">
        <w:t>Foro</w:t>
      </w:r>
      <w:proofErr w:type="spellEnd"/>
      <w:r w:rsidRPr="00A57CD4">
        <w:t xml:space="preserve"> </w:t>
      </w:r>
      <w:proofErr w:type="spellStart"/>
      <w:r w:rsidRPr="00A57CD4">
        <w:t>Italico</w:t>
      </w:r>
      <w:proofErr w:type="spellEnd"/>
      <w:r w:rsidRPr="00A57CD4">
        <w:t xml:space="preserve"> in Rome. Preliminary results show that the association of physical activity and the intake of functional bars rich in antioxidant active compounds lead to an improvement in body composition and parameters, such as blood pressure and lipid metabolism, improving the health of the affected patient. from chronic kidney disease and subsequent uremic sarcopenia. </w:t>
      </w:r>
      <w:r>
        <w:t>A</w:t>
      </w:r>
      <w:r w:rsidRPr="00A57CD4">
        <w:t xml:space="preserve"> study is underway which includes a larger patient population to demonstrate the hypothesis </w:t>
      </w:r>
      <w:r>
        <w:t>proposed</w:t>
      </w:r>
      <w:r w:rsidRPr="00A57CD4">
        <w:t xml:space="preserve"> in the pilot study </w:t>
      </w:r>
      <w:proofErr w:type="spellStart"/>
      <w:r w:rsidRPr="00A57CD4">
        <w:t>Grazioli</w:t>
      </w:r>
      <w:proofErr w:type="spellEnd"/>
      <w:r w:rsidRPr="00A57CD4">
        <w:t xml:space="preserve"> et al., 2022.</w:t>
      </w:r>
    </w:p>
    <w:p w14:paraId="623D2D0E" w14:textId="7B602512" w:rsidR="002F7330" w:rsidRDefault="002F7330" w:rsidP="00AD7322">
      <w:pPr>
        <w:pStyle w:val="Titolo1"/>
        <w:spacing w:before="320" w:line="276" w:lineRule="auto"/>
        <w:contextualSpacing/>
      </w:pPr>
      <w:r w:rsidRPr="00F61060">
        <w:t>References</w:t>
      </w:r>
      <w:bookmarkEnd w:id="0"/>
      <w:bookmarkEnd w:id="1"/>
      <w:r w:rsidRPr="00BC36B0">
        <w:t xml:space="preserve"> and Citations</w:t>
      </w:r>
    </w:p>
    <w:p w14:paraId="4DBE3B5C" w14:textId="615C4469" w:rsidR="00A57CD4" w:rsidRDefault="00A57CD4" w:rsidP="006710FF">
      <w:pPr>
        <w:pStyle w:val="NormaleWeb"/>
        <w:spacing w:before="0" w:beforeAutospacing="0" w:after="0" w:afterAutospacing="0"/>
        <w:jc w:val="both"/>
        <w:rPr>
          <w:color w:val="000000"/>
          <w:sz w:val="22"/>
          <w:szCs w:val="22"/>
          <w:lang w:val="en-US"/>
        </w:rPr>
      </w:pPr>
      <w:proofErr w:type="spellStart"/>
      <w:r w:rsidRPr="00E04BF6">
        <w:rPr>
          <w:color w:val="000000"/>
          <w:sz w:val="22"/>
          <w:szCs w:val="22"/>
          <w:lang w:val="en-US"/>
        </w:rPr>
        <w:t>Grazioli</w:t>
      </w:r>
      <w:proofErr w:type="spellEnd"/>
      <w:r w:rsidRPr="00E04BF6">
        <w:rPr>
          <w:color w:val="000000"/>
          <w:sz w:val="22"/>
          <w:szCs w:val="22"/>
          <w:lang w:val="en-US"/>
        </w:rPr>
        <w:t xml:space="preserve"> E, </w:t>
      </w:r>
      <w:proofErr w:type="spellStart"/>
      <w:r w:rsidRPr="00E04BF6">
        <w:rPr>
          <w:color w:val="000000"/>
          <w:sz w:val="22"/>
          <w:szCs w:val="22"/>
          <w:lang w:val="en-US"/>
        </w:rPr>
        <w:t>Tranchita</w:t>
      </w:r>
      <w:proofErr w:type="spellEnd"/>
      <w:r w:rsidRPr="00E04BF6">
        <w:rPr>
          <w:color w:val="000000"/>
          <w:sz w:val="22"/>
          <w:szCs w:val="22"/>
          <w:lang w:val="en-US"/>
        </w:rPr>
        <w:t xml:space="preserve"> E, </w:t>
      </w:r>
      <w:proofErr w:type="spellStart"/>
      <w:r w:rsidRPr="00E04BF6">
        <w:rPr>
          <w:color w:val="000000"/>
          <w:sz w:val="22"/>
          <w:szCs w:val="22"/>
          <w:lang w:val="en-US"/>
        </w:rPr>
        <w:t>Marrone</w:t>
      </w:r>
      <w:proofErr w:type="spellEnd"/>
      <w:r w:rsidRPr="00E04BF6">
        <w:rPr>
          <w:color w:val="000000"/>
          <w:sz w:val="22"/>
          <w:szCs w:val="22"/>
          <w:lang w:val="en-US"/>
        </w:rPr>
        <w:t xml:space="preserve"> G, </w:t>
      </w:r>
      <w:proofErr w:type="spellStart"/>
      <w:r w:rsidRPr="00E04BF6">
        <w:rPr>
          <w:color w:val="000000"/>
          <w:sz w:val="22"/>
          <w:szCs w:val="22"/>
          <w:lang w:val="en-US"/>
        </w:rPr>
        <w:t>Urciuoli</w:t>
      </w:r>
      <w:proofErr w:type="spellEnd"/>
      <w:r w:rsidRPr="00E04BF6">
        <w:rPr>
          <w:color w:val="000000"/>
          <w:sz w:val="22"/>
          <w:szCs w:val="22"/>
          <w:lang w:val="en-US"/>
        </w:rPr>
        <w:t xml:space="preserve"> S, Di </w:t>
      </w:r>
      <w:proofErr w:type="spellStart"/>
      <w:r w:rsidRPr="00E04BF6">
        <w:rPr>
          <w:color w:val="000000"/>
          <w:sz w:val="22"/>
          <w:szCs w:val="22"/>
          <w:lang w:val="en-US"/>
        </w:rPr>
        <w:t>Lauro</w:t>
      </w:r>
      <w:proofErr w:type="spellEnd"/>
      <w:r w:rsidRPr="00E04BF6">
        <w:rPr>
          <w:color w:val="000000"/>
          <w:sz w:val="22"/>
          <w:szCs w:val="22"/>
          <w:lang w:val="en-US"/>
        </w:rPr>
        <w:t xml:space="preserve"> M, </w:t>
      </w:r>
      <w:proofErr w:type="spellStart"/>
      <w:r w:rsidRPr="00E04BF6">
        <w:rPr>
          <w:color w:val="000000"/>
          <w:sz w:val="22"/>
          <w:szCs w:val="22"/>
          <w:lang w:val="en-US"/>
        </w:rPr>
        <w:t>Cerulli</w:t>
      </w:r>
      <w:proofErr w:type="spellEnd"/>
      <w:r w:rsidRPr="00E04BF6">
        <w:rPr>
          <w:color w:val="000000"/>
          <w:sz w:val="22"/>
          <w:szCs w:val="22"/>
          <w:lang w:val="en-US"/>
        </w:rPr>
        <w:t xml:space="preserve"> C, </w:t>
      </w:r>
      <w:proofErr w:type="spellStart"/>
      <w:r w:rsidRPr="00E04BF6">
        <w:rPr>
          <w:color w:val="000000"/>
          <w:sz w:val="22"/>
          <w:szCs w:val="22"/>
          <w:lang w:val="en-US"/>
        </w:rPr>
        <w:t>Piacentini</w:t>
      </w:r>
      <w:proofErr w:type="spellEnd"/>
      <w:r w:rsidRPr="00E04BF6">
        <w:rPr>
          <w:color w:val="000000"/>
          <w:sz w:val="22"/>
          <w:szCs w:val="22"/>
          <w:lang w:val="en-US"/>
        </w:rPr>
        <w:t xml:space="preserve"> N, </w:t>
      </w:r>
      <w:proofErr w:type="spellStart"/>
      <w:r w:rsidRPr="00E04BF6">
        <w:rPr>
          <w:color w:val="000000"/>
          <w:sz w:val="22"/>
          <w:szCs w:val="22"/>
          <w:lang w:val="en-US"/>
        </w:rPr>
        <w:t>Murri</w:t>
      </w:r>
      <w:proofErr w:type="spellEnd"/>
      <w:r w:rsidRPr="00E04BF6">
        <w:rPr>
          <w:color w:val="000000"/>
          <w:sz w:val="22"/>
          <w:szCs w:val="22"/>
          <w:lang w:val="en-US"/>
        </w:rPr>
        <w:t xml:space="preserve"> A, </w:t>
      </w:r>
      <w:proofErr w:type="spellStart"/>
      <w:r w:rsidRPr="00E04BF6">
        <w:rPr>
          <w:color w:val="000000"/>
          <w:sz w:val="22"/>
          <w:szCs w:val="22"/>
          <w:lang w:val="en-US"/>
        </w:rPr>
        <w:t>Celotto</w:t>
      </w:r>
      <w:proofErr w:type="spellEnd"/>
      <w:r w:rsidRPr="00E04BF6">
        <w:rPr>
          <w:color w:val="000000"/>
          <w:sz w:val="22"/>
          <w:szCs w:val="22"/>
          <w:lang w:val="en-US"/>
        </w:rPr>
        <w:t xml:space="preserve"> R, Romani A, </w:t>
      </w:r>
      <w:proofErr w:type="spellStart"/>
      <w:r w:rsidRPr="00E04BF6">
        <w:rPr>
          <w:color w:val="000000"/>
          <w:sz w:val="22"/>
          <w:szCs w:val="22"/>
          <w:lang w:val="en-US"/>
        </w:rPr>
        <w:t>Parisi</w:t>
      </w:r>
      <w:proofErr w:type="spellEnd"/>
      <w:r w:rsidRPr="00E04BF6">
        <w:rPr>
          <w:color w:val="000000"/>
          <w:sz w:val="22"/>
          <w:szCs w:val="22"/>
          <w:lang w:val="en-US"/>
        </w:rPr>
        <w:t xml:space="preserve"> A, Di Daniele N, </w:t>
      </w:r>
      <w:proofErr w:type="spellStart"/>
      <w:r w:rsidRPr="00E04BF6">
        <w:rPr>
          <w:color w:val="000000"/>
          <w:sz w:val="22"/>
          <w:szCs w:val="22"/>
          <w:lang w:val="en-US"/>
        </w:rPr>
        <w:t>Noce</w:t>
      </w:r>
      <w:proofErr w:type="spellEnd"/>
      <w:r w:rsidRPr="00E04BF6">
        <w:rPr>
          <w:color w:val="000000"/>
          <w:sz w:val="22"/>
          <w:szCs w:val="22"/>
          <w:lang w:val="en-US"/>
        </w:rPr>
        <w:t xml:space="preserve"> A. (2022) The Impact of Functional Bars and Adapted Physical Activity on Quality of Life in Chronic Kidney Disease: A Pilot Study. </w:t>
      </w:r>
      <w:r w:rsidRPr="001C2BDD">
        <w:rPr>
          <w:color w:val="000000"/>
          <w:sz w:val="22"/>
          <w:szCs w:val="22"/>
          <w:lang w:val="en-US"/>
        </w:rPr>
        <w:t xml:space="preserve">International Journal of Environmental Research and Public Health.; 19(6):3281. </w:t>
      </w:r>
      <w:hyperlink r:id="rId8" w:history="1">
        <w:r w:rsidR="00E04BF6" w:rsidRPr="009631C4">
          <w:rPr>
            <w:rStyle w:val="Collegamentoipertestuale"/>
            <w:sz w:val="22"/>
            <w:szCs w:val="22"/>
            <w:lang w:val="en-US"/>
          </w:rPr>
          <w:t>https://doi.org/10.3390/ijerph19063281</w:t>
        </w:r>
      </w:hyperlink>
    </w:p>
    <w:p w14:paraId="7C24B238" w14:textId="77777777" w:rsidR="00E04BF6" w:rsidRDefault="00E04BF6" w:rsidP="006710FF">
      <w:pPr>
        <w:pStyle w:val="NormaleWeb"/>
        <w:spacing w:before="0" w:beforeAutospacing="0" w:after="0" w:afterAutospacing="0"/>
        <w:jc w:val="both"/>
        <w:rPr>
          <w:color w:val="000000"/>
          <w:sz w:val="22"/>
          <w:szCs w:val="22"/>
          <w:lang w:val="en-US"/>
        </w:rPr>
      </w:pPr>
    </w:p>
    <w:p w14:paraId="754E9AD6" w14:textId="622AFFE1" w:rsidR="00E04BF6" w:rsidRPr="00F97EF4" w:rsidRDefault="00E04BF6" w:rsidP="006710FF">
      <w:pPr>
        <w:pStyle w:val="NormaleWeb"/>
        <w:spacing w:before="0" w:beforeAutospacing="0" w:after="0" w:afterAutospacing="0"/>
        <w:jc w:val="both"/>
        <w:rPr>
          <w:color w:val="000000"/>
          <w:sz w:val="22"/>
          <w:szCs w:val="22"/>
        </w:rPr>
      </w:pPr>
      <w:proofErr w:type="spellStart"/>
      <w:r w:rsidRPr="00E04BF6">
        <w:rPr>
          <w:color w:val="000000"/>
          <w:sz w:val="22"/>
          <w:szCs w:val="22"/>
          <w:lang w:val="en-US"/>
        </w:rPr>
        <w:t>Noce</w:t>
      </w:r>
      <w:proofErr w:type="spellEnd"/>
      <w:r w:rsidRPr="00E04BF6">
        <w:rPr>
          <w:color w:val="000000"/>
          <w:sz w:val="22"/>
          <w:szCs w:val="22"/>
          <w:lang w:val="en-US"/>
        </w:rPr>
        <w:t xml:space="preserve">, A.; </w:t>
      </w:r>
      <w:proofErr w:type="spellStart"/>
      <w:r w:rsidRPr="00E04BF6">
        <w:rPr>
          <w:color w:val="000000"/>
          <w:sz w:val="22"/>
          <w:szCs w:val="22"/>
          <w:lang w:val="en-US"/>
        </w:rPr>
        <w:t>Marrone</w:t>
      </w:r>
      <w:proofErr w:type="spellEnd"/>
      <w:r w:rsidRPr="00E04BF6">
        <w:rPr>
          <w:color w:val="000000"/>
          <w:sz w:val="22"/>
          <w:szCs w:val="22"/>
          <w:lang w:val="en-US"/>
        </w:rPr>
        <w:t xml:space="preserve">, G.; Urciuoli, S.; Di Daniele, F.; Di </w:t>
      </w:r>
      <w:proofErr w:type="spellStart"/>
      <w:r w:rsidRPr="00E04BF6">
        <w:rPr>
          <w:color w:val="000000"/>
          <w:sz w:val="22"/>
          <w:szCs w:val="22"/>
          <w:lang w:val="en-US"/>
        </w:rPr>
        <w:t>Lauro</w:t>
      </w:r>
      <w:proofErr w:type="spellEnd"/>
      <w:r w:rsidRPr="00E04BF6">
        <w:rPr>
          <w:color w:val="000000"/>
          <w:sz w:val="22"/>
          <w:szCs w:val="22"/>
          <w:lang w:val="en-US"/>
        </w:rPr>
        <w:t xml:space="preserve">, M.; </w:t>
      </w:r>
      <w:proofErr w:type="spellStart"/>
      <w:r w:rsidRPr="00E04BF6">
        <w:rPr>
          <w:color w:val="000000"/>
          <w:sz w:val="22"/>
          <w:szCs w:val="22"/>
          <w:lang w:val="en-US"/>
        </w:rPr>
        <w:t>Pietroboni</w:t>
      </w:r>
      <w:proofErr w:type="spellEnd"/>
      <w:r w:rsidRPr="00E04BF6">
        <w:rPr>
          <w:color w:val="000000"/>
          <w:sz w:val="22"/>
          <w:szCs w:val="22"/>
          <w:lang w:val="en-US"/>
        </w:rPr>
        <w:t xml:space="preserve"> </w:t>
      </w:r>
      <w:proofErr w:type="spellStart"/>
      <w:r w:rsidRPr="00E04BF6">
        <w:rPr>
          <w:color w:val="000000"/>
          <w:sz w:val="22"/>
          <w:szCs w:val="22"/>
          <w:lang w:val="en-US"/>
        </w:rPr>
        <w:t>Zaitseva</w:t>
      </w:r>
      <w:proofErr w:type="spellEnd"/>
      <w:r w:rsidRPr="00E04BF6">
        <w:rPr>
          <w:color w:val="000000"/>
          <w:sz w:val="22"/>
          <w:szCs w:val="22"/>
          <w:lang w:val="en-US"/>
        </w:rPr>
        <w:t>, A.; Di Daniele, N.; Romani, A.</w:t>
      </w:r>
      <w:r>
        <w:rPr>
          <w:color w:val="000000"/>
          <w:sz w:val="22"/>
          <w:szCs w:val="22"/>
          <w:lang w:val="en-US"/>
        </w:rPr>
        <w:t>,</w:t>
      </w:r>
      <w:r w:rsidRPr="00E04BF6">
        <w:rPr>
          <w:color w:val="000000"/>
          <w:sz w:val="22"/>
          <w:szCs w:val="22"/>
          <w:lang w:val="en-US"/>
        </w:rPr>
        <w:t xml:space="preserve"> 2021</w:t>
      </w:r>
      <w:r>
        <w:rPr>
          <w:color w:val="000000"/>
          <w:sz w:val="22"/>
          <w:szCs w:val="22"/>
          <w:lang w:val="en-US"/>
        </w:rPr>
        <w:t>,</w:t>
      </w:r>
      <w:r w:rsidRPr="00E04BF6">
        <w:rPr>
          <w:color w:val="000000"/>
          <w:sz w:val="22"/>
          <w:szCs w:val="22"/>
          <w:lang w:val="en-US"/>
        </w:rPr>
        <w:t xml:space="preserve">Usefulness of Extra Virgin Olive Oil Minor Polar Compounds in the Management of Chronic Kidney Disease Patients. </w:t>
      </w:r>
      <w:proofErr w:type="spellStart"/>
      <w:r w:rsidRPr="00F97EF4">
        <w:rPr>
          <w:color w:val="000000"/>
          <w:sz w:val="22"/>
          <w:szCs w:val="22"/>
        </w:rPr>
        <w:t>Nutrients</w:t>
      </w:r>
      <w:proofErr w:type="spellEnd"/>
      <w:r w:rsidRPr="00F97EF4">
        <w:rPr>
          <w:color w:val="000000"/>
          <w:sz w:val="22"/>
          <w:szCs w:val="22"/>
        </w:rPr>
        <w:t>, 13, 581. https://doi.org/10.3390/nu13020581</w:t>
      </w:r>
    </w:p>
    <w:p w14:paraId="68FA3A60" w14:textId="77777777" w:rsidR="00661587" w:rsidRPr="00661587" w:rsidRDefault="00661587" w:rsidP="006710FF">
      <w:pPr>
        <w:pStyle w:val="NormaleWeb"/>
        <w:spacing w:before="0" w:beforeAutospacing="0" w:after="0" w:afterAutospacing="0"/>
        <w:jc w:val="both"/>
        <w:rPr>
          <w:color w:val="000000"/>
          <w:sz w:val="22"/>
          <w:szCs w:val="22"/>
        </w:rPr>
      </w:pPr>
    </w:p>
    <w:p w14:paraId="05218949" w14:textId="4CBAEF32" w:rsidR="006710FF" w:rsidRPr="00405DBF" w:rsidRDefault="006710FF" w:rsidP="006710FF">
      <w:pPr>
        <w:pStyle w:val="NormaleWeb"/>
        <w:spacing w:before="0" w:beforeAutospacing="0" w:after="0" w:afterAutospacing="0"/>
        <w:jc w:val="both"/>
        <w:rPr>
          <w:color w:val="000000"/>
          <w:sz w:val="22"/>
          <w:szCs w:val="22"/>
          <w:lang w:val="en-US"/>
        </w:rPr>
      </w:pPr>
      <w:r w:rsidRPr="001C2BDD">
        <w:rPr>
          <w:color w:val="000000"/>
          <w:sz w:val="22"/>
          <w:szCs w:val="22"/>
        </w:rPr>
        <w:t xml:space="preserve">Romani A, Campo M, Urciuoli S, et al. </w:t>
      </w:r>
      <w:r w:rsidRPr="001C2BDD">
        <w:rPr>
          <w:color w:val="000000"/>
          <w:sz w:val="22"/>
          <w:szCs w:val="22"/>
          <w:lang w:val="en-US"/>
        </w:rPr>
        <w:t xml:space="preserve">(2020) An Industrial and Sustainable Platform for the Production of Bioactive Micronized Powders and Extracts Enriched in Polyphenols From </w:t>
      </w:r>
      <w:r w:rsidRPr="001C2BDD">
        <w:rPr>
          <w:i/>
          <w:iCs/>
          <w:color w:val="000000"/>
          <w:sz w:val="22"/>
          <w:szCs w:val="22"/>
          <w:lang w:val="en-US"/>
        </w:rPr>
        <w:t>Olea europaea</w:t>
      </w:r>
      <w:r w:rsidRPr="001C2BDD">
        <w:rPr>
          <w:color w:val="000000"/>
          <w:sz w:val="22"/>
          <w:szCs w:val="22"/>
          <w:lang w:val="en-US"/>
        </w:rPr>
        <w:t xml:space="preserve"> L. and </w:t>
      </w:r>
      <w:r w:rsidRPr="001C2BDD">
        <w:rPr>
          <w:i/>
          <w:iCs/>
          <w:color w:val="000000"/>
          <w:sz w:val="22"/>
          <w:szCs w:val="22"/>
          <w:lang w:val="en-US"/>
        </w:rPr>
        <w:t>Vitis vinifera</w:t>
      </w:r>
      <w:r w:rsidRPr="001C2BDD">
        <w:rPr>
          <w:color w:val="000000"/>
          <w:sz w:val="22"/>
          <w:szCs w:val="22"/>
          <w:lang w:val="en-US"/>
        </w:rPr>
        <w:t xml:space="preserve"> L. Wastes. </w:t>
      </w:r>
      <w:r w:rsidRPr="00405DBF">
        <w:rPr>
          <w:color w:val="000000"/>
          <w:sz w:val="22"/>
          <w:szCs w:val="22"/>
          <w:lang w:val="en-US"/>
        </w:rPr>
        <w:t>Frontiers in Nutrition. 7: 120</w:t>
      </w:r>
    </w:p>
    <w:p w14:paraId="6F50D4D1" w14:textId="6A5431C2" w:rsidR="006710FF" w:rsidRPr="00405DBF" w:rsidRDefault="006710FF" w:rsidP="006710FF">
      <w:pPr>
        <w:pStyle w:val="NormaleWeb"/>
        <w:spacing w:before="0" w:beforeAutospacing="0" w:after="0" w:afterAutospacing="0"/>
        <w:jc w:val="both"/>
        <w:rPr>
          <w:color w:val="000000"/>
          <w:sz w:val="22"/>
          <w:szCs w:val="22"/>
          <w:lang w:val="en-US"/>
        </w:rPr>
      </w:pPr>
    </w:p>
    <w:p w14:paraId="3B05D770" w14:textId="412912A0" w:rsidR="001C2BDD" w:rsidRPr="00405DBF" w:rsidRDefault="001C2BDD" w:rsidP="006710FF">
      <w:pPr>
        <w:pStyle w:val="NormaleWeb"/>
        <w:spacing w:before="0" w:beforeAutospacing="0" w:after="0" w:afterAutospacing="0"/>
        <w:jc w:val="both"/>
        <w:rPr>
          <w:color w:val="000000"/>
          <w:sz w:val="22"/>
          <w:szCs w:val="22"/>
        </w:rPr>
      </w:pPr>
      <w:r w:rsidRPr="001C2BDD">
        <w:rPr>
          <w:color w:val="000000"/>
          <w:sz w:val="22"/>
          <w:szCs w:val="22"/>
          <w:lang w:val="en-US"/>
        </w:rPr>
        <w:t xml:space="preserve">Romani A, </w:t>
      </w:r>
      <w:proofErr w:type="spellStart"/>
      <w:r w:rsidRPr="001C2BDD">
        <w:rPr>
          <w:color w:val="000000"/>
          <w:sz w:val="22"/>
          <w:szCs w:val="22"/>
          <w:lang w:val="en-US"/>
        </w:rPr>
        <w:t>Ieri</w:t>
      </w:r>
      <w:proofErr w:type="spellEnd"/>
      <w:r w:rsidRPr="001C2BDD">
        <w:rPr>
          <w:color w:val="000000"/>
          <w:sz w:val="22"/>
          <w:szCs w:val="22"/>
          <w:lang w:val="en-US"/>
        </w:rPr>
        <w:t xml:space="preserve"> F, </w:t>
      </w:r>
      <w:proofErr w:type="spellStart"/>
      <w:r w:rsidRPr="001C2BDD">
        <w:rPr>
          <w:color w:val="000000"/>
          <w:sz w:val="22"/>
          <w:szCs w:val="22"/>
          <w:lang w:val="en-US"/>
        </w:rPr>
        <w:t>Urciuoli</w:t>
      </w:r>
      <w:proofErr w:type="spellEnd"/>
      <w:r w:rsidRPr="001C2BDD">
        <w:rPr>
          <w:color w:val="000000"/>
          <w:sz w:val="22"/>
          <w:szCs w:val="22"/>
          <w:lang w:val="en-US"/>
        </w:rPr>
        <w:t xml:space="preserve"> S, </w:t>
      </w:r>
      <w:proofErr w:type="spellStart"/>
      <w:r w:rsidRPr="001C2BDD">
        <w:rPr>
          <w:color w:val="000000"/>
          <w:sz w:val="22"/>
          <w:szCs w:val="22"/>
          <w:lang w:val="en-US"/>
        </w:rPr>
        <w:t>Noce</w:t>
      </w:r>
      <w:proofErr w:type="spellEnd"/>
      <w:r w:rsidRPr="001C2BDD">
        <w:rPr>
          <w:color w:val="000000"/>
          <w:sz w:val="22"/>
          <w:szCs w:val="22"/>
          <w:lang w:val="en-US"/>
        </w:rPr>
        <w:t xml:space="preserve"> A, </w:t>
      </w:r>
      <w:proofErr w:type="spellStart"/>
      <w:r w:rsidRPr="001C2BDD">
        <w:rPr>
          <w:color w:val="000000"/>
          <w:sz w:val="22"/>
          <w:szCs w:val="22"/>
          <w:lang w:val="en-US"/>
        </w:rPr>
        <w:t>Marrone</w:t>
      </w:r>
      <w:proofErr w:type="spellEnd"/>
      <w:r w:rsidRPr="001C2BDD">
        <w:rPr>
          <w:color w:val="000000"/>
          <w:sz w:val="22"/>
          <w:szCs w:val="22"/>
          <w:lang w:val="en-US"/>
        </w:rPr>
        <w:t xml:space="preserve"> G, </w:t>
      </w:r>
      <w:proofErr w:type="spellStart"/>
      <w:r w:rsidRPr="001C2BDD">
        <w:rPr>
          <w:color w:val="000000"/>
          <w:sz w:val="22"/>
          <w:szCs w:val="22"/>
          <w:lang w:val="en-US"/>
        </w:rPr>
        <w:t>Nediani</w:t>
      </w:r>
      <w:proofErr w:type="spellEnd"/>
      <w:r w:rsidRPr="001C2BDD">
        <w:rPr>
          <w:color w:val="000000"/>
          <w:sz w:val="22"/>
          <w:szCs w:val="22"/>
          <w:lang w:val="en-US"/>
        </w:rPr>
        <w:t xml:space="preserve"> C, Bernini R. (2019), Health Effects of Phenolic Compounds Found in Extra-Virgin Olive Oil, By-Products, and Leaf of Olea europaea L. Nutrients.; 11(8):1776. </w:t>
      </w:r>
      <w:hyperlink r:id="rId9" w:history="1">
        <w:r w:rsidRPr="00405DBF">
          <w:rPr>
            <w:rStyle w:val="Collegamentoipertestuale"/>
            <w:sz w:val="22"/>
            <w:szCs w:val="22"/>
          </w:rPr>
          <w:t>https://doi.org/10.3390/nu11081776</w:t>
        </w:r>
      </w:hyperlink>
    </w:p>
    <w:p w14:paraId="3C54C508" w14:textId="77777777" w:rsidR="001C2BDD" w:rsidRPr="00405DBF" w:rsidRDefault="001C2BDD" w:rsidP="006710FF">
      <w:pPr>
        <w:pStyle w:val="NormaleWeb"/>
        <w:spacing w:before="0" w:beforeAutospacing="0" w:after="0" w:afterAutospacing="0"/>
        <w:jc w:val="both"/>
        <w:rPr>
          <w:color w:val="000000"/>
          <w:sz w:val="22"/>
          <w:szCs w:val="22"/>
        </w:rPr>
      </w:pPr>
    </w:p>
    <w:p w14:paraId="2463022F" w14:textId="2965987A" w:rsidR="00994A05" w:rsidRPr="0007006F" w:rsidRDefault="00D74000" w:rsidP="0007006F">
      <w:pPr>
        <w:pStyle w:val="NormaleWeb"/>
        <w:spacing w:before="0" w:beforeAutospacing="0" w:after="0" w:afterAutospacing="0"/>
        <w:jc w:val="both"/>
        <w:rPr>
          <w:color w:val="000000"/>
          <w:sz w:val="22"/>
          <w:szCs w:val="22"/>
          <w:lang w:val="en-US"/>
        </w:rPr>
      </w:pPr>
      <w:r w:rsidRPr="001C2BDD">
        <w:rPr>
          <w:color w:val="000000"/>
          <w:sz w:val="22"/>
          <w:szCs w:val="22"/>
        </w:rPr>
        <w:t xml:space="preserve">Romani A., Pinelli P., Ieri F., Bernini R. 2016. </w:t>
      </w:r>
      <w:r w:rsidRPr="001C2BDD">
        <w:rPr>
          <w:color w:val="000000"/>
          <w:sz w:val="22"/>
          <w:szCs w:val="22"/>
          <w:lang w:val="en-US"/>
        </w:rPr>
        <w:t xml:space="preserve">"Sustainability, Innovation, and Green Chemistry in the Production and Valorization of Phenolic Extracts from </w:t>
      </w:r>
      <w:r w:rsidRPr="001C2BDD">
        <w:rPr>
          <w:i/>
          <w:iCs/>
          <w:color w:val="000000"/>
          <w:sz w:val="22"/>
          <w:szCs w:val="22"/>
          <w:lang w:val="en-US"/>
        </w:rPr>
        <w:t>Olea europaea</w:t>
      </w:r>
      <w:r w:rsidRPr="001C2BDD">
        <w:rPr>
          <w:color w:val="000000"/>
          <w:sz w:val="22"/>
          <w:szCs w:val="22"/>
          <w:lang w:val="en-US"/>
        </w:rPr>
        <w:t xml:space="preserve"> L." Sustainability 8, no. 10: 1002. (https://doi.org/10.3390/su8101002</w:t>
      </w:r>
      <w:r w:rsidR="00AB1545">
        <w:rPr>
          <w:color w:val="000000"/>
          <w:sz w:val="22"/>
          <w:szCs w:val="22"/>
          <w:lang w:val="en-US"/>
        </w:rPr>
        <w:t>)</w:t>
      </w:r>
    </w:p>
    <w:sectPr w:rsidR="00994A05" w:rsidRPr="0007006F"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69D09" w14:textId="77777777" w:rsidR="009A25BE" w:rsidRDefault="009A25BE">
      <w:pPr>
        <w:spacing w:line="240" w:lineRule="auto"/>
      </w:pPr>
      <w:r>
        <w:separator/>
      </w:r>
    </w:p>
  </w:endnote>
  <w:endnote w:type="continuationSeparator" w:id="0">
    <w:p w14:paraId="18FCD4F7" w14:textId="77777777" w:rsidR="009A25BE" w:rsidRDefault="009A25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8930D2">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88B49" w14:textId="77777777" w:rsidR="009A25BE" w:rsidRDefault="009A25BE">
      <w:pPr>
        <w:spacing w:line="240" w:lineRule="auto"/>
      </w:pPr>
      <w:r>
        <w:separator/>
      </w:r>
    </w:p>
  </w:footnote>
  <w:footnote w:type="continuationSeparator" w:id="0">
    <w:p w14:paraId="3EB47E6A" w14:textId="77777777" w:rsidR="009A25BE" w:rsidRDefault="009A25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5314" w14:textId="77777777"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8930D2">
      <w:rPr>
        <w:rStyle w:val="Numeropagina"/>
        <w:noProof/>
        <w:sz w:val="18"/>
      </w:rPr>
      <w:t>8</w:t>
    </w:r>
    <w:r w:rsidR="00A56CDE" w:rsidRPr="000E2F27">
      <w:rPr>
        <w:rStyle w:val="Numeropagina"/>
        <w:sz w:val="18"/>
      </w:rPr>
      <w:fldChar w:fldCharType="end"/>
    </w:r>
    <w:r w:rsidR="00A56CDE">
      <w:rPr>
        <w:rStyle w:val="Numeropagina"/>
        <w:sz w:val="18"/>
      </w:rPr>
      <w:tab/>
    </w:r>
    <w:r w:rsidR="00A138D7" w:rsidRPr="000E2F27">
      <w:rPr>
        <w:i/>
        <w:sz w:val="18"/>
      </w:rPr>
      <w:t>F. Author &amp; S.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11E3EDB0" w:rsidR="00A138D7" w:rsidRDefault="00566851" w:rsidP="00052431">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052431" w:rsidRPr="00052431">
      <w:rPr>
        <w:i/>
        <w:noProof/>
        <w:sz w:val="18"/>
        <w:lang w:val="en-SG" w:eastAsia="en-SG"/>
      </w:rPr>
      <w:t>Enhancement of waste from the agri-food chain as innovative ingredients for the formulation of functional foods and their impact in chronic kidney disease</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8930D2">
      <w:rPr>
        <w:rStyle w:val="Numeropagina"/>
        <w:noProof/>
        <w:sz w:val="18"/>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6214F17"/>
    <w:multiLevelType w:val="hybridMultilevel"/>
    <w:tmpl w:val="DD9407AA"/>
    <w:lvl w:ilvl="0" w:tplc="AF36597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7"/>
  </w:num>
  <w:num w:numId="4">
    <w:abstractNumId w:val="9"/>
  </w:num>
  <w:num w:numId="5">
    <w:abstractNumId w:val="22"/>
  </w:num>
  <w:num w:numId="6">
    <w:abstractNumId w:val="10"/>
  </w:num>
  <w:num w:numId="7">
    <w:abstractNumId w:val="5"/>
  </w:num>
  <w:num w:numId="8">
    <w:abstractNumId w:val="11"/>
  </w:num>
  <w:num w:numId="9">
    <w:abstractNumId w:val="1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0"/>
  </w:num>
  <w:num w:numId="23">
    <w:abstractNumId w:val="10"/>
  </w:num>
  <w:num w:numId="24">
    <w:abstractNumId w:val="0"/>
  </w:num>
  <w:num w:numId="25">
    <w:abstractNumId w:val="6"/>
  </w:num>
  <w:num w:numId="26">
    <w:abstractNumId w:val="3"/>
  </w:num>
  <w:num w:numId="27">
    <w:abstractNumId w:val="15"/>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07115"/>
    <w:rsid w:val="00011663"/>
    <w:rsid w:val="00013FAC"/>
    <w:rsid w:val="00014E42"/>
    <w:rsid w:val="000207D2"/>
    <w:rsid w:val="000233B0"/>
    <w:rsid w:val="00034334"/>
    <w:rsid w:val="000343A6"/>
    <w:rsid w:val="000358C0"/>
    <w:rsid w:val="00041C51"/>
    <w:rsid w:val="00052431"/>
    <w:rsid w:val="00054B55"/>
    <w:rsid w:val="00055617"/>
    <w:rsid w:val="00062998"/>
    <w:rsid w:val="0007006F"/>
    <w:rsid w:val="00073053"/>
    <w:rsid w:val="0007387C"/>
    <w:rsid w:val="0007584D"/>
    <w:rsid w:val="000771BE"/>
    <w:rsid w:val="0009695A"/>
    <w:rsid w:val="00096B47"/>
    <w:rsid w:val="000A0084"/>
    <w:rsid w:val="000A596C"/>
    <w:rsid w:val="000A746C"/>
    <w:rsid w:val="000B142B"/>
    <w:rsid w:val="000D5C93"/>
    <w:rsid w:val="000E2F27"/>
    <w:rsid w:val="000E7099"/>
    <w:rsid w:val="000F254D"/>
    <w:rsid w:val="000F32B9"/>
    <w:rsid w:val="000F5341"/>
    <w:rsid w:val="000F63D4"/>
    <w:rsid w:val="001002D8"/>
    <w:rsid w:val="00107A8A"/>
    <w:rsid w:val="00115B90"/>
    <w:rsid w:val="00122983"/>
    <w:rsid w:val="00125DB4"/>
    <w:rsid w:val="00132754"/>
    <w:rsid w:val="001334DD"/>
    <w:rsid w:val="001429F4"/>
    <w:rsid w:val="00151DC5"/>
    <w:rsid w:val="001540CF"/>
    <w:rsid w:val="001646F6"/>
    <w:rsid w:val="00164AC4"/>
    <w:rsid w:val="00180BB3"/>
    <w:rsid w:val="00184605"/>
    <w:rsid w:val="00194854"/>
    <w:rsid w:val="0019582D"/>
    <w:rsid w:val="00197107"/>
    <w:rsid w:val="00197312"/>
    <w:rsid w:val="001A52A5"/>
    <w:rsid w:val="001A6092"/>
    <w:rsid w:val="001B1B69"/>
    <w:rsid w:val="001B43AB"/>
    <w:rsid w:val="001C2BDD"/>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48D0"/>
    <w:rsid w:val="00265B71"/>
    <w:rsid w:val="002660BC"/>
    <w:rsid w:val="00276C2E"/>
    <w:rsid w:val="002807E5"/>
    <w:rsid w:val="00281505"/>
    <w:rsid w:val="00281F6D"/>
    <w:rsid w:val="00282157"/>
    <w:rsid w:val="00287F3D"/>
    <w:rsid w:val="002946A4"/>
    <w:rsid w:val="00296ECD"/>
    <w:rsid w:val="002A2910"/>
    <w:rsid w:val="002A45C3"/>
    <w:rsid w:val="002A6FA5"/>
    <w:rsid w:val="002B2B49"/>
    <w:rsid w:val="002C06E7"/>
    <w:rsid w:val="002C3CED"/>
    <w:rsid w:val="002C5CB4"/>
    <w:rsid w:val="002D29FD"/>
    <w:rsid w:val="002D3231"/>
    <w:rsid w:val="002D414C"/>
    <w:rsid w:val="002E4DAC"/>
    <w:rsid w:val="002E6684"/>
    <w:rsid w:val="002F01ED"/>
    <w:rsid w:val="002F3593"/>
    <w:rsid w:val="002F4E7A"/>
    <w:rsid w:val="002F7330"/>
    <w:rsid w:val="003069D3"/>
    <w:rsid w:val="003111B2"/>
    <w:rsid w:val="00323789"/>
    <w:rsid w:val="00324DA4"/>
    <w:rsid w:val="0032730D"/>
    <w:rsid w:val="0033032F"/>
    <w:rsid w:val="00332921"/>
    <w:rsid w:val="00335F68"/>
    <w:rsid w:val="003360BF"/>
    <w:rsid w:val="0033631D"/>
    <w:rsid w:val="00341D1E"/>
    <w:rsid w:val="003436C5"/>
    <w:rsid w:val="003472B2"/>
    <w:rsid w:val="00354949"/>
    <w:rsid w:val="003609D7"/>
    <w:rsid w:val="00362D5B"/>
    <w:rsid w:val="00362DC1"/>
    <w:rsid w:val="00364272"/>
    <w:rsid w:val="003719E6"/>
    <w:rsid w:val="00372272"/>
    <w:rsid w:val="00373C13"/>
    <w:rsid w:val="003812D5"/>
    <w:rsid w:val="0038280F"/>
    <w:rsid w:val="003873FD"/>
    <w:rsid w:val="00397013"/>
    <w:rsid w:val="003A2917"/>
    <w:rsid w:val="003A4089"/>
    <w:rsid w:val="003B2BC3"/>
    <w:rsid w:val="003B392B"/>
    <w:rsid w:val="003B59DA"/>
    <w:rsid w:val="003B64E3"/>
    <w:rsid w:val="003C3C09"/>
    <w:rsid w:val="003E156F"/>
    <w:rsid w:val="003F21E5"/>
    <w:rsid w:val="003F2E79"/>
    <w:rsid w:val="004004AB"/>
    <w:rsid w:val="00400544"/>
    <w:rsid w:val="004025FC"/>
    <w:rsid w:val="00402E4D"/>
    <w:rsid w:val="00405DBF"/>
    <w:rsid w:val="00410F19"/>
    <w:rsid w:val="00412D22"/>
    <w:rsid w:val="004136C5"/>
    <w:rsid w:val="00413C99"/>
    <w:rsid w:val="00416556"/>
    <w:rsid w:val="00416BA3"/>
    <w:rsid w:val="00417671"/>
    <w:rsid w:val="004178FA"/>
    <w:rsid w:val="00417DA2"/>
    <w:rsid w:val="004219A4"/>
    <w:rsid w:val="004225DE"/>
    <w:rsid w:val="004226E9"/>
    <w:rsid w:val="00425A66"/>
    <w:rsid w:val="00430738"/>
    <w:rsid w:val="00433B77"/>
    <w:rsid w:val="00445735"/>
    <w:rsid w:val="004479AA"/>
    <w:rsid w:val="00451B75"/>
    <w:rsid w:val="00452DE7"/>
    <w:rsid w:val="00453F74"/>
    <w:rsid w:val="004554B8"/>
    <w:rsid w:val="00462CBA"/>
    <w:rsid w:val="00464BF3"/>
    <w:rsid w:val="00466742"/>
    <w:rsid w:val="00474C6A"/>
    <w:rsid w:val="00476E8C"/>
    <w:rsid w:val="0048303E"/>
    <w:rsid w:val="0048706B"/>
    <w:rsid w:val="004A6ABE"/>
    <w:rsid w:val="004B041B"/>
    <w:rsid w:val="004C0B1B"/>
    <w:rsid w:val="004C2B73"/>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1E3E"/>
    <w:rsid w:val="0056238C"/>
    <w:rsid w:val="00566851"/>
    <w:rsid w:val="0057031F"/>
    <w:rsid w:val="00577E65"/>
    <w:rsid w:val="00594E12"/>
    <w:rsid w:val="00596504"/>
    <w:rsid w:val="005B22D7"/>
    <w:rsid w:val="005B238B"/>
    <w:rsid w:val="005B7822"/>
    <w:rsid w:val="005C400D"/>
    <w:rsid w:val="005C4AA9"/>
    <w:rsid w:val="005C503A"/>
    <w:rsid w:val="005D2441"/>
    <w:rsid w:val="005D2BB9"/>
    <w:rsid w:val="005E4032"/>
    <w:rsid w:val="005F12D1"/>
    <w:rsid w:val="00607D09"/>
    <w:rsid w:val="00616655"/>
    <w:rsid w:val="00616976"/>
    <w:rsid w:val="00616FBE"/>
    <w:rsid w:val="00617AE9"/>
    <w:rsid w:val="00622050"/>
    <w:rsid w:val="006232D0"/>
    <w:rsid w:val="00625F04"/>
    <w:rsid w:val="00626616"/>
    <w:rsid w:val="006334AA"/>
    <w:rsid w:val="00633639"/>
    <w:rsid w:val="0064475B"/>
    <w:rsid w:val="00647807"/>
    <w:rsid w:val="0065708D"/>
    <w:rsid w:val="00661587"/>
    <w:rsid w:val="006710FF"/>
    <w:rsid w:val="0067178F"/>
    <w:rsid w:val="00680158"/>
    <w:rsid w:val="006913D2"/>
    <w:rsid w:val="006957D8"/>
    <w:rsid w:val="00695D28"/>
    <w:rsid w:val="006A02FC"/>
    <w:rsid w:val="006A5F51"/>
    <w:rsid w:val="006A7075"/>
    <w:rsid w:val="006B2F24"/>
    <w:rsid w:val="006B3FFB"/>
    <w:rsid w:val="006C12C8"/>
    <w:rsid w:val="006C7CB5"/>
    <w:rsid w:val="006D53F2"/>
    <w:rsid w:val="006D5BDA"/>
    <w:rsid w:val="006D7E12"/>
    <w:rsid w:val="006F55CA"/>
    <w:rsid w:val="00701A95"/>
    <w:rsid w:val="00706B35"/>
    <w:rsid w:val="00707D3A"/>
    <w:rsid w:val="00717EF2"/>
    <w:rsid w:val="00734CEF"/>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0D60"/>
    <w:rsid w:val="007A7E8D"/>
    <w:rsid w:val="007B0738"/>
    <w:rsid w:val="007B567F"/>
    <w:rsid w:val="007D0E64"/>
    <w:rsid w:val="007D4C47"/>
    <w:rsid w:val="007E2A4C"/>
    <w:rsid w:val="007E4493"/>
    <w:rsid w:val="007F2C96"/>
    <w:rsid w:val="007F33D4"/>
    <w:rsid w:val="007F52D4"/>
    <w:rsid w:val="007F7EDC"/>
    <w:rsid w:val="00811C43"/>
    <w:rsid w:val="00813091"/>
    <w:rsid w:val="00813818"/>
    <w:rsid w:val="00820F66"/>
    <w:rsid w:val="008235E8"/>
    <w:rsid w:val="008349D8"/>
    <w:rsid w:val="00834CB5"/>
    <w:rsid w:val="00836890"/>
    <w:rsid w:val="00842480"/>
    <w:rsid w:val="00855A7B"/>
    <w:rsid w:val="00864C5F"/>
    <w:rsid w:val="00867EB1"/>
    <w:rsid w:val="00870B2F"/>
    <w:rsid w:val="008743F1"/>
    <w:rsid w:val="00883ADA"/>
    <w:rsid w:val="00885E21"/>
    <w:rsid w:val="00886930"/>
    <w:rsid w:val="00890039"/>
    <w:rsid w:val="00890FC0"/>
    <w:rsid w:val="00892E79"/>
    <w:rsid w:val="008930D2"/>
    <w:rsid w:val="008950D5"/>
    <w:rsid w:val="008A3CBB"/>
    <w:rsid w:val="008A6506"/>
    <w:rsid w:val="008A6BEC"/>
    <w:rsid w:val="008B058F"/>
    <w:rsid w:val="008B0E64"/>
    <w:rsid w:val="008B14E6"/>
    <w:rsid w:val="008B4D69"/>
    <w:rsid w:val="008B5AAC"/>
    <w:rsid w:val="008C1A0D"/>
    <w:rsid w:val="008C4818"/>
    <w:rsid w:val="008C682A"/>
    <w:rsid w:val="008C685C"/>
    <w:rsid w:val="008D59D4"/>
    <w:rsid w:val="008F2AE1"/>
    <w:rsid w:val="008F43D1"/>
    <w:rsid w:val="008F6B46"/>
    <w:rsid w:val="009128B3"/>
    <w:rsid w:val="00913505"/>
    <w:rsid w:val="00913BEA"/>
    <w:rsid w:val="00922EDF"/>
    <w:rsid w:val="00925C93"/>
    <w:rsid w:val="00926432"/>
    <w:rsid w:val="009269FC"/>
    <w:rsid w:val="0093138F"/>
    <w:rsid w:val="00932A8F"/>
    <w:rsid w:val="00933404"/>
    <w:rsid w:val="00933B5F"/>
    <w:rsid w:val="00943340"/>
    <w:rsid w:val="00947FA5"/>
    <w:rsid w:val="0095003F"/>
    <w:rsid w:val="0095101B"/>
    <w:rsid w:val="00962F68"/>
    <w:rsid w:val="0096745D"/>
    <w:rsid w:val="0097219A"/>
    <w:rsid w:val="00982020"/>
    <w:rsid w:val="009848F2"/>
    <w:rsid w:val="00994A05"/>
    <w:rsid w:val="00994D6B"/>
    <w:rsid w:val="009A25BE"/>
    <w:rsid w:val="009A4835"/>
    <w:rsid w:val="009B02A3"/>
    <w:rsid w:val="009C1186"/>
    <w:rsid w:val="009C4022"/>
    <w:rsid w:val="009C6B67"/>
    <w:rsid w:val="009D0521"/>
    <w:rsid w:val="009D0E30"/>
    <w:rsid w:val="009D3A6F"/>
    <w:rsid w:val="009D479A"/>
    <w:rsid w:val="009D6661"/>
    <w:rsid w:val="009D7165"/>
    <w:rsid w:val="009E2377"/>
    <w:rsid w:val="009E23F3"/>
    <w:rsid w:val="009E690F"/>
    <w:rsid w:val="009F68F7"/>
    <w:rsid w:val="00A1065E"/>
    <w:rsid w:val="00A110F9"/>
    <w:rsid w:val="00A1240E"/>
    <w:rsid w:val="00A12967"/>
    <w:rsid w:val="00A138D7"/>
    <w:rsid w:val="00A168C4"/>
    <w:rsid w:val="00A17B32"/>
    <w:rsid w:val="00A36643"/>
    <w:rsid w:val="00A370E2"/>
    <w:rsid w:val="00A42670"/>
    <w:rsid w:val="00A45249"/>
    <w:rsid w:val="00A45CB2"/>
    <w:rsid w:val="00A468DC"/>
    <w:rsid w:val="00A46E86"/>
    <w:rsid w:val="00A53732"/>
    <w:rsid w:val="00A552C4"/>
    <w:rsid w:val="00A56CDE"/>
    <w:rsid w:val="00A57CD4"/>
    <w:rsid w:val="00A61854"/>
    <w:rsid w:val="00A667EE"/>
    <w:rsid w:val="00A77727"/>
    <w:rsid w:val="00A80BE1"/>
    <w:rsid w:val="00A842D1"/>
    <w:rsid w:val="00AA44B5"/>
    <w:rsid w:val="00AB1545"/>
    <w:rsid w:val="00AB3AE7"/>
    <w:rsid w:val="00AD2AE9"/>
    <w:rsid w:val="00AD7322"/>
    <w:rsid w:val="00AE1F85"/>
    <w:rsid w:val="00AF1114"/>
    <w:rsid w:val="00AF3380"/>
    <w:rsid w:val="00AF7D8E"/>
    <w:rsid w:val="00B03262"/>
    <w:rsid w:val="00B033BC"/>
    <w:rsid w:val="00B0708D"/>
    <w:rsid w:val="00B07E02"/>
    <w:rsid w:val="00B10CED"/>
    <w:rsid w:val="00B1463D"/>
    <w:rsid w:val="00B214D7"/>
    <w:rsid w:val="00B35EFB"/>
    <w:rsid w:val="00B453CE"/>
    <w:rsid w:val="00B469F2"/>
    <w:rsid w:val="00B53A9E"/>
    <w:rsid w:val="00B6419A"/>
    <w:rsid w:val="00B817CF"/>
    <w:rsid w:val="00BB0078"/>
    <w:rsid w:val="00BB5183"/>
    <w:rsid w:val="00BC3E12"/>
    <w:rsid w:val="00BD4DA7"/>
    <w:rsid w:val="00BD5DF7"/>
    <w:rsid w:val="00BE731C"/>
    <w:rsid w:val="00BE7F4A"/>
    <w:rsid w:val="00BF09A2"/>
    <w:rsid w:val="00BF1316"/>
    <w:rsid w:val="00C05871"/>
    <w:rsid w:val="00C15C34"/>
    <w:rsid w:val="00C22525"/>
    <w:rsid w:val="00C25E10"/>
    <w:rsid w:val="00C2682C"/>
    <w:rsid w:val="00C32A69"/>
    <w:rsid w:val="00C43441"/>
    <w:rsid w:val="00C44DB4"/>
    <w:rsid w:val="00C47221"/>
    <w:rsid w:val="00C54276"/>
    <w:rsid w:val="00C56538"/>
    <w:rsid w:val="00C5684B"/>
    <w:rsid w:val="00C72DFB"/>
    <w:rsid w:val="00C764D5"/>
    <w:rsid w:val="00C82890"/>
    <w:rsid w:val="00C84C2F"/>
    <w:rsid w:val="00C87367"/>
    <w:rsid w:val="00C9206F"/>
    <w:rsid w:val="00CA001C"/>
    <w:rsid w:val="00CA1199"/>
    <w:rsid w:val="00CA21DA"/>
    <w:rsid w:val="00CA7FFA"/>
    <w:rsid w:val="00CB1B1B"/>
    <w:rsid w:val="00CB58DC"/>
    <w:rsid w:val="00CC03AA"/>
    <w:rsid w:val="00CC04A2"/>
    <w:rsid w:val="00CC07F8"/>
    <w:rsid w:val="00CC3E0D"/>
    <w:rsid w:val="00CD18DF"/>
    <w:rsid w:val="00CD3CF5"/>
    <w:rsid w:val="00CD4984"/>
    <w:rsid w:val="00CD5605"/>
    <w:rsid w:val="00CD74E8"/>
    <w:rsid w:val="00CE0383"/>
    <w:rsid w:val="00CE217F"/>
    <w:rsid w:val="00CE2603"/>
    <w:rsid w:val="00CF0E98"/>
    <w:rsid w:val="00CF74EC"/>
    <w:rsid w:val="00D02EA3"/>
    <w:rsid w:val="00D07C01"/>
    <w:rsid w:val="00D112C7"/>
    <w:rsid w:val="00D13093"/>
    <w:rsid w:val="00D17499"/>
    <w:rsid w:val="00D22B5A"/>
    <w:rsid w:val="00D24030"/>
    <w:rsid w:val="00D33858"/>
    <w:rsid w:val="00D40645"/>
    <w:rsid w:val="00D42278"/>
    <w:rsid w:val="00D42803"/>
    <w:rsid w:val="00D454C6"/>
    <w:rsid w:val="00D50412"/>
    <w:rsid w:val="00D51252"/>
    <w:rsid w:val="00D5468B"/>
    <w:rsid w:val="00D551B9"/>
    <w:rsid w:val="00D5596B"/>
    <w:rsid w:val="00D56539"/>
    <w:rsid w:val="00D566BC"/>
    <w:rsid w:val="00D617D8"/>
    <w:rsid w:val="00D65CAD"/>
    <w:rsid w:val="00D66C5D"/>
    <w:rsid w:val="00D66ED0"/>
    <w:rsid w:val="00D71931"/>
    <w:rsid w:val="00D73EA5"/>
    <w:rsid w:val="00D74000"/>
    <w:rsid w:val="00D81276"/>
    <w:rsid w:val="00D84BE5"/>
    <w:rsid w:val="00D90731"/>
    <w:rsid w:val="00DB4AE0"/>
    <w:rsid w:val="00DB7B7D"/>
    <w:rsid w:val="00DD3D5B"/>
    <w:rsid w:val="00DD4ED3"/>
    <w:rsid w:val="00DE293F"/>
    <w:rsid w:val="00DE6CE1"/>
    <w:rsid w:val="00DF0510"/>
    <w:rsid w:val="00DF13A1"/>
    <w:rsid w:val="00DF1E35"/>
    <w:rsid w:val="00DF29A0"/>
    <w:rsid w:val="00DF2FB4"/>
    <w:rsid w:val="00E02792"/>
    <w:rsid w:val="00E04BF6"/>
    <w:rsid w:val="00E12E41"/>
    <w:rsid w:val="00E1634A"/>
    <w:rsid w:val="00E23375"/>
    <w:rsid w:val="00E27221"/>
    <w:rsid w:val="00E364ED"/>
    <w:rsid w:val="00E43F28"/>
    <w:rsid w:val="00E5025A"/>
    <w:rsid w:val="00E5642A"/>
    <w:rsid w:val="00E66E69"/>
    <w:rsid w:val="00E73C1A"/>
    <w:rsid w:val="00E75785"/>
    <w:rsid w:val="00E8137F"/>
    <w:rsid w:val="00E9559E"/>
    <w:rsid w:val="00E97930"/>
    <w:rsid w:val="00EB31D3"/>
    <w:rsid w:val="00EB6346"/>
    <w:rsid w:val="00EB6EB5"/>
    <w:rsid w:val="00EC0855"/>
    <w:rsid w:val="00ED3556"/>
    <w:rsid w:val="00ED3BDA"/>
    <w:rsid w:val="00EE3B7E"/>
    <w:rsid w:val="00EE6A5A"/>
    <w:rsid w:val="00EF32B6"/>
    <w:rsid w:val="00EF6B6A"/>
    <w:rsid w:val="00F115BF"/>
    <w:rsid w:val="00F12BC6"/>
    <w:rsid w:val="00F20B3E"/>
    <w:rsid w:val="00F244BF"/>
    <w:rsid w:val="00F26CCF"/>
    <w:rsid w:val="00F27400"/>
    <w:rsid w:val="00F32081"/>
    <w:rsid w:val="00F355D6"/>
    <w:rsid w:val="00F43024"/>
    <w:rsid w:val="00F463C7"/>
    <w:rsid w:val="00F5081D"/>
    <w:rsid w:val="00F51E62"/>
    <w:rsid w:val="00F605AB"/>
    <w:rsid w:val="00F61060"/>
    <w:rsid w:val="00F645D6"/>
    <w:rsid w:val="00F71453"/>
    <w:rsid w:val="00F768C6"/>
    <w:rsid w:val="00F77123"/>
    <w:rsid w:val="00F87A09"/>
    <w:rsid w:val="00F97EF4"/>
    <w:rsid w:val="00FA03BC"/>
    <w:rsid w:val="00FA394E"/>
    <w:rsid w:val="00FA6A4A"/>
    <w:rsid w:val="00FB037F"/>
    <w:rsid w:val="00FB126F"/>
    <w:rsid w:val="00FB3213"/>
    <w:rsid w:val="00FB55C5"/>
    <w:rsid w:val="00FB6DC9"/>
    <w:rsid w:val="00FB6E44"/>
    <w:rsid w:val="00FB7056"/>
    <w:rsid w:val="00FC3A4D"/>
    <w:rsid w:val="00FD6BAA"/>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413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B1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98259">
      <w:bodyDiv w:val="1"/>
      <w:marLeft w:val="0"/>
      <w:marRight w:val="0"/>
      <w:marTop w:val="0"/>
      <w:marBottom w:val="0"/>
      <w:divBdr>
        <w:top w:val="none" w:sz="0" w:space="0" w:color="auto"/>
        <w:left w:val="none" w:sz="0" w:space="0" w:color="auto"/>
        <w:bottom w:val="none" w:sz="0" w:space="0" w:color="auto"/>
        <w:right w:val="none" w:sz="0" w:space="0" w:color="auto"/>
      </w:divBdr>
    </w:div>
    <w:div w:id="295452169">
      <w:bodyDiv w:val="1"/>
      <w:marLeft w:val="0"/>
      <w:marRight w:val="0"/>
      <w:marTop w:val="0"/>
      <w:marBottom w:val="0"/>
      <w:divBdr>
        <w:top w:val="none" w:sz="0" w:space="0" w:color="auto"/>
        <w:left w:val="none" w:sz="0" w:space="0" w:color="auto"/>
        <w:bottom w:val="none" w:sz="0" w:space="0" w:color="auto"/>
        <w:right w:val="none" w:sz="0" w:space="0" w:color="auto"/>
      </w:divBdr>
    </w:div>
    <w:div w:id="402487787">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682166895">
      <w:bodyDiv w:val="1"/>
      <w:marLeft w:val="0"/>
      <w:marRight w:val="0"/>
      <w:marTop w:val="0"/>
      <w:marBottom w:val="0"/>
      <w:divBdr>
        <w:top w:val="none" w:sz="0" w:space="0" w:color="auto"/>
        <w:left w:val="none" w:sz="0" w:space="0" w:color="auto"/>
        <w:bottom w:val="none" w:sz="0" w:space="0" w:color="auto"/>
        <w:right w:val="none" w:sz="0" w:space="0" w:color="auto"/>
      </w:divBdr>
    </w:div>
    <w:div w:id="838083086">
      <w:bodyDiv w:val="1"/>
      <w:marLeft w:val="0"/>
      <w:marRight w:val="0"/>
      <w:marTop w:val="0"/>
      <w:marBottom w:val="0"/>
      <w:divBdr>
        <w:top w:val="none" w:sz="0" w:space="0" w:color="auto"/>
        <w:left w:val="none" w:sz="0" w:space="0" w:color="auto"/>
        <w:bottom w:val="none" w:sz="0" w:space="0" w:color="auto"/>
        <w:right w:val="none" w:sz="0" w:space="0" w:color="auto"/>
      </w:divBdr>
    </w:div>
    <w:div w:id="1069890309">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904694">
      <w:bodyDiv w:val="1"/>
      <w:marLeft w:val="0"/>
      <w:marRight w:val="0"/>
      <w:marTop w:val="0"/>
      <w:marBottom w:val="0"/>
      <w:divBdr>
        <w:top w:val="none" w:sz="0" w:space="0" w:color="auto"/>
        <w:left w:val="none" w:sz="0" w:space="0" w:color="auto"/>
        <w:bottom w:val="none" w:sz="0" w:space="0" w:color="auto"/>
        <w:right w:val="none" w:sz="0" w:space="0" w:color="auto"/>
      </w:divBdr>
    </w:div>
    <w:div w:id="1551961695">
      <w:bodyDiv w:val="1"/>
      <w:marLeft w:val="0"/>
      <w:marRight w:val="0"/>
      <w:marTop w:val="0"/>
      <w:marBottom w:val="0"/>
      <w:divBdr>
        <w:top w:val="none" w:sz="0" w:space="0" w:color="auto"/>
        <w:left w:val="none" w:sz="0" w:space="0" w:color="auto"/>
        <w:bottom w:val="none" w:sz="0" w:space="0" w:color="auto"/>
        <w:right w:val="none" w:sz="0" w:space="0" w:color="auto"/>
      </w:divBdr>
    </w:div>
    <w:div w:id="1633440108">
      <w:bodyDiv w:val="1"/>
      <w:marLeft w:val="0"/>
      <w:marRight w:val="0"/>
      <w:marTop w:val="0"/>
      <w:marBottom w:val="0"/>
      <w:divBdr>
        <w:top w:val="none" w:sz="0" w:space="0" w:color="auto"/>
        <w:left w:val="none" w:sz="0" w:space="0" w:color="auto"/>
        <w:bottom w:val="none" w:sz="0" w:space="0" w:color="auto"/>
        <w:right w:val="none" w:sz="0" w:space="0" w:color="auto"/>
      </w:divBdr>
    </w:div>
    <w:div w:id="1859006875">
      <w:bodyDiv w:val="1"/>
      <w:marLeft w:val="0"/>
      <w:marRight w:val="0"/>
      <w:marTop w:val="0"/>
      <w:marBottom w:val="0"/>
      <w:divBdr>
        <w:top w:val="none" w:sz="0" w:space="0" w:color="auto"/>
        <w:left w:val="none" w:sz="0" w:space="0" w:color="auto"/>
        <w:bottom w:val="none" w:sz="0" w:space="0" w:color="auto"/>
        <w:right w:val="none" w:sz="0" w:space="0" w:color="auto"/>
      </w:divBdr>
    </w:div>
    <w:div w:id="1941571062">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390/ijerph1906328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390/nu1108177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11</TotalTime>
  <Pages>8</Pages>
  <Words>2462</Words>
  <Characters>12975</Characters>
  <Application>Microsoft Office Word</Application>
  <DocSecurity>0</DocSecurity>
  <Lines>180</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15408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Urciuoli</dc:creator>
  <cp:keywords/>
  <dc:description/>
  <cp:lastModifiedBy>User</cp:lastModifiedBy>
  <cp:revision>5</cp:revision>
  <cp:lastPrinted>2022-06-23T16:53:00Z</cp:lastPrinted>
  <dcterms:created xsi:type="dcterms:W3CDTF">2022-06-24T11:36:00Z</dcterms:created>
  <dcterms:modified xsi:type="dcterms:W3CDTF">2022-07-01T10:09:00Z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