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093E804E" w:rsidR="009848F2" w:rsidRDefault="009848F2" w:rsidP="000B363E">
      <w:pPr>
        <w:pStyle w:val="ChapterTitle"/>
        <w:widowControl w:val="0"/>
        <w:tabs>
          <w:tab w:val="left" w:pos="5812"/>
          <w:tab w:val="left" w:pos="5954"/>
          <w:tab w:val="left" w:pos="6096"/>
          <w:tab w:val="left" w:pos="6237"/>
        </w:tabs>
        <w:spacing w:after="0" w:line="240" w:lineRule="auto"/>
        <w:ind w:left="0" w:right="-28"/>
        <w:jc w:val="left"/>
        <w:rPr>
          <w:color w:val="FF0000"/>
          <w:sz w:val="28"/>
        </w:rPr>
      </w:pPr>
      <w:r w:rsidRPr="00196917">
        <w:rPr>
          <w:sz w:val="28"/>
        </w:rPr>
        <w:t>Chapter N</w:t>
      </w:r>
      <w:r w:rsidR="007808F3" w:rsidRPr="00196917">
        <w:rPr>
          <w:sz w:val="28"/>
        </w:rPr>
        <w:t xml:space="preserve"> </w:t>
      </w:r>
      <w:r w:rsidR="00DA0002">
        <w:rPr>
          <w:color w:val="FF0000"/>
          <w:sz w:val="28"/>
        </w:rPr>
        <w:t>082</w:t>
      </w:r>
    </w:p>
    <w:p w14:paraId="3DCCECBB" w14:textId="77777777" w:rsidR="00DA0002" w:rsidRPr="00196917" w:rsidRDefault="00DA0002" w:rsidP="000B363E">
      <w:pPr>
        <w:pStyle w:val="ChapterTitle"/>
        <w:widowControl w:val="0"/>
        <w:tabs>
          <w:tab w:val="left" w:pos="5812"/>
          <w:tab w:val="left" w:pos="5954"/>
          <w:tab w:val="left" w:pos="6096"/>
          <w:tab w:val="left" w:pos="6237"/>
        </w:tabs>
        <w:spacing w:after="0" w:line="240" w:lineRule="auto"/>
        <w:ind w:left="0" w:right="-28"/>
        <w:jc w:val="left"/>
        <w:rPr>
          <w:sz w:val="28"/>
        </w:rPr>
      </w:pPr>
    </w:p>
    <w:p w14:paraId="0AA38F2B" w14:textId="2B9AFFCD" w:rsidR="009848F2" w:rsidRPr="009B78B4" w:rsidRDefault="006C47ED" w:rsidP="000B363E">
      <w:pPr>
        <w:pStyle w:val="ChapterTitle"/>
        <w:widowControl w:val="0"/>
        <w:tabs>
          <w:tab w:val="left" w:pos="5812"/>
          <w:tab w:val="left" w:pos="5954"/>
          <w:tab w:val="left" w:pos="6096"/>
          <w:tab w:val="left" w:pos="6237"/>
        </w:tabs>
        <w:spacing w:after="0" w:line="240" w:lineRule="auto"/>
        <w:ind w:left="0" w:right="-28"/>
        <w:jc w:val="left"/>
        <w:rPr>
          <w:sz w:val="28"/>
        </w:rPr>
      </w:pPr>
      <w:bookmarkStart w:id="0" w:name="_Hlk104385278"/>
      <w:r w:rsidRPr="009B78B4">
        <w:rPr>
          <w:sz w:val="28"/>
        </w:rPr>
        <w:t xml:space="preserve">Life Cycle Assessment and Life Cycle Costing of </w:t>
      </w:r>
      <w:proofErr w:type="gramStart"/>
      <w:r w:rsidRPr="009B78B4">
        <w:rPr>
          <w:sz w:val="28"/>
        </w:rPr>
        <w:t>an</w:t>
      </w:r>
      <w:proofErr w:type="gramEnd"/>
      <w:r w:rsidRPr="009B78B4">
        <w:rPr>
          <w:sz w:val="28"/>
        </w:rPr>
        <w:t xml:space="preserve"> uniti</w:t>
      </w:r>
      <w:r w:rsidR="004919EF">
        <w:rPr>
          <w:sz w:val="28"/>
        </w:rPr>
        <w:t>z</w:t>
      </w:r>
      <w:r w:rsidRPr="009B78B4">
        <w:rPr>
          <w:sz w:val="28"/>
        </w:rPr>
        <w:t>ed regenerative fuel cell stack: a preliminary study</w:t>
      </w:r>
    </w:p>
    <w:bookmarkEnd w:id="0"/>
    <w:p w14:paraId="61F73F98" w14:textId="77777777" w:rsidR="007B567F" w:rsidRPr="00897ADB" w:rsidRDefault="007B567F" w:rsidP="000B363E">
      <w:pPr>
        <w:pStyle w:val="Abstract"/>
        <w:widowControl w:val="0"/>
        <w:rPr>
          <w:lang w:val="pt-PT"/>
        </w:rPr>
      </w:pPr>
      <w:r>
        <w:rPr>
          <w:noProof/>
          <w:snapToGrid/>
          <w:lang w:val="it-IT" w:eastAsia="it-IT"/>
        </w:rPr>
        <mc:AlternateContent>
          <mc:Choice Requires="wps">
            <w:drawing>
              <wp:anchor distT="0" distB="0" distL="114300" distR="114300" simplePos="0" relativeHeight="251658240"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742ABFA" id="Connettore diritto 50"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" strokecolor="black [3200]" strokeweight="1.5pt">
                <v:stroke joinstyle="miter"/>
              </v:line>
            </w:pict>
          </mc:Fallback>
        </mc:AlternateContent>
      </w:r>
    </w:p>
    <w:p w14:paraId="50AAAFFB" w14:textId="2530729C" w:rsidR="00A03C83" w:rsidRDefault="004225DE" w:rsidP="00DD6CC7">
      <w:pPr>
        <w:pStyle w:val="Abstract"/>
        <w:widowControl w:val="0"/>
        <w:ind w:left="0" w:right="0"/>
        <w:rPr>
          <w:snapToGrid/>
          <w:sz w:val="22"/>
        </w:rPr>
      </w:pPr>
      <w:r w:rsidRPr="0034311C">
        <w:rPr>
          <w:b/>
          <w:bCs/>
          <w:snapToGrid/>
          <w:sz w:val="22"/>
        </w:rPr>
        <w:t>Abstract</w:t>
      </w:r>
      <w:r w:rsidRPr="0034311C">
        <w:rPr>
          <w:snapToGrid/>
          <w:sz w:val="22"/>
        </w:rPr>
        <w:t xml:space="preserve">. </w:t>
      </w:r>
      <w:r w:rsidR="007071E0">
        <w:rPr>
          <w:snapToGrid/>
          <w:sz w:val="22"/>
        </w:rPr>
        <w:t>T</w:t>
      </w:r>
      <w:r w:rsidR="00560F5A" w:rsidRPr="00560F5A">
        <w:rPr>
          <w:snapToGrid/>
          <w:sz w:val="22"/>
        </w:rPr>
        <w:t>he uniti</w:t>
      </w:r>
      <w:r w:rsidR="004919EF">
        <w:rPr>
          <w:snapToGrid/>
          <w:sz w:val="22"/>
        </w:rPr>
        <w:t>z</w:t>
      </w:r>
      <w:r w:rsidR="00560F5A" w:rsidRPr="00560F5A">
        <w:rPr>
          <w:snapToGrid/>
          <w:sz w:val="22"/>
        </w:rPr>
        <w:t xml:space="preserve">ed regenerative fuel cell (URFC) </w:t>
      </w:r>
      <w:r w:rsidR="00335873">
        <w:rPr>
          <w:snapToGrid/>
          <w:sz w:val="22"/>
        </w:rPr>
        <w:t>with</w:t>
      </w:r>
      <w:r w:rsidR="00195B18" w:rsidRPr="0034311C">
        <w:rPr>
          <w:snapToGrid/>
          <w:sz w:val="22"/>
        </w:rPr>
        <w:t xml:space="preserve"> polymeric electrolyte membrane (PEM)</w:t>
      </w:r>
      <w:r w:rsidR="0093480C">
        <w:rPr>
          <w:snapToGrid/>
          <w:sz w:val="22"/>
        </w:rPr>
        <w:t xml:space="preserve"> is </w:t>
      </w:r>
      <w:r w:rsidR="006F7071">
        <w:rPr>
          <w:snapToGrid/>
          <w:sz w:val="22"/>
        </w:rPr>
        <w:t xml:space="preserve">an </w:t>
      </w:r>
      <w:r w:rsidR="0093480C">
        <w:rPr>
          <w:snapToGrid/>
          <w:sz w:val="22"/>
        </w:rPr>
        <w:t xml:space="preserve">emerging energy storage </w:t>
      </w:r>
      <w:r w:rsidR="006F7071">
        <w:rPr>
          <w:snapToGrid/>
          <w:sz w:val="22"/>
        </w:rPr>
        <w:t xml:space="preserve">system </w:t>
      </w:r>
      <w:r w:rsidR="0093480C">
        <w:rPr>
          <w:snapToGrid/>
          <w:sz w:val="22"/>
        </w:rPr>
        <w:t>that</w:t>
      </w:r>
      <w:r w:rsidR="00195B18">
        <w:rPr>
          <w:snapToGrid/>
          <w:sz w:val="22"/>
        </w:rPr>
        <w:t xml:space="preserve"> </w:t>
      </w:r>
      <w:r w:rsidR="00560F5A" w:rsidRPr="00560F5A">
        <w:rPr>
          <w:snapToGrid/>
          <w:sz w:val="22"/>
        </w:rPr>
        <w:t>could play an essential role</w:t>
      </w:r>
      <w:r w:rsidR="007071E0">
        <w:rPr>
          <w:snapToGrid/>
          <w:sz w:val="22"/>
        </w:rPr>
        <w:t xml:space="preserve"> in decarboni</w:t>
      </w:r>
      <w:r w:rsidR="004919EF">
        <w:rPr>
          <w:snapToGrid/>
          <w:sz w:val="22"/>
        </w:rPr>
        <w:t>z</w:t>
      </w:r>
      <w:r w:rsidR="007071E0">
        <w:rPr>
          <w:snapToGrid/>
          <w:sz w:val="22"/>
        </w:rPr>
        <w:t xml:space="preserve">ing </w:t>
      </w:r>
      <w:r w:rsidR="0093480C">
        <w:rPr>
          <w:snapToGrid/>
          <w:sz w:val="22"/>
        </w:rPr>
        <w:t>Europe</w:t>
      </w:r>
      <w:r w:rsidR="000A4EFF">
        <w:rPr>
          <w:snapToGrid/>
          <w:sz w:val="22"/>
        </w:rPr>
        <w:t>.</w:t>
      </w:r>
      <w:r w:rsidR="00D778FC">
        <w:rPr>
          <w:snapToGrid/>
          <w:sz w:val="22"/>
        </w:rPr>
        <w:t xml:space="preserve"> </w:t>
      </w:r>
      <w:r w:rsidR="00335873">
        <w:rPr>
          <w:snapToGrid/>
          <w:sz w:val="22"/>
        </w:rPr>
        <w:t>C</w:t>
      </w:r>
      <w:r w:rsidR="006B2664">
        <w:rPr>
          <w:snapToGrid/>
          <w:sz w:val="22"/>
        </w:rPr>
        <w:t>onsidering that</w:t>
      </w:r>
      <w:r w:rsidR="00335873">
        <w:rPr>
          <w:snapToGrid/>
          <w:sz w:val="22"/>
        </w:rPr>
        <w:t xml:space="preserve"> the </w:t>
      </w:r>
      <w:r w:rsidR="00D778FC">
        <w:rPr>
          <w:snapToGrid/>
          <w:sz w:val="22"/>
        </w:rPr>
        <w:t>sustain</w:t>
      </w:r>
      <w:r w:rsidR="0075244F">
        <w:rPr>
          <w:snapToGrid/>
          <w:sz w:val="22"/>
        </w:rPr>
        <w:t>a</w:t>
      </w:r>
      <w:r w:rsidR="00D778FC">
        <w:rPr>
          <w:snapToGrid/>
          <w:sz w:val="22"/>
        </w:rPr>
        <w:t xml:space="preserve">bility </w:t>
      </w:r>
      <w:r w:rsidR="006F7071">
        <w:rPr>
          <w:snapToGrid/>
          <w:sz w:val="22"/>
        </w:rPr>
        <w:t xml:space="preserve">of </w:t>
      </w:r>
      <w:r w:rsidR="006F7071" w:rsidRPr="0034311C">
        <w:rPr>
          <w:snapToGrid/>
          <w:sz w:val="22"/>
        </w:rPr>
        <w:t xml:space="preserve">PEM-URFC </w:t>
      </w:r>
      <w:r w:rsidR="006F7071">
        <w:rPr>
          <w:snapToGrid/>
          <w:sz w:val="22"/>
        </w:rPr>
        <w:t xml:space="preserve">devices </w:t>
      </w:r>
      <w:r w:rsidR="006B2664">
        <w:rPr>
          <w:snapToGrid/>
          <w:sz w:val="22"/>
        </w:rPr>
        <w:t>has not been</w:t>
      </w:r>
      <w:r w:rsidR="00D778FC">
        <w:rPr>
          <w:snapToGrid/>
          <w:sz w:val="22"/>
        </w:rPr>
        <w:t xml:space="preserve"> stud</w:t>
      </w:r>
      <w:r w:rsidR="0078738B">
        <w:rPr>
          <w:snapToGrid/>
          <w:sz w:val="22"/>
        </w:rPr>
        <w:t>ied</w:t>
      </w:r>
      <w:r w:rsidR="00D778FC">
        <w:rPr>
          <w:snapToGrid/>
          <w:sz w:val="22"/>
        </w:rPr>
        <w:t xml:space="preserve"> in</w:t>
      </w:r>
      <w:r w:rsidR="00195B18">
        <w:rPr>
          <w:snapToGrid/>
          <w:sz w:val="22"/>
        </w:rPr>
        <w:t>-</w:t>
      </w:r>
      <w:r w:rsidR="00D778FC">
        <w:rPr>
          <w:snapToGrid/>
          <w:sz w:val="22"/>
        </w:rPr>
        <w:t>dep</w:t>
      </w:r>
      <w:r w:rsidR="0078738B">
        <w:rPr>
          <w:snapToGrid/>
          <w:sz w:val="22"/>
        </w:rPr>
        <w:t>t</w:t>
      </w:r>
      <w:r w:rsidR="00674869">
        <w:rPr>
          <w:snapToGrid/>
          <w:sz w:val="22"/>
        </w:rPr>
        <w:t>h</w:t>
      </w:r>
      <w:r w:rsidR="00335873">
        <w:rPr>
          <w:snapToGrid/>
          <w:sz w:val="22"/>
        </w:rPr>
        <w:t>, further analys</w:t>
      </w:r>
      <w:r w:rsidR="00674869">
        <w:rPr>
          <w:snapToGrid/>
          <w:sz w:val="22"/>
        </w:rPr>
        <w:t>e</w:t>
      </w:r>
      <w:r w:rsidR="00335873">
        <w:rPr>
          <w:snapToGrid/>
          <w:sz w:val="22"/>
        </w:rPr>
        <w:t xml:space="preserve">s are required. In this context, </w:t>
      </w:r>
      <w:r w:rsidR="006B2664">
        <w:rPr>
          <w:snapToGrid/>
          <w:sz w:val="22"/>
        </w:rPr>
        <w:t>this</w:t>
      </w:r>
      <w:r w:rsidR="00D2589D" w:rsidRPr="0034311C">
        <w:rPr>
          <w:snapToGrid/>
          <w:sz w:val="22"/>
        </w:rPr>
        <w:t xml:space="preserve"> paper aims to </w:t>
      </w:r>
      <w:r w:rsidR="006F7071">
        <w:rPr>
          <w:snapToGrid/>
          <w:sz w:val="22"/>
        </w:rPr>
        <w:t xml:space="preserve">focus on </w:t>
      </w:r>
      <w:r w:rsidR="00DD6CC7">
        <w:rPr>
          <w:snapToGrid/>
          <w:sz w:val="22"/>
        </w:rPr>
        <w:t>the</w:t>
      </w:r>
      <w:r w:rsidR="009A425C">
        <w:rPr>
          <w:snapToGrid/>
          <w:sz w:val="22"/>
        </w:rPr>
        <w:t xml:space="preserve"> central main component</w:t>
      </w:r>
      <w:r w:rsidR="00DD6CC7">
        <w:rPr>
          <w:snapToGrid/>
          <w:sz w:val="22"/>
        </w:rPr>
        <w:t xml:space="preserve"> of a </w:t>
      </w:r>
      <w:r w:rsidR="00DD6CC7" w:rsidRPr="0034311C">
        <w:rPr>
          <w:snapToGrid/>
          <w:sz w:val="22"/>
        </w:rPr>
        <w:t>PEM-URFC</w:t>
      </w:r>
      <w:r w:rsidR="009A425C">
        <w:rPr>
          <w:snapToGrid/>
          <w:sz w:val="22"/>
        </w:rPr>
        <w:t xml:space="preserve">, </w:t>
      </w:r>
      <w:r w:rsidR="00DF11EE">
        <w:rPr>
          <w:snapToGrid/>
          <w:sz w:val="22"/>
        </w:rPr>
        <w:t xml:space="preserve">the </w:t>
      </w:r>
      <w:r w:rsidR="00DF11EE" w:rsidRPr="0034311C">
        <w:rPr>
          <w:snapToGrid/>
          <w:sz w:val="22"/>
        </w:rPr>
        <w:t>stack</w:t>
      </w:r>
      <w:r w:rsidR="009A425C">
        <w:rPr>
          <w:snapToGrid/>
          <w:sz w:val="22"/>
        </w:rPr>
        <w:t>, by assessing its</w:t>
      </w:r>
      <w:r w:rsidR="00DF11EE">
        <w:rPr>
          <w:snapToGrid/>
          <w:sz w:val="22"/>
        </w:rPr>
        <w:t xml:space="preserve"> potential environmental and economic impacts</w:t>
      </w:r>
      <w:r w:rsidR="00D2589D" w:rsidRPr="0034311C">
        <w:rPr>
          <w:snapToGrid/>
          <w:sz w:val="22"/>
        </w:rPr>
        <w:t xml:space="preserve">. </w:t>
      </w:r>
      <w:r w:rsidR="00335873" w:rsidRPr="0034311C">
        <w:rPr>
          <w:snapToGrid/>
          <w:sz w:val="22"/>
        </w:rPr>
        <w:t>Th</w:t>
      </w:r>
      <w:r w:rsidR="00335873">
        <w:rPr>
          <w:snapToGrid/>
          <w:sz w:val="22"/>
        </w:rPr>
        <w:t>us,</w:t>
      </w:r>
      <w:r w:rsidR="00335873" w:rsidRPr="0034311C">
        <w:rPr>
          <w:snapToGrid/>
          <w:sz w:val="22"/>
        </w:rPr>
        <w:t xml:space="preserve"> </w:t>
      </w:r>
      <w:r w:rsidR="00674869">
        <w:rPr>
          <w:snapToGrid/>
          <w:sz w:val="22"/>
        </w:rPr>
        <w:t>using primary and secondary data, the Life Cycle Assessment (LCA) and Environmental Life Cycle Costing (ELCC) methods are applied, following a cradle-to-gate approach</w:t>
      </w:r>
      <w:r w:rsidR="00D2589D" w:rsidRPr="0034311C">
        <w:rPr>
          <w:snapToGrid/>
          <w:sz w:val="22"/>
        </w:rPr>
        <w:t xml:space="preserve">. The analysis shows that the main hotspots of the stack are </w:t>
      </w:r>
      <w:r w:rsidR="00DD6CC7">
        <w:rPr>
          <w:snapToGrid/>
          <w:sz w:val="22"/>
        </w:rPr>
        <w:t>linked</w:t>
      </w:r>
      <w:r w:rsidR="00DD6CC7" w:rsidRPr="0034311C">
        <w:rPr>
          <w:snapToGrid/>
          <w:sz w:val="22"/>
        </w:rPr>
        <w:t xml:space="preserve"> </w:t>
      </w:r>
      <w:r w:rsidR="00D2589D" w:rsidRPr="0034311C">
        <w:rPr>
          <w:snapToGrid/>
          <w:sz w:val="22"/>
        </w:rPr>
        <w:t xml:space="preserve">to the membrane electrode assembled (MEAs), which contribute </w:t>
      </w:r>
      <w:r w:rsidR="00674869">
        <w:rPr>
          <w:snapToGrid/>
          <w:sz w:val="22"/>
        </w:rPr>
        <w:t>to</w:t>
      </w:r>
      <w:r w:rsidR="00DD6CC7">
        <w:rPr>
          <w:snapToGrid/>
          <w:sz w:val="22"/>
        </w:rPr>
        <w:t xml:space="preserve"> </w:t>
      </w:r>
      <w:r w:rsidR="00D2589D" w:rsidRPr="0034311C">
        <w:rPr>
          <w:snapToGrid/>
          <w:sz w:val="22"/>
        </w:rPr>
        <w:t xml:space="preserve">about </w:t>
      </w:r>
      <w:r w:rsidR="007028D3">
        <w:rPr>
          <w:snapToGrid/>
          <w:sz w:val="22"/>
        </w:rPr>
        <w:t>68</w:t>
      </w:r>
      <w:r w:rsidR="00D2589D" w:rsidRPr="0034311C">
        <w:rPr>
          <w:snapToGrid/>
          <w:sz w:val="22"/>
        </w:rPr>
        <w:t xml:space="preserve">% </w:t>
      </w:r>
      <w:r w:rsidR="00DD6CC7" w:rsidRPr="0034311C">
        <w:rPr>
          <w:snapToGrid/>
          <w:sz w:val="22"/>
        </w:rPr>
        <w:t>o</w:t>
      </w:r>
      <w:r w:rsidR="00674869">
        <w:rPr>
          <w:snapToGrid/>
          <w:sz w:val="22"/>
        </w:rPr>
        <w:t>f</w:t>
      </w:r>
      <w:r w:rsidR="00DD6CC7" w:rsidRPr="0034311C">
        <w:rPr>
          <w:snapToGrid/>
          <w:sz w:val="22"/>
        </w:rPr>
        <w:t xml:space="preserve"> </w:t>
      </w:r>
      <w:r w:rsidR="00D2589D" w:rsidRPr="0034311C">
        <w:rPr>
          <w:snapToGrid/>
          <w:sz w:val="22"/>
        </w:rPr>
        <w:t xml:space="preserve">the total cost and </w:t>
      </w:r>
      <w:r w:rsidR="005D1A94">
        <w:rPr>
          <w:snapToGrid/>
          <w:sz w:val="22"/>
        </w:rPr>
        <w:t xml:space="preserve">more than </w:t>
      </w:r>
      <w:r w:rsidR="005D1A94" w:rsidRPr="005D1A94">
        <w:rPr>
          <w:snapToGrid/>
          <w:sz w:val="22"/>
        </w:rPr>
        <w:t xml:space="preserve">76% </w:t>
      </w:r>
      <w:r w:rsidR="00DD6CC7">
        <w:rPr>
          <w:snapToGrid/>
          <w:sz w:val="22"/>
        </w:rPr>
        <w:t>o</w:t>
      </w:r>
      <w:r w:rsidR="00674869">
        <w:rPr>
          <w:snapToGrid/>
          <w:sz w:val="22"/>
        </w:rPr>
        <w:t>f</w:t>
      </w:r>
      <w:r w:rsidR="00DD6CC7" w:rsidRPr="0034311C">
        <w:rPr>
          <w:snapToGrid/>
          <w:sz w:val="22"/>
        </w:rPr>
        <w:t xml:space="preserve"> </w:t>
      </w:r>
      <w:r w:rsidR="00D2589D" w:rsidRPr="0034311C">
        <w:rPr>
          <w:snapToGrid/>
          <w:sz w:val="22"/>
        </w:rPr>
        <w:t xml:space="preserve">all </w:t>
      </w:r>
      <w:r w:rsidR="00DD6CC7">
        <w:rPr>
          <w:snapToGrid/>
          <w:sz w:val="22"/>
        </w:rPr>
        <w:t xml:space="preserve">the </w:t>
      </w:r>
      <w:r w:rsidR="00D2589D" w:rsidRPr="0034311C">
        <w:rPr>
          <w:snapToGrid/>
          <w:sz w:val="22"/>
        </w:rPr>
        <w:t xml:space="preserve">environmental impact categories. These results are </w:t>
      </w:r>
      <w:r w:rsidR="00DD6CC7">
        <w:rPr>
          <w:snapToGrid/>
          <w:sz w:val="22"/>
        </w:rPr>
        <w:t>connected to the</w:t>
      </w:r>
      <w:r w:rsidR="00D2589D" w:rsidRPr="0034311C">
        <w:rPr>
          <w:snapToGrid/>
          <w:sz w:val="22"/>
        </w:rPr>
        <w:t xml:space="preserve"> </w:t>
      </w:r>
      <w:r w:rsidR="00DD6CC7">
        <w:rPr>
          <w:snapToGrid/>
          <w:sz w:val="22"/>
        </w:rPr>
        <w:t>presence</w:t>
      </w:r>
      <w:r w:rsidR="00DD6CC7" w:rsidRPr="0034311C">
        <w:rPr>
          <w:snapToGrid/>
          <w:sz w:val="22"/>
        </w:rPr>
        <w:t xml:space="preserve"> </w:t>
      </w:r>
      <w:r w:rsidR="00D2589D" w:rsidRPr="0034311C">
        <w:rPr>
          <w:snapToGrid/>
          <w:sz w:val="22"/>
        </w:rPr>
        <w:t>of materials characteri</w:t>
      </w:r>
      <w:r w:rsidR="004919EF">
        <w:rPr>
          <w:snapToGrid/>
          <w:sz w:val="22"/>
        </w:rPr>
        <w:t>z</w:t>
      </w:r>
      <w:r w:rsidR="00D2589D" w:rsidRPr="0034311C">
        <w:rPr>
          <w:snapToGrid/>
          <w:sz w:val="22"/>
        </w:rPr>
        <w:t>ed by high or medium critical supplies (e.g.</w:t>
      </w:r>
      <w:r w:rsidR="00DD6CC7">
        <w:rPr>
          <w:snapToGrid/>
          <w:sz w:val="22"/>
        </w:rPr>
        <w:t>,</w:t>
      </w:r>
      <w:r w:rsidR="00D2589D" w:rsidRPr="0034311C">
        <w:rPr>
          <w:snapToGrid/>
          <w:sz w:val="22"/>
        </w:rPr>
        <w:t xml:space="preserve"> platinum</w:t>
      </w:r>
      <w:r w:rsidR="00C01753">
        <w:rPr>
          <w:snapToGrid/>
          <w:sz w:val="22"/>
        </w:rPr>
        <w:t xml:space="preserve"> </w:t>
      </w:r>
      <w:r w:rsidR="00D2589D" w:rsidRPr="0034311C">
        <w:rPr>
          <w:snapToGrid/>
          <w:sz w:val="22"/>
        </w:rPr>
        <w:t xml:space="preserve">for catalysts, </w:t>
      </w:r>
      <w:r w:rsidR="00D06D00">
        <w:rPr>
          <w:snapToGrid/>
          <w:sz w:val="22"/>
        </w:rPr>
        <w:t xml:space="preserve">etc.) </w:t>
      </w:r>
      <w:r w:rsidR="00D2589D" w:rsidRPr="0034311C">
        <w:rPr>
          <w:snapToGrid/>
          <w:sz w:val="22"/>
        </w:rPr>
        <w:t>and high cost</w:t>
      </w:r>
      <w:r w:rsidR="00D06D00">
        <w:rPr>
          <w:snapToGrid/>
          <w:sz w:val="22"/>
        </w:rPr>
        <w:t>s</w:t>
      </w:r>
      <w:r w:rsidR="00D2589D" w:rsidRPr="0034311C">
        <w:rPr>
          <w:snapToGrid/>
          <w:sz w:val="22"/>
        </w:rPr>
        <w:t xml:space="preserve"> </w:t>
      </w:r>
      <w:r w:rsidR="00A50C38">
        <w:rPr>
          <w:snapToGrid/>
          <w:sz w:val="22"/>
        </w:rPr>
        <w:t>due</w:t>
      </w:r>
      <w:r w:rsidR="00A50C38" w:rsidRPr="0034311C">
        <w:rPr>
          <w:snapToGrid/>
          <w:sz w:val="22"/>
        </w:rPr>
        <w:t xml:space="preserve"> </w:t>
      </w:r>
      <w:r w:rsidR="00D2589D" w:rsidRPr="0034311C">
        <w:rPr>
          <w:snapToGrid/>
          <w:sz w:val="22"/>
        </w:rPr>
        <w:t xml:space="preserve">to the early stage of market development. Further, the study highlights the need to have more reliable data on crucial and critical elements used in this type of device and more </w:t>
      </w:r>
      <w:r w:rsidR="00A50C38" w:rsidRPr="0034311C">
        <w:rPr>
          <w:snapToGrid/>
          <w:sz w:val="22"/>
        </w:rPr>
        <w:t xml:space="preserve">life cycle thinking </w:t>
      </w:r>
      <w:r w:rsidR="00D2589D" w:rsidRPr="0034311C">
        <w:rPr>
          <w:snapToGrid/>
          <w:sz w:val="22"/>
        </w:rPr>
        <w:t xml:space="preserve">studies on URFC to update the </w:t>
      </w:r>
      <w:r w:rsidR="00A1712C">
        <w:rPr>
          <w:snapToGrid/>
          <w:sz w:val="22"/>
        </w:rPr>
        <w:t>current</w:t>
      </w:r>
      <w:r w:rsidR="00D2589D" w:rsidRPr="0034311C">
        <w:rPr>
          <w:snapToGrid/>
          <w:sz w:val="22"/>
        </w:rPr>
        <w:t xml:space="preserve"> </w:t>
      </w:r>
      <w:r w:rsidR="00803433">
        <w:rPr>
          <w:snapToGrid/>
          <w:sz w:val="22"/>
        </w:rPr>
        <w:t>knowledge</w:t>
      </w:r>
      <w:r w:rsidR="00D2589D" w:rsidRPr="0034311C">
        <w:rPr>
          <w:snapToGrid/>
          <w:sz w:val="22"/>
        </w:rPr>
        <w:t xml:space="preserve"> on hydrogen technologies.</w:t>
      </w:r>
    </w:p>
    <w:p w14:paraId="63D8FEA2" w14:textId="77777777" w:rsidR="00A03C83" w:rsidRDefault="00A03C83" w:rsidP="000B363E">
      <w:pPr>
        <w:pStyle w:val="Abstract"/>
        <w:widowControl w:val="0"/>
        <w:ind w:left="0" w:right="0"/>
        <w:rPr>
          <w:snapToGrid/>
          <w:sz w:val="22"/>
        </w:rPr>
      </w:pPr>
    </w:p>
    <w:p w14:paraId="20AF9FE5" w14:textId="6942B6A3" w:rsidR="004225DE" w:rsidRPr="00A03C83" w:rsidRDefault="004225DE" w:rsidP="000B363E">
      <w:pPr>
        <w:pStyle w:val="Abstract"/>
        <w:widowControl w:val="0"/>
        <w:ind w:left="0" w:right="0"/>
        <w:rPr>
          <w:snapToGrid/>
          <w:sz w:val="22"/>
        </w:rPr>
      </w:pPr>
      <w:r w:rsidRPr="004225DE">
        <w:rPr>
          <w:b/>
          <w:snapToGrid/>
        </w:rPr>
        <w:t>Keywords.</w:t>
      </w:r>
      <w:r>
        <w:rPr>
          <w:snapToGrid/>
        </w:rPr>
        <w:t xml:space="preserve"> </w:t>
      </w:r>
      <w:r w:rsidR="00003A41" w:rsidRPr="00003A41">
        <w:rPr>
          <w:snapToGrid/>
        </w:rPr>
        <w:t>PEM, Life Cycle Assessment (LCA),</w:t>
      </w:r>
      <w:r w:rsidR="00B038F7">
        <w:rPr>
          <w:snapToGrid/>
        </w:rPr>
        <w:t xml:space="preserve"> Environmental</w:t>
      </w:r>
      <w:r w:rsidR="00003A41" w:rsidRPr="00003A41">
        <w:rPr>
          <w:snapToGrid/>
        </w:rPr>
        <w:t xml:space="preserve"> Life Cycle Costing (</w:t>
      </w:r>
      <w:r w:rsidR="00AC5B7C">
        <w:rPr>
          <w:snapToGrid/>
        </w:rPr>
        <w:t>E</w:t>
      </w:r>
      <w:r w:rsidR="00003A41" w:rsidRPr="00003A41">
        <w:rPr>
          <w:snapToGrid/>
        </w:rPr>
        <w:t>LCC), regenerative fuel cell, hydrogen</w:t>
      </w:r>
    </w:p>
    <w:p w14:paraId="0C95E03F" w14:textId="77777777" w:rsidR="007B567F" w:rsidRDefault="007B567F" w:rsidP="000B363E">
      <w:pPr>
        <w:pStyle w:val="Abstract"/>
        <w:widowControl w:val="0"/>
        <w:rPr>
          <w:snapToGrid/>
        </w:rPr>
      </w:pPr>
      <w:r>
        <w:rPr>
          <w:noProof/>
          <w:snapToGrid/>
          <w:lang w:val="it-IT" w:eastAsia="it-IT"/>
        </w:rPr>
        <mc:AlternateContent>
          <mc:Choice Requires="wps">
            <w:drawing>
              <wp:anchor distT="0" distB="0" distL="114300" distR="114300" simplePos="0" relativeHeight="251658241"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FCEE739" id="Connettore diritto 51"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" strokecolor="black [3200]" strokeweight="1.5pt">
                <v:stroke joinstyle="miter"/>
              </v:line>
            </w:pict>
          </mc:Fallback>
        </mc:AlternateContent>
      </w:r>
    </w:p>
    <w:p w14:paraId="7AE8EF34" w14:textId="583D78E3" w:rsidR="008C685C" w:rsidRDefault="008C685C" w:rsidP="000B363E">
      <w:pPr>
        <w:pStyle w:val="Titolo1"/>
        <w:keepNext w:val="0"/>
        <w:widowControl w:val="0"/>
      </w:pPr>
      <w:r>
        <w:t>Introduction</w:t>
      </w:r>
    </w:p>
    <w:p w14:paraId="6ED12A20" w14:textId="471CD9AD" w:rsidR="009111C3" w:rsidRDefault="00AD3712" w:rsidP="000B363E">
      <w:pPr>
        <w:widowControl w:val="0"/>
      </w:pPr>
      <w:bookmarkStart w:id="1" w:name="_Hlk104458777"/>
      <w:r>
        <w:t xml:space="preserve">To achieve carbon neutrality </w:t>
      </w:r>
      <w:r w:rsidR="001B61F2">
        <w:t xml:space="preserve">and to reduce external energy dependencies </w:t>
      </w:r>
      <w:r>
        <w:t>in Europe by 2050</w:t>
      </w:r>
      <w:r w:rsidR="00FC4CDB">
        <w:t xml:space="preserve"> </w:t>
      </w:r>
      <w:r w:rsidR="00FC4CDB">
        <w:fldChar w:fldCharType="begin" w:fldLock="1"/>
      </w:r>
      <w:r w:rsidR="00115D84">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approach.","author":[{"dropping-particle":"","family":"EC-COM","given":"","non-dropping-particle":"","parse-names":false,"suffix":""}],"id":"ITEM-1","issued":{"date-parts":[["2019","12","11"]]},"number-of-pages":"1-24","publisher-place":"Brussels","title":"The European Green Deal (COM (2019) 640 final).","type":"report"},"uris":["http://www.mendeley.com/documents/?uuid=84733827-7ede-3bb7-b61a-df2be45339b3"]}],"mendeley":{"formattedCitation":"(EC-COM, 2019)","manualFormatting":"(European Commission, 2019)","plainTextFormattedCitation":"(EC-COM, 2019)","previouslyFormattedCitation":"(EC-COM, 2019)"},"properties":{"noteIndex":0},"schema":"https://github.com/citation-style-language/schema/raw/master/csl-citation.json"}</w:instrText>
      </w:r>
      <w:r w:rsidR="00FC4CDB">
        <w:fldChar w:fldCharType="separate"/>
      </w:r>
      <w:r w:rsidR="00FC4CDB">
        <w:rPr>
          <w:noProof/>
        </w:rPr>
        <w:t>(European Commission, 2019)</w:t>
      </w:r>
      <w:r w:rsidR="00FC4CDB">
        <w:fldChar w:fldCharType="end"/>
      </w:r>
      <w:r w:rsidR="001B61F2">
        <w:t xml:space="preserve">, </w:t>
      </w:r>
      <w:r w:rsidR="00485D65">
        <w:t>t</w:t>
      </w:r>
      <w:r w:rsidR="00F21F9F" w:rsidRPr="00EB6708">
        <w:t>he uniti</w:t>
      </w:r>
      <w:r w:rsidR="004919EF">
        <w:t>z</w:t>
      </w:r>
      <w:r w:rsidR="00F21F9F" w:rsidRPr="00EB6708">
        <w:t xml:space="preserve">ed regenerative fuel cell (URFC) </w:t>
      </w:r>
      <w:r w:rsidR="00AE349E" w:rsidRPr="000C2EB8">
        <w:t>of type polymeric electrolyte membrane (PEM)</w:t>
      </w:r>
      <w:r w:rsidR="00AE349E">
        <w:rPr>
          <w:sz w:val="22"/>
        </w:rPr>
        <w:t xml:space="preserve"> </w:t>
      </w:r>
      <w:r w:rsidR="00586667">
        <w:t xml:space="preserve">seems to be </w:t>
      </w:r>
      <w:r w:rsidR="008232A0">
        <w:t xml:space="preserve">a </w:t>
      </w:r>
      <w:r w:rsidR="00586667">
        <w:t xml:space="preserve">valid option </w:t>
      </w:r>
      <w:bookmarkEnd w:id="1"/>
      <w:r w:rsidR="008232A0">
        <w:t>for</w:t>
      </w:r>
      <w:r w:rsidR="00F21F9F" w:rsidRPr="00EB6708">
        <w:t xml:space="preserve"> </w:t>
      </w:r>
      <w:r w:rsidR="008232A0">
        <w:t>improving</w:t>
      </w:r>
      <w:r w:rsidR="00F21F9F" w:rsidRPr="00EB6708">
        <w:t xml:space="preserve"> the power system</w:t>
      </w:r>
      <w:r w:rsidR="00C40CC0">
        <w:t>'</w:t>
      </w:r>
      <w:r w:rsidR="00F21F9F" w:rsidRPr="00EB6708">
        <w:t>s stability</w:t>
      </w:r>
      <w:r w:rsidR="007630DD">
        <w:t xml:space="preserve">, given </w:t>
      </w:r>
      <w:r w:rsidR="00183EF0">
        <w:t xml:space="preserve">its </w:t>
      </w:r>
      <w:r w:rsidR="007630DD">
        <w:t xml:space="preserve">ability </w:t>
      </w:r>
      <w:r w:rsidR="000B55D6">
        <w:t>to</w:t>
      </w:r>
      <w:r w:rsidR="007630DD">
        <w:t xml:space="preserve"> work </w:t>
      </w:r>
      <w:r w:rsidR="00183EF0">
        <w:t xml:space="preserve">both </w:t>
      </w:r>
      <w:r w:rsidR="007630DD">
        <w:t xml:space="preserve">as </w:t>
      </w:r>
      <w:r w:rsidR="000B55D6">
        <w:t xml:space="preserve">an </w:t>
      </w:r>
      <w:r w:rsidR="00F47322">
        <w:t>electroly</w:t>
      </w:r>
      <w:r w:rsidR="004919EF">
        <w:t>z</w:t>
      </w:r>
      <w:r w:rsidR="00670A4D">
        <w:t>e</w:t>
      </w:r>
      <w:r w:rsidR="007630DD">
        <w:t>r</w:t>
      </w:r>
      <w:r w:rsidR="00670A4D">
        <w:t xml:space="preserve"> </w:t>
      </w:r>
      <w:r w:rsidR="00183EF0">
        <w:t xml:space="preserve">- </w:t>
      </w:r>
      <w:r w:rsidR="00670A4D">
        <w:t xml:space="preserve">to produce hydrogen fuel </w:t>
      </w:r>
      <w:r w:rsidR="00183EF0">
        <w:t xml:space="preserve">- </w:t>
      </w:r>
      <w:r w:rsidR="00670A4D">
        <w:t xml:space="preserve">and </w:t>
      </w:r>
      <w:r w:rsidR="000155A1">
        <w:t xml:space="preserve">as </w:t>
      </w:r>
      <w:r w:rsidR="00E041A9">
        <w:t xml:space="preserve">a </w:t>
      </w:r>
      <w:r w:rsidR="000155A1">
        <w:t xml:space="preserve">fuel cell </w:t>
      </w:r>
      <w:r w:rsidR="00183EF0">
        <w:t xml:space="preserve">- </w:t>
      </w:r>
      <w:r w:rsidR="000155A1">
        <w:t xml:space="preserve">to </w:t>
      </w:r>
      <w:r w:rsidR="00670A4D">
        <w:t>reconvert it into electricity</w:t>
      </w:r>
      <w:r w:rsidR="00345D2A">
        <w:t xml:space="preserve"> </w:t>
      </w:r>
      <w:r w:rsidR="005F0476">
        <w:t xml:space="preserve">when required </w:t>
      </w:r>
      <w:r w:rsidR="00345D2A" w:rsidRPr="00713969">
        <w:fldChar w:fldCharType="begin" w:fldLock="1"/>
      </w:r>
      <w:r w:rsidR="00345D2A">
        <w:instrText>ADDIN CSL_CITATION {"citationItems":[{"id":"ITEM-1","itemData":{"DOI":"10.1039/C9EE03626A","ISSN":"1754-5706","abstract":"Unitized regenerative fuel cells (URFC) convert electrical energy to and from chemical bonds in hydrogen. URFCs have the potential to provide economical means for efficient long-term, seasonal, energy storage and on-demand conversion back to electrical energy. We first optimize the catalyst layer for discrete electrolyzer and fuel cell and then configure the URFC. The goal is to identify a cost competitive configuration for URFCs, and demonstrate it in terms of upper limit of round trip efficiencies (RTEs). Two possible configurations of URFCs are compared via experiments and techno-economic analysis (TEA), which emphasize the advantages of the unconventional constant-electrode (CE) URFC over the traditional constant-gas (CG) configuration. We also study the stability via accelerated stress tests (ASTs) and demonstrate steady state operation in a daily cycle for day to night energy shifting. From the investigations, the optimum composition of the URFC anode catalyst layer is 90 at% Ir-black balanced by Pt-black for both CE and CG configurations. At 80 °C and 1 A cm−2, the optimized CE URFC achieves 57% and 60% RTE with air and O2 as the reductant gases, respectively. We then evaluated the differences in durability using an AST over 10k charge–discharge cycles; the results reveal that the wider potential window at the anode in CE (0.05–1.55 V) has minimal effect on catalyst layer stability compared to CG (0.55–1.55 V). Furthermore, there was no degradation up to the range of 2k–5k cycles; beyond that the fuel cell (discharge) performance degraded while the electrolyzer (charge) performance was still stable. The observations here indicate substantial potential to employ URFCs as efficient and cost-effective bidirectional energy-conversion devices within energy storage and utilization systems after appropriate technological and operational optimizations.","author":[{"dropping-particle":"","family":"Regmi","given":"Yagya N.","non-dropping-particle":"","parse-names":false,"suffix":""},{"dropping-particle":"","family":"Peng","given":"Xiong","non-dropping-particle":"","parse-names":false,"suffix":""},{"dropping-particle":"","family":"Fornaciari","given":"Julie C.","non-dropping-particle":"","parse-names":false,"suffix":""},{"dropping-particle":"","family":"Wei","given":"Max","non-dropping-particle":"","parse-names":false,"suffix":""},{"dropping-particle":"","family":"Myers","given":"Deborah J.","non-dropping-particle":"","parse-names":false,"suffix":""},{"dropping-particle":"","family":"Weber","given":"Adam Z.","non-dropping-particle":"","parse-names":false,"suffix":""},{"dropping-particle":"","family":"Danilovic","given":"Nemanja","non-dropping-particle":"","parse-names":false,"suffix":""}],"container-title":"Energy &amp; Environmental Science","id":"ITEM-1","issue":"7","issued":{"date-parts":[["2020","7","15"]]},"page":"2096-2105","publisher":"The Royal Society of Chemistry","title":"A low temperature unitized regenerative fuel cell realizing 60% round trip efficiency and 10 000 cycles of durability for energy storage applications","type":"article-journal","volume":"13"},"uris":["http://www.mendeley.com/documents/?uuid=4d8cfe17-7c5f-359c-a970-ad03d61d8efc"]}],"mendeley":{"formattedCitation":"(Regmi et al., 2020)","plainTextFormattedCitation":"(Regmi et al., 2020)","previouslyFormattedCitation":"(Regmi et al., 2020)"},"properties":{"noteIndex":0},"schema":"https://github.com/citation-style-language/schema/raw/master/csl-citation.json"}</w:instrText>
      </w:r>
      <w:r w:rsidR="00345D2A" w:rsidRPr="00713969">
        <w:fldChar w:fldCharType="separate"/>
      </w:r>
      <w:r w:rsidR="00345D2A" w:rsidRPr="003727C7">
        <w:rPr>
          <w:noProof/>
        </w:rPr>
        <w:t>(Regmi et al., 2020)</w:t>
      </w:r>
      <w:r w:rsidR="00345D2A" w:rsidRPr="00713969">
        <w:fldChar w:fldCharType="end"/>
      </w:r>
      <w:r w:rsidR="00F21F9F" w:rsidRPr="00EB6708">
        <w:t xml:space="preserve">. </w:t>
      </w:r>
      <w:r w:rsidR="00FF014A">
        <w:t xml:space="preserve">Although several studies are available on </w:t>
      </w:r>
      <w:r w:rsidR="00FB22E3">
        <w:t>th</w:t>
      </w:r>
      <w:r w:rsidR="00C40CC0">
        <w:t>is device's electrochemical performances and design</w:t>
      </w:r>
      <w:r w:rsidR="00FB29DB">
        <w:t xml:space="preserve"> </w:t>
      </w:r>
      <w:r w:rsidR="00115D84">
        <w:fldChar w:fldCharType="begin" w:fldLock="1"/>
      </w:r>
      <w:r w:rsidR="00A750B1">
        <w:instrText>ADDIN CSL_CITATION {"citationItems":[{"id":"ITEM-1","itemData":{"DOI":"10.1016/j.ijhydene.2014.08.121","ISSN":"03603199","abstract":"The stack design of a unitized regenerative fuel cell (URFC) can modify the structure of cells that can be used as storage and energy regenerator aside from cells that use other sources such as solar or wind energy. A reversible unitized polymer electrolyte membrane fuel cell (PEMFC) contains a dual-functional single cell that is less expensive and has enhanced performance. The use of URFCs on hydrogen and oxygen is preferred because it is highly efficient, environmentally friendly, and uses power generators. The stack, then, must be made affordable or accessible. The expenses of URFC stack must be reduced by improving its design, materials, and performance. This study referred to recent studies on developing a method to cut the expenses of the URFC stack. The study also aims to determine its main constituents and to look further into its design by observing its performance and electrochemical behaviors. It also presents the issues that are currently encountered in this field.","author":[{"dropping-particle":"","family":"Gabbasa","given":"Mohamed","non-dropping-particle":"","parse-names":false,"suffix":""},{"dropping-particle":"","family":"Sopian","given":"Kamaruzzaman","non-dropping-particle":"","parse-names":false,"suffix":""},{"dropping-particle":"","family":"Fudholi","given":"Ahmad","non-dropping-particle":"","parse-names":false,"suffix":""},{"dropping-particle":"","family":"Asim","given":"Nilofar","non-dropping-particle":"","parse-names":false,"suffix":""}],"container-title":"International Journal of Hydrogen Energy","id":"ITEM-1","issue":"31","issued":{"date-parts":[["2014","10","22"]]},"page":"17765-17778","publisher":"Pergamon","title":"A review of unitized regenerative fuel cell stack: Material, design and research achievements","type":"article-journal","volume":"39"},"uris":["http://www.mendeley.com/documents/?uuid=f3e88c85-60b7-3876-987f-68d20cae990b"]}],"mendeley":{"formattedCitation":"(Gabbasa et al., 2014)","plainTextFormattedCitation":"(Gabbasa et al., 2014)","previouslyFormattedCitation":"(Gabbasa et al., 2014)"},"properties":{"noteIndex":0},"schema":"https://github.com/citation-style-language/schema/raw/master/csl-citation.json"}</w:instrText>
      </w:r>
      <w:r w:rsidR="00115D84">
        <w:fldChar w:fldCharType="separate"/>
      </w:r>
      <w:r w:rsidR="00115D84" w:rsidRPr="00115D84">
        <w:rPr>
          <w:noProof/>
        </w:rPr>
        <w:t>(Gabbasa et al., 2014)</w:t>
      </w:r>
      <w:r w:rsidR="00115D84">
        <w:fldChar w:fldCharType="end"/>
      </w:r>
      <w:r w:rsidR="007E2D84">
        <w:t xml:space="preserve">, </w:t>
      </w:r>
      <w:r w:rsidR="00706FD0">
        <w:t>the</w:t>
      </w:r>
      <w:r w:rsidR="00083E32">
        <w:t xml:space="preserve"> potential</w:t>
      </w:r>
      <w:r w:rsidR="00706FD0">
        <w:t xml:space="preserve"> </w:t>
      </w:r>
      <w:r w:rsidR="00984410">
        <w:t xml:space="preserve">life cycle </w:t>
      </w:r>
      <w:r w:rsidR="00460DBD">
        <w:t>environmental and economic impacts</w:t>
      </w:r>
      <w:r w:rsidR="00706FD0" w:rsidRPr="00EB6708">
        <w:t xml:space="preserve"> </w:t>
      </w:r>
      <w:r w:rsidR="00706FD0">
        <w:t xml:space="preserve">of </w:t>
      </w:r>
      <w:r w:rsidR="00F21F9F" w:rsidRPr="00EB6708">
        <w:t>URFC</w:t>
      </w:r>
      <w:r w:rsidR="00E972A9">
        <w:t xml:space="preserve">, </w:t>
      </w:r>
      <w:r w:rsidR="00F21F9F" w:rsidRPr="00EB6708">
        <w:t>and</w:t>
      </w:r>
      <w:r w:rsidR="008A215F" w:rsidRPr="00EB6708">
        <w:t xml:space="preserve"> </w:t>
      </w:r>
      <w:r w:rsidR="00F21F9F" w:rsidRPr="00EB6708">
        <w:t xml:space="preserve">of the </w:t>
      </w:r>
      <w:r w:rsidR="00F03B3D" w:rsidRPr="00EB6708">
        <w:t>stack</w:t>
      </w:r>
      <w:r w:rsidR="00A50C38">
        <w:t xml:space="preserve"> - </w:t>
      </w:r>
      <w:r w:rsidR="00C40CC0">
        <w:t xml:space="preserve">which </w:t>
      </w:r>
      <w:r w:rsidR="00F03B3D">
        <w:t xml:space="preserve">represents the </w:t>
      </w:r>
      <w:r w:rsidR="00F21F9F" w:rsidRPr="00EB6708">
        <w:t>heart of this technology</w:t>
      </w:r>
      <w:r w:rsidR="00A50C38">
        <w:t xml:space="preserve"> - </w:t>
      </w:r>
      <w:r w:rsidR="009111C3">
        <w:t xml:space="preserve">have not </w:t>
      </w:r>
      <w:r w:rsidR="002B3E0E">
        <w:t xml:space="preserve">still </w:t>
      </w:r>
      <w:r w:rsidR="009111C3">
        <w:t>been studied in-depth</w:t>
      </w:r>
      <w:r w:rsidR="007E0E0F">
        <w:t>.</w:t>
      </w:r>
      <w:r w:rsidR="00670A4D" w:rsidRPr="00EB6708">
        <w:t xml:space="preserve"> </w:t>
      </w:r>
      <w:r w:rsidR="009111C3">
        <w:t xml:space="preserve">To </w:t>
      </w:r>
      <w:r w:rsidR="00A25C46">
        <w:t xml:space="preserve">reduce this </w:t>
      </w:r>
      <w:r w:rsidR="00D12FC3">
        <w:t xml:space="preserve">literature </w:t>
      </w:r>
      <w:r w:rsidR="00A25C46">
        <w:t>gap, th</w:t>
      </w:r>
      <w:r w:rsidR="00BD150E">
        <w:t xml:space="preserve">is paper </w:t>
      </w:r>
      <w:r w:rsidR="00580FEC">
        <w:t xml:space="preserve">aims to </w:t>
      </w:r>
      <w:r w:rsidR="006A7794">
        <w:t xml:space="preserve">provide a preliminary </w:t>
      </w:r>
      <w:r w:rsidR="00564C0D">
        <w:t xml:space="preserve">estimation </w:t>
      </w:r>
      <w:r w:rsidR="006A7794">
        <w:t xml:space="preserve">of </w:t>
      </w:r>
      <w:r w:rsidR="00D12FC3">
        <w:t xml:space="preserve">the </w:t>
      </w:r>
      <w:r w:rsidR="00564C0D">
        <w:t>environmental and econom</w:t>
      </w:r>
      <w:r w:rsidR="00D12FC3">
        <w:t>ic</w:t>
      </w:r>
      <w:r w:rsidR="00564C0D">
        <w:t xml:space="preserve"> impacts</w:t>
      </w:r>
      <w:r w:rsidR="00564C0D" w:rsidRPr="00713969">
        <w:t xml:space="preserve"> </w:t>
      </w:r>
      <w:r w:rsidR="00564C0D">
        <w:t xml:space="preserve">of </w:t>
      </w:r>
      <w:r w:rsidR="006A7794" w:rsidRPr="00713969">
        <w:t xml:space="preserve">a </w:t>
      </w:r>
      <w:r w:rsidR="006A7794">
        <w:t xml:space="preserve">small </w:t>
      </w:r>
      <w:r w:rsidR="00580FEC" w:rsidRPr="00713969">
        <w:t xml:space="preserve">stack </w:t>
      </w:r>
      <w:r w:rsidR="00580FEC">
        <w:t xml:space="preserve">of a </w:t>
      </w:r>
      <w:r w:rsidR="006A7794" w:rsidRPr="00713969">
        <w:lastRenderedPageBreak/>
        <w:t>PEM-URFC</w:t>
      </w:r>
      <w:r w:rsidR="00580FEC">
        <w:t>. The stack is</w:t>
      </w:r>
      <w:r w:rsidR="000A5C35">
        <w:t xml:space="preserve"> at </w:t>
      </w:r>
      <w:r w:rsidR="009476A2">
        <w:t xml:space="preserve">the </w:t>
      </w:r>
      <w:r w:rsidR="000A5C35">
        <w:t>early design stage</w:t>
      </w:r>
      <w:r w:rsidR="00580FEC">
        <w:t xml:space="preserve"> and has been </w:t>
      </w:r>
      <w:r w:rsidR="00737959" w:rsidRPr="00713969">
        <w:t>developed in the conte</w:t>
      </w:r>
      <w:r w:rsidR="00737959">
        <w:t>x</w:t>
      </w:r>
      <w:r w:rsidR="00737959" w:rsidRPr="00713969">
        <w:t xml:space="preserve">t of the project </w:t>
      </w:r>
      <w:r w:rsidR="00C40CC0">
        <w:t>"</w:t>
      </w:r>
      <w:r w:rsidR="00737959" w:rsidRPr="00713969">
        <w:t>ELETTRORIGENERA</w:t>
      </w:r>
      <w:r w:rsidR="00C40CC0">
        <w:t>"</w:t>
      </w:r>
      <w:r w:rsidR="00737959" w:rsidRPr="00713969">
        <w:t xml:space="preserve"> (PO FESR SICILIA 2014-2020 AVVISO 1.1.5 - PROGETTO ELETTRORIGENERA N. 08ME2899200216).</w:t>
      </w:r>
      <w:r w:rsidR="00737959">
        <w:t xml:space="preserve"> </w:t>
      </w:r>
      <w:r w:rsidR="00CE3886">
        <w:t>The</w:t>
      </w:r>
      <w:r w:rsidR="00C90BB4">
        <w:t xml:space="preserve"> potential</w:t>
      </w:r>
      <w:r w:rsidR="00683699">
        <w:t xml:space="preserve"> </w:t>
      </w:r>
      <w:r w:rsidR="00BF236D">
        <w:t>impacts</w:t>
      </w:r>
      <w:r w:rsidR="00CE3886">
        <w:t xml:space="preserve"> are estimated </w:t>
      </w:r>
      <w:r w:rsidR="00C40CC0">
        <w:t xml:space="preserve">by </w:t>
      </w:r>
      <w:r w:rsidR="00580FEC">
        <w:t xml:space="preserve">combining </w:t>
      </w:r>
      <w:r w:rsidR="00EC5374">
        <w:t xml:space="preserve">the </w:t>
      </w:r>
      <w:r w:rsidR="006A7794">
        <w:t>Life Cycle Assess</w:t>
      </w:r>
      <w:r w:rsidR="002F2830">
        <w:t>m</w:t>
      </w:r>
      <w:r w:rsidR="006A7794">
        <w:t>e</w:t>
      </w:r>
      <w:r w:rsidR="002F2830">
        <w:t>n</w:t>
      </w:r>
      <w:r w:rsidR="006A7794">
        <w:t xml:space="preserve">t </w:t>
      </w:r>
      <w:r w:rsidR="00550D83">
        <w:t>(LCA)</w:t>
      </w:r>
      <w:r w:rsidR="00A74D6B">
        <w:t xml:space="preserve"> </w:t>
      </w:r>
      <w:r w:rsidR="00A74D6B" w:rsidRPr="00713969">
        <w:fldChar w:fldCharType="begin" w:fldLock="1"/>
      </w:r>
      <w:r w:rsidR="00425854">
        <w:instrText>ADDIN CSL_CITATION {"citationItems":[{"id":"ITEM-1","itemData":{"author":[{"dropping-particle":"","family":"ISO","given":"","non-dropping-particle":"","parse-names":false,"suffix":""}],"id":"ITEM-1","issued":{"date-parts":[["2006"]]},"title":"ISO 14040:2006 - Environmental management — Life cycle assessment — Principles and framework","type":"article"},"uris":["http://www.mendeley.com/documents/?uuid=3d572f1e-2129-3186-9dd6-8afbc14b84d4"]},{"id":"ITEM-2","itemData":{"author":[{"dropping-particle":"","family":"ISO","given":"","non-dropping-particle":"","parse-names":false,"suffix":""}],"id":"ITEM-2","issued":{"date-parts":[["2006"]]},"title":"ISO 14044:2006 Environmental management — Life cycle assessment — Requirements and guidelines","type":"article"},"uris":["http://www.mendeley.com/documents/?uuid=5e1652cc-d51d-4ca9-8f78-0fb048cc9dff"]}],"mendeley":{"formattedCitation":"(ISO, 2006a, 2006b)","plainTextFormattedCitation":"(ISO, 2006a, 2006b)","previouslyFormattedCitation":"(ISO, 2020a, 2020b)"},"properties":{"noteIndex":0},"schema":"https://github.com/citation-style-language/schema/raw/master/csl-citation.json"}</w:instrText>
      </w:r>
      <w:r w:rsidR="00A74D6B" w:rsidRPr="00713969">
        <w:fldChar w:fldCharType="separate"/>
      </w:r>
      <w:r w:rsidR="00425854" w:rsidRPr="00425854">
        <w:rPr>
          <w:noProof/>
        </w:rPr>
        <w:t>(ISO, 2006a, 2006b)</w:t>
      </w:r>
      <w:r w:rsidR="00A74D6B" w:rsidRPr="00713969">
        <w:fldChar w:fldCharType="end"/>
      </w:r>
      <w:r w:rsidR="00550D83">
        <w:t xml:space="preserve"> </w:t>
      </w:r>
      <w:r w:rsidR="00EC5374">
        <w:t>and</w:t>
      </w:r>
      <w:r w:rsidR="00B038F7">
        <w:t xml:space="preserve"> </w:t>
      </w:r>
      <w:r w:rsidR="00580FEC">
        <w:t xml:space="preserve">the </w:t>
      </w:r>
      <w:r w:rsidR="00B038F7">
        <w:t>Enviro</w:t>
      </w:r>
      <w:r w:rsidR="006D476D">
        <w:t>n</w:t>
      </w:r>
      <w:r w:rsidR="00B038F7">
        <w:t>mental</w:t>
      </w:r>
      <w:r w:rsidR="00EC5374">
        <w:t xml:space="preserve"> </w:t>
      </w:r>
      <w:r w:rsidR="006A7794">
        <w:t xml:space="preserve">Life Cycle Costing </w:t>
      </w:r>
      <w:r w:rsidR="00550D83">
        <w:t>(</w:t>
      </w:r>
      <w:r w:rsidR="00EC2DCE">
        <w:t>E</w:t>
      </w:r>
      <w:r w:rsidR="00550D83">
        <w:t>LCC)</w:t>
      </w:r>
      <w:r w:rsidR="00A74D6B">
        <w:t xml:space="preserve"> </w:t>
      </w:r>
      <w:r w:rsidR="00A74D6B">
        <w:rPr>
          <w:lang w:val="en-GB"/>
        </w:rPr>
        <w:fldChar w:fldCharType="begin" w:fldLock="1"/>
      </w:r>
      <w:r w:rsidR="00A74D6B">
        <w:rPr>
          <w:lang w:val="en-GB"/>
        </w:rPr>
        <w:instrText>ADDIN CSL_CITATION {"citationItems":[{"id":"ITEM-1","itemData":{"ISBN":"0429140444","author":[{"dropping-particle":"","family":"Hunkeler","given":"David","non-dropping-particle":"","parse-names":false,"suffix":""},{"dropping-particle":"","family":"Lichtenvort","given":"Kerstin","non-dropping-particle":"","parse-names":false,"suffix":""},{"dropping-particle":"","family":"Rebitzer","given":"Gerald","non-dropping-particle":"","parse-names":false,"suffix":""}],"id":"ITEM-1","issued":{"date-parts":[["2008"]]},"publisher":"Crc press","title":"Environmental life cycle costing","type":"book"},"uris":["http://www.mendeley.com/documents/?uuid=45db1b76-1a73-4c96-8ba1-384129cabdc2"]}],"mendeley":{"formattedCitation":"(Hunkeler et al., 2008)","plainTextFormattedCitation":"(Hunkeler et al., 2008)","previouslyFormattedCitation":"(Hunkeler et al., 2008)"},"properties":{"noteIndex":0},"schema":"https://github.com/citation-style-language/schema/raw/master/csl-citation.json"}</w:instrText>
      </w:r>
      <w:r w:rsidR="00A74D6B">
        <w:rPr>
          <w:lang w:val="en-GB"/>
        </w:rPr>
        <w:fldChar w:fldCharType="separate"/>
      </w:r>
      <w:r w:rsidR="00A74D6B" w:rsidRPr="003727C7">
        <w:rPr>
          <w:noProof/>
          <w:lang w:val="en-GB"/>
        </w:rPr>
        <w:t>(Hunkeler et al., 2008)</w:t>
      </w:r>
      <w:r w:rsidR="00A74D6B">
        <w:rPr>
          <w:lang w:val="en-GB"/>
        </w:rPr>
        <w:fldChar w:fldCharType="end"/>
      </w:r>
      <w:r w:rsidR="009D0D6C">
        <w:t xml:space="preserve"> methods</w:t>
      </w:r>
      <w:r w:rsidR="003C7B7C">
        <w:t>.</w:t>
      </w:r>
      <w:r w:rsidR="003C7B7C" w:rsidRPr="003C7B7C">
        <w:t xml:space="preserve"> </w:t>
      </w:r>
      <w:r w:rsidR="00F407A3" w:rsidRPr="00F407A3">
        <w:t>This analysis allows a</w:t>
      </w:r>
      <w:r w:rsidR="009F02F3">
        <w:t xml:space="preserve"> global</w:t>
      </w:r>
      <w:r w:rsidR="00F407A3" w:rsidRPr="00F407A3">
        <w:t xml:space="preserve"> understanding of the contribution of each consumed </w:t>
      </w:r>
      <w:r w:rsidR="00A50C38">
        <w:t>material</w:t>
      </w:r>
      <w:r w:rsidR="00A50C38" w:rsidRPr="00F407A3">
        <w:t xml:space="preserve"> </w:t>
      </w:r>
      <w:r w:rsidR="00F407A3" w:rsidRPr="00F407A3">
        <w:t xml:space="preserve">and energy and </w:t>
      </w:r>
      <w:r w:rsidR="00580FEC" w:rsidRPr="00F407A3">
        <w:t>relat</w:t>
      </w:r>
      <w:r w:rsidR="00580FEC">
        <w:t xml:space="preserve">ed </w:t>
      </w:r>
      <w:r w:rsidR="00F407A3" w:rsidRPr="00F407A3">
        <w:t>emissions</w:t>
      </w:r>
      <w:r w:rsidR="00580FEC">
        <w:t>, as well as</w:t>
      </w:r>
      <w:r w:rsidR="00F407A3" w:rsidRPr="00F407A3">
        <w:t xml:space="preserve"> environmental externality prices on the PEM-URFC stack</w:t>
      </w:r>
      <w:r w:rsidR="00C40CC0">
        <w:t>'</w:t>
      </w:r>
      <w:r w:rsidR="00F407A3" w:rsidRPr="00F407A3">
        <w:t xml:space="preserve">s impacts, </w:t>
      </w:r>
      <w:proofErr w:type="gramStart"/>
      <w:r w:rsidR="00A50C38">
        <w:t>in order to</w:t>
      </w:r>
      <w:proofErr w:type="gramEnd"/>
      <w:r w:rsidR="00A50C38">
        <w:t xml:space="preserve"> </w:t>
      </w:r>
      <w:r w:rsidR="00F407A3" w:rsidRPr="00F407A3">
        <w:t xml:space="preserve">identify </w:t>
      </w:r>
      <w:r w:rsidR="00580FEC">
        <w:t xml:space="preserve">its </w:t>
      </w:r>
      <w:r w:rsidR="00F407A3" w:rsidRPr="00F407A3">
        <w:t>main critical hotspots.</w:t>
      </w:r>
    </w:p>
    <w:p w14:paraId="4E67FAE2" w14:textId="2B7E9753" w:rsidR="008C685C" w:rsidRDefault="008C685C" w:rsidP="000B363E">
      <w:pPr>
        <w:pStyle w:val="Titolo1"/>
        <w:keepNext w:val="0"/>
        <w:widowControl w:val="0"/>
      </w:pPr>
      <w:r w:rsidRPr="008C685C">
        <w:t xml:space="preserve">Material and </w:t>
      </w:r>
      <w:r w:rsidRPr="004153EC">
        <w:t>methods</w:t>
      </w:r>
    </w:p>
    <w:p w14:paraId="45DBB974" w14:textId="019F9B14" w:rsidR="007B567F" w:rsidRDefault="00D10045" w:rsidP="000B363E">
      <w:pPr>
        <w:pStyle w:val="Titolo2"/>
        <w:keepNext w:val="0"/>
        <w:widowControl w:val="0"/>
      </w:pPr>
      <w:r w:rsidRPr="00EA0D35">
        <w:t>Goal and scope definition</w:t>
      </w:r>
    </w:p>
    <w:p w14:paraId="1E9DA716" w14:textId="100BA1E4" w:rsidR="008B5677" w:rsidRPr="000421EC" w:rsidRDefault="00B80657" w:rsidP="000B363E">
      <w:pPr>
        <w:widowControl w:val="0"/>
      </w:pPr>
      <w:r>
        <w:t>The study</w:t>
      </w:r>
      <w:r w:rsidR="00740E25">
        <w:t xml:space="preserve"> </w:t>
      </w:r>
      <w:r w:rsidR="00A901B1">
        <w:t xml:space="preserve">combines </w:t>
      </w:r>
      <w:r w:rsidR="00352D4F">
        <w:t>LCA and ELCC</w:t>
      </w:r>
      <w:r w:rsidR="00352D4F" w:rsidRPr="009D1C8B">
        <w:t xml:space="preserve"> </w:t>
      </w:r>
      <w:r w:rsidR="00352D4F">
        <w:t xml:space="preserve">methods </w:t>
      </w:r>
      <w:proofErr w:type="gramStart"/>
      <w:r w:rsidR="00A901B1">
        <w:t xml:space="preserve">in order </w:t>
      </w:r>
      <w:r>
        <w:t>to</w:t>
      </w:r>
      <w:proofErr w:type="gramEnd"/>
      <w:r w:rsidR="00740E25">
        <w:t xml:space="preserve">: </w:t>
      </w:r>
      <w:proofErr w:type="spellStart"/>
      <w:r w:rsidR="00594EE9">
        <w:t>i</w:t>
      </w:r>
      <w:proofErr w:type="spellEnd"/>
      <w:r w:rsidR="00594EE9">
        <w:t xml:space="preserve">) </w:t>
      </w:r>
      <w:r>
        <w:t xml:space="preserve">evaluate the environmental and economic impacts of a PEM-URFC stack, </w:t>
      </w:r>
      <w:r w:rsidR="00594EE9">
        <w:t xml:space="preserve">ii) </w:t>
      </w:r>
      <w:r>
        <w:t xml:space="preserve">identify </w:t>
      </w:r>
      <w:r w:rsidR="00A901B1">
        <w:t xml:space="preserve">its </w:t>
      </w:r>
      <w:r>
        <w:t xml:space="preserve">main </w:t>
      </w:r>
      <w:r w:rsidR="00A901B1">
        <w:t xml:space="preserve">environmental </w:t>
      </w:r>
      <w:r>
        <w:t>hotspots</w:t>
      </w:r>
      <w:r w:rsidR="00A901B1">
        <w:t>,</w:t>
      </w:r>
      <w:r>
        <w:t xml:space="preserve"> </w:t>
      </w:r>
      <w:r w:rsidR="00D80BDA">
        <w:t xml:space="preserve">and </w:t>
      </w:r>
      <w:r w:rsidR="00594EE9">
        <w:t xml:space="preserve">iii) </w:t>
      </w:r>
      <w:r w:rsidR="00D465BD">
        <w:t>calculate</w:t>
      </w:r>
      <w:r w:rsidR="00D80BDA">
        <w:t xml:space="preserve"> the</w:t>
      </w:r>
      <w:r w:rsidR="00D465BD">
        <w:t xml:space="preserve"> </w:t>
      </w:r>
      <w:r w:rsidR="001D3632">
        <w:t xml:space="preserve">contribution of environmental </w:t>
      </w:r>
      <w:r w:rsidR="00D80BDA">
        <w:t>ex</w:t>
      </w:r>
      <w:r w:rsidR="0036715E">
        <w:t>t</w:t>
      </w:r>
      <w:r w:rsidR="00D80BDA">
        <w:t xml:space="preserve">ernality </w:t>
      </w:r>
      <w:r w:rsidR="006378E8">
        <w:t>on</w:t>
      </w:r>
      <w:r w:rsidR="00D80BDA">
        <w:t xml:space="preserve"> </w:t>
      </w:r>
      <w:r w:rsidR="00A82A93">
        <w:t>life cycle</w:t>
      </w:r>
      <w:r w:rsidR="00D80BDA">
        <w:t xml:space="preserve"> costs</w:t>
      </w:r>
      <w:r>
        <w:t>.</w:t>
      </w:r>
      <w:r w:rsidR="00352D4F" w:rsidRPr="00352D4F">
        <w:t xml:space="preserve"> </w:t>
      </w:r>
      <w:r w:rsidR="00352D4F" w:rsidRPr="00713969">
        <w:rPr>
          <w:lang w:val="en-GB"/>
        </w:rPr>
        <w:t>The LCA method is applied according to the ISO 14040-44:</w:t>
      </w:r>
      <w:r w:rsidR="00FE589C">
        <w:rPr>
          <w:lang w:val="en-GB"/>
        </w:rPr>
        <w:t>2006</w:t>
      </w:r>
      <w:r w:rsidR="000A6484">
        <w:rPr>
          <w:lang w:val="en-GB"/>
        </w:rPr>
        <w:t xml:space="preserve"> </w:t>
      </w:r>
      <w:r w:rsidR="00352D4F" w:rsidRPr="00713969">
        <w:fldChar w:fldCharType="begin" w:fldLock="1"/>
      </w:r>
      <w:r w:rsidR="00425854">
        <w:instrText>ADDIN CSL_CITATION {"citationItems":[{"id":"ITEM-1","itemData":{"author":[{"dropping-particle":"","family":"ISO","given":"","non-dropping-particle":"","parse-names":false,"suffix":""}],"id":"ITEM-1","issued":{"date-parts":[["2006"]]},"title":"ISO 14040:2006 - Environmental management — Life cycle assessment — Principles and framework","type":"article"},"uris":["http://www.mendeley.com/documents/?uuid=3d572f1e-2129-3186-9dd6-8afbc14b84d4"]},{"id":"ITEM-2","itemData":{"author":[{"dropping-particle":"","family":"ISO","given":"","non-dropping-particle":"","parse-names":false,"suffix":""}],"id":"ITEM-2","issued":{"date-parts":[["2006"]]},"title":"ISO 14044:2006 Environmental management — Life cycle assessment — Requirements and guidelines","type":"article"},"uris":["http://www.mendeley.com/documents/?uuid=5e1652cc-d51d-4ca9-8f78-0fb048cc9dff"]}],"mendeley":{"formattedCitation":"(ISO, 2006a, 2006b)","plainTextFormattedCitation":"(ISO, 2006a, 2006b)","previouslyFormattedCitation":"(ISO, 2020a, 2020b)"},"properties":{"noteIndex":0},"schema":"https://github.com/citation-style-language/schema/raw/master/csl-citation.json"}</w:instrText>
      </w:r>
      <w:r w:rsidR="00352D4F" w:rsidRPr="00713969">
        <w:fldChar w:fldCharType="separate"/>
      </w:r>
      <w:r w:rsidR="00425854" w:rsidRPr="00425854">
        <w:rPr>
          <w:noProof/>
        </w:rPr>
        <w:t>(ISO, 2006a, 2006b)</w:t>
      </w:r>
      <w:r w:rsidR="00352D4F" w:rsidRPr="00713969">
        <w:fldChar w:fldCharType="end"/>
      </w:r>
      <w:r w:rsidR="00352D4F">
        <w:rPr>
          <w:lang w:val="en-GB"/>
        </w:rPr>
        <w:t xml:space="preserve"> </w:t>
      </w:r>
      <w:r w:rsidR="00352D4F">
        <w:t xml:space="preserve">using </w:t>
      </w:r>
      <w:r w:rsidR="00352D4F" w:rsidRPr="00713969">
        <w:t xml:space="preserve">Simapro software </w:t>
      </w:r>
      <w:r w:rsidR="00352D4F" w:rsidRPr="00905C62">
        <w:fldChar w:fldCharType="begin" w:fldLock="1"/>
      </w:r>
      <w:r w:rsidR="00352D4F">
        <w:instrText>ADDIN CSL_CITATION {"citationItems":[{"id":"ITEM-1","itemData":{"URL":"https://simapro.com/","abstract":"Consultants, P. (2008). SimaPro LCA software. Amersfoort, Netherlands: PRé Product Ecology Consultants.","accessed":{"date-parts":[["2022","3","16"]]},"author":[{"dropping-particle":"","family":"PRé Sustainability","given":"","non-dropping-particle":"","parse-names":false,"suffix":""}],"id":"ITEM-1","issued":{"date-parts":[["2022"]]},"title":"SimaPro LCA software for informed change-makers","type":"webpage"},"uris":["http://www.mendeley.com/documents/?uuid=3b437ce2-fd80-3b3a-9572-9e870206dead"]}],"mendeley":{"formattedCitation":"(PRé Sustainability, 2022)","plainTextFormattedCitation":"(PRé Sustainability, 2022)","previouslyFormattedCitation":"(PRé Sustainability, 2022)"},"properties":{"noteIndex":0},"schema":"https://github.com/citation-style-language/schema/raw/master/csl-citation.json"}</w:instrText>
      </w:r>
      <w:r w:rsidR="00352D4F" w:rsidRPr="00905C62">
        <w:fldChar w:fldCharType="separate"/>
      </w:r>
      <w:r w:rsidR="00352D4F" w:rsidRPr="003727C7">
        <w:rPr>
          <w:noProof/>
        </w:rPr>
        <w:t>(PRé Sustainability, 2022)</w:t>
      </w:r>
      <w:r w:rsidR="00352D4F" w:rsidRPr="00905C62">
        <w:fldChar w:fldCharType="end"/>
      </w:r>
      <w:r w:rsidR="00352D4F">
        <w:t xml:space="preserve">. </w:t>
      </w:r>
      <w:r w:rsidR="00A50C38">
        <w:rPr>
          <w:lang w:val="en-GB"/>
        </w:rPr>
        <w:t>T</w:t>
      </w:r>
      <w:r w:rsidR="00352D4F">
        <w:rPr>
          <w:lang w:val="en-GB"/>
        </w:rPr>
        <w:t xml:space="preserve">he ELCC is applied according to </w:t>
      </w:r>
      <w:r w:rsidR="00352D4F">
        <w:rPr>
          <w:lang w:val="en-GB"/>
        </w:rPr>
        <w:fldChar w:fldCharType="begin" w:fldLock="1"/>
      </w:r>
      <w:r w:rsidR="00425854">
        <w:rPr>
          <w:lang w:val="en-GB"/>
        </w:rPr>
        <w:instrText>ADDIN CSL_CITATION {"citationItems":[{"id":"ITEM-1","itemData":{"ISBN":"0429140444","author":[{"dropping-particle":"","family":"Hunkeler","given":"David","non-dropping-particle":"","parse-names":false,"suffix":""},{"dropping-particle":"","family":"Lichtenvort","given":"Kerstin","non-dropping-particle":"","parse-names":false,"suffix":""},{"dropping-particle":"","family":"Rebitzer","given":"Gerald","non-dropping-particle":"","parse-names":false,"suffix":""}],"id":"ITEM-1","issued":{"date-parts":[["2008"]]},"publisher":"Crc press","title":"Environmental life cycle costing","type":"book"},"uris":["http://www.mendeley.com/documents/?uuid=45db1b76-1a73-4c96-8ba1-384129cabdc2"]}],"mendeley":{"formattedCitation":"(Hunkeler et al., 2008)","manualFormatting":"Hunkeler et al. (2008)","plainTextFormattedCitation":"(Hunkeler et al., 2008)","previouslyFormattedCitation":"(Hunkeler et al., 2008)"},"properties":{"noteIndex":0},"schema":"https://github.com/citation-style-language/schema/raw/master/csl-citation.json"}</w:instrText>
      </w:r>
      <w:r w:rsidR="00352D4F">
        <w:rPr>
          <w:lang w:val="en-GB"/>
        </w:rPr>
        <w:fldChar w:fldCharType="separate"/>
      </w:r>
      <w:r w:rsidR="00352D4F" w:rsidRPr="003727C7">
        <w:rPr>
          <w:noProof/>
          <w:lang w:val="en-GB"/>
        </w:rPr>
        <w:t xml:space="preserve">Hunkeler et al. </w:t>
      </w:r>
      <w:r w:rsidR="00A901B1">
        <w:rPr>
          <w:noProof/>
          <w:lang w:val="en-GB"/>
        </w:rPr>
        <w:t>(</w:t>
      </w:r>
      <w:r w:rsidR="00352D4F" w:rsidRPr="003727C7">
        <w:rPr>
          <w:noProof/>
          <w:lang w:val="en-GB"/>
        </w:rPr>
        <w:t>2008)</w:t>
      </w:r>
      <w:r w:rsidR="00352D4F">
        <w:rPr>
          <w:lang w:val="en-GB"/>
        </w:rPr>
        <w:fldChar w:fldCharType="end"/>
      </w:r>
      <w:r w:rsidR="000D4196">
        <w:rPr>
          <w:lang w:val="en-GB"/>
        </w:rPr>
        <w:t>,</w:t>
      </w:r>
      <w:r w:rsidR="00352D4F">
        <w:rPr>
          <w:lang w:val="en-GB"/>
        </w:rPr>
        <w:t xml:space="preserve"> using Simapro </w:t>
      </w:r>
      <w:r w:rsidR="00552DA2">
        <w:rPr>
          <w:lang w:val="en-GB"/>
        </w:rPr>
        <w:t>to estimate externalities</w:t>
      </w:r>
      <w:r w:rsidR="00C40CC0">
        <w:rPr>
          <w:lang w:val="en-GB"/>
        </w:rPr>
        <w:t>'</w:t>
      </w:r>
      <w:r w:rsidR="00552DA2">
        <w:rPr>
          <w:lang w:val="en-GB"/>
        </w:rPr>
        <w:t xml:space="preserve"> moneti</w:t>
      </w:r>
      <w:r w:rsidR="004919EF">
        <w:rPr>
          <w:lang w:val="en-GB"/>
        </w:rPr>
        <w:t>z</w:t>
      </w:r>
      <w:r w:rsidR="00552DA2">
        <w:rPr>
          <w:lang w:val="en-GB"/>
        </w:rPr>
        <w:t>ation</w:t>
      </w:r>
      <w:r w:rsidR="001D21F5">
        <w:rPr>
          <w:lang w:val="en-GB"/>
        </w:rPr>
        <w:t xml:space="preserve"> and an </w:t>
      </w:r>
      <w:r w:rsidR="000D4CC2">
        <w:rPr>
          <w:lang w:val="en-GB"/>
        </w:rPr>
        <w:t>MS-</w:t>
      </w:r>
      <w:r w:rsidR="001D21F5">
        <w:rPr>
          <w:lang w:val="en-GB"/>
        </w:rPr>
        <w:t xml:space="preserve">Excel worksheet to manage </w:t>
      </w:r>
      <w:r w:rsidR="000D4196">
        <w:rPr>
          <w:lang w:val="en-GB"/>
        </w:rPr>
        <w:t>data</w:t>
      </w:r>
      <w:r w:rsidR="00352D4F">
        <w:rPr>
          <w:lang w:val="en-GB"/>
        </w:rPr>
        <w:t>.</w:t>
      </w:r>
      <w:r w:rsidR="00D23275">
        <w:t xml:space="preserve"> </w:t>
      </w:r>
      <w:r w:rsidR="00564A48">
        <w:t xml:space="preserve">According to </w:t>
      </w:r>
      <w:r w:rsidR="00E4414B">
        <w:fldChar w:fldCharType="begin" w:fldLock="1"/>
      </w:r>
      <w:r w:rsidR="00425854">
        <w:instrText>ADDIN CSL_CITATION {"citationItems":[{"id":"ITEM-1","itemData":{"abstract":"This document gives guidance for conducting a LCA study on hydrogen production. Adapted from the ILCD Handbook and the ISO 14040 series, th e document gives an overview of how to carry out a LCA on hydrogen production. This is done by deliv ering a specific set of rules with clear specificat ions about the information and issues that have to be co nsidered and reported in a LCA study on hydrogen production systems .","author":[{"dropping-particle":"","family":"Masoni","given":"Paolo","non-dropping-particle":"","parse-names":false,"suffix":""},{"dropping-particle":"","family":"Zamagni","given":"Alessandra","non-dropping-particle":"","parse-names":false,"suffix":""}],"id":"ITEM-1","issued":{"date-parts":[["2011"]]},"page":"139","title":"Guidance Document for performing LCAs on Fuel Cells and Hydrogen Technologies (Hyguide)","type":"article-journal"},"uris":["http://www.mendeley.com/documents/?uuid=4046dd63-1dae-4d17-9fe7-32151172d692"]}],"mendeley":{"formattedCitation":"(Masoni &amp; Zamagni, 2011)","manualFormatting":"Masoni &amp; Zamagni, (2011)","plainTextFormattedCitation":"(Masoni &amp; Zamagni, 2011)","previouslyFormattedCitation":"(Masoni &amp; Zamagni, 2011)"},"properties":{"noteIndex":0},"schema":"https://github.com/citation-style-language/schema/raw/master/csl-citation.json"}</w:instrText>
      </w:r>
      <w:r w:rsidR="00E4414B">
        <w:fldChar w:fldCharType="separate"/>
      </w:r>
      <w:r w:rsidR="00E4414B" w:rsidRPr="00E4414B">
        <w:rPr>
          <w:noProof/>
        </w:rPr>
        <w:t xml:space="preserve">Masoni &amp; Zamagni, </w:t>
      </w:r>
      <w:r w:rsidR="00D23275">
        <w:rPr>
          <w:noProof/>
        </w:rPr>
        <w:t>(</w:t>
      </w:r>
      <w:r w:rsidR="00E4414B" w:rsidRPr="00E4414B">
        <w:rPr>
          <w:noProof/>
        </w:rPr>
        <w:t>2011)</w:t>
      </w:r>
      <w:r w:rsidR="00E4414B">
        <w:fldChar w:fldCharType="end"/>
      </w:r>
      <w:r w:rsidR="00564A48">
        <w:t xml:space="preserve">, the functional unit </w:t>
      </w:r>
      <w:r w:rsidR="00D46ADC">
        <w:t>selected</w:t>
      </w:r>
      <w:r w:rsidR="00564A48">
        <w:t xml:space="preserve"> is </w:t>
      </w:r>
      <w:r w:rsidR="000D695C">
        <w:t>a</w:t>
      </w:r>
      <w:r w:rsidR="00564A48">
        <w:t xml:space="preserve"> </w:t>
      </w:r>
      <w:r w:rsidR="00D46ADC">
        <w:t>PEM</w:t>
      </w:r>
      <w:r w:rsidR="000D695C">
        <w:t>-</w:t>
      </w:r>
      <w:r w:rsidR="00D46ADC">
        <w:t>URFC stack of 3 and 1 kW of nominal power</w:t>
      </w:r>
      <w:r w:rsidR="00D23275">
        <w:t>, respectively</w:t>
      </w:r>
      <w:r w:rsidR="00CE5338">
        <w:t xml:space="preserve"> in</w:t>
      </w:r>
      <w:r w:rsidR="00D46ADC">
        <w:t xml:space="preserve"> electroly</w:t>
      </w:r>
      <w:r w:rsidR="004919EF">
        <w:t>z</w:t>
      </w:r>
      <w:r w:rsidR="00D46ADC">
        <w:t>er and fuel cell modes.</w:t>
      </w:r>
      <w:r w:rsidR="002675F5">
        <w:t xml:space="preserve"> A </w:t>
      </w:r>
      <w:r w:rsidR="00D23275">
        <w:t>cradle-to-</w:t>
      </w:r>
      <w:r w:rsidR="002675F5">
        <w:t xml:space="preserve">gate approach is applied, accounting for all energy and </w:t>
      </w:r>
      <w:r w:rsidR="005B5F5B">
        <w:t xml:space="preserve">material </w:t>
      </w:r>
      <w:r w:rsidR="002675F5">
        <w:t xml:space="preserve">flows linked to the manufacturing phase. </w:t>
      </w:r>
    </w:p>
    <w:p w14:paraId="19666777" w14:textId="454D87CC" w:rsidR="008C685C" w:rsidRPr="00073F40" w:rsidRDefault="00D10045" w:rsidP="000B363E">
      <w:pPr>
        <w:pStyle w:val="Titolo2"/>
        <w:keepNext w:val="0"/>
        <w:widowControl w:val="0"/>
      </w:pPr>
      <w:r w:rsidRPr="00073F40">
        <w:t>Life cycle inventory</w:t>
      </w:r>
    </w:p>
    <w:p w14:paraId="71B91DE3" w14:textId="3564DA19" w:rsidR="009059BB" w:rsidRDefault="0067279E" w:rsidP="00002AFE">
      <w:pPr>
        <w:widowControl w:val="0"/>
      </w:pPr>
      <w:r w:rsidRPr="00713969">
        <w:t>T</w:t>
      </w:r>
      <w:r w:rsidR="00EA34CB">
        <w:t>he</w:t>
      </w:r>
      <w:r w:rsidR="003A3E5F">
        <w:t xml:space="preserve"> </w:t>
      </w:r>
      <w:r w:rsidR="00C01D84">
        <w:t>inventory data of</w:t>
      </w:r>
      <w:r w:rsidR="00AD47D2">
        <w:t xml:space="preserve"> </w:t>
      </w:r>
      <w:r w:rsidR="00EA34CB">
        <w:t>the stack</w:t>
      </w:r>
      <w:r w:rsidR="006A7B3A">
        <w:t xml:space="preserve"> is</w:t>
      </w:r>
      <w:r w:rsidR="003A3E5F">
        <w:t xml:space="preserve"> </w:t>
      </w:r>
      <w:r w:rsidR="00CE5338">
        <w:t xml:space="preserve">modelled by </w:t>
      </w:r>
      <w:r w:rsidR="006A7B3A">
        <w:t>using</w:t>
      </w:r>
      <w:r w:rsidR="000D4196">
        <w:t xml:space="preserve"> </w:t>
      </w:r>
      <w:r w:rsidR="00CE5338">
        <w:t>both primary and secondary data</w:t>
      </w:r>
      <w:r w:rsidR="006A7B3A">
        <w:t xml:space="preserve"> (see</w:t>
      </w:r>
      <w:r w:rsidR="00AE5C98">
        <w:t xml:space="preserve"> Table 1</w:t>
      </w:r>
      <w:r w:rsidR="006A7B3A">
        <w:t>)</w:t>
      </w:r>
      <w:r w:rsidR="00AE5C98">
        <w:t xml:space="preserve">. </w:t>
      </w:r>
      <w:r w:rsidR="002A6402">
        <w:t xml:space="preserve">In particular, </w:t>
      </w:r>
      <w:r w:rsidR="00401148">
        <w:t>the</w:t>
      </w:r>
      <w:r w:rsidR="00B967BC">
        <w:t xml:space="preserve"> primary data provided by </w:t>
      </w:r>
      <w:r w:rsidR="00CB4323">
        <w:t>the ELETTRORIGENERA project</w:t>
      </w:r>
      <w:r w:rsidR="00C40CC0">
        <w:t>'</w:t>
      </w:r>
      <w:r w:rsidR="00CB4323">
        <w:t>s partner</w:t>
      </w:r>
      <w:r w:rsidR="00594C6B">
        <w:t>s</w:t>
      </w:r>
      <w:r w:rsidR="00CB4323">
        <w:t xml:space="preserve"> are</w:t>
      </w:r>
      <w:r w:rsidR="00AE5C98">
        <w:t xml:space="preserve"> weight</w:t>
      </w:r>
      <w:r w:rsidR="00CB4323">
        <w:t xml:space="preserve">, number, materials </w:t>
      </w:r>
      <w:proofErr w:type="gramStart"/>
      <w:r w:rsidR="00CB4323">
        <w:t>composition</w:t>
      </w:r>
      <w:proofErr w:type="gramEnd"/>
      <w:r w:rsidR="00AE5C98">
        <w:t xml:space="preserve"> and costs of each </w:t>
      </w:r>
      <w:r w:rsidR="00401148">
        <w:t>compone</w:t>
      </w:r>
      <w:r w:rsidR="00AE5C98">
        <w:t>nt</w:t>
      </w:r>
      <w:r w:rsidR="009A42A4">
        <w:t xml:space="preserve"> (produced </w:t>
      </w:r>
      <w:r w:rsidR="006C4F99">
        <w:t xml:space="preserve">and provided </w:t>
      </w:r>
      <w:r w:rsidR="004D079E">
        <w:t xml:space="preserve">by third </w:t>
      </w:r>
      <w:r w:rsidR="004777A8">
        <w:t>organizations</w:t>
      </w:r>
      <w:r w:rsidR="004D079E">
        <w:t>)</w:t>
      </w:r>
      <w:r w:rsidR="00AD47D2">
        <w:t>.</w:t>
      </w:r>
      <w:r w:rsidR="00AE5C98">
        <w:t xml:space="preserve"> </w:t>
      </w:r>
      <w:r w:rsidR="007E7236">
        <w:t xml:space="preserve">While the proxy of </w:t>
      </w:r>
      <w:r w:rsidR="00047E11">
        <w:t>working</w:t>
      </w:r>
      <w:r w:rsidR="007D74EB">
        <w:t xml:space="preserve"> </w:t>
      </w:r>
      <w:r w:rsidR="00113412">
        <w:t>processes</w:t>
      </w:r>
      <w:r w:rsidR="007D74EB">
        <w:t xml:space="preserve"> (e.g.</w:t>
      </w:r>
      <w:r w:rsidR="00962955">
        <w:t>,</w:t>
      </w:r>
      <w:r w:rsidR="007D74EB">
        <w:t xml:space="preserve"> sintering, thermoforming, etc</w:t>
      </w:r>
      <w:r w:rsidR="00CE5338">
        <w:t>.</w:t>
      </w:r>
      <w:r w:rsidR="00046C00">
        <w:t xml:space="preserve">) </w:t>
      </w:r>
      <w:r w:rsidR="000673D6">
        <w:t>and</w:t>
      </w:r>
      <w:r w:rsidR="00BE6F1E">
        <w:t xml:space="preserve"> all </w:t>
      </w:r>
      <w:r w:rsidR="00C124DB">
        <w:t xml:space="preserve">materials production </w:t>
      </w:r>
      <w:r w:rsidR="00273C6C">
        <w:t>processes</w:t>
      </w:r>
      <w:r w:rsidR="009F76ED">
        <w:t xml:space="preserve"> </w:t>
      </w:r>
      <w:r w:rsidR="00C124DB">
        <w:t xml:space="preserve">are </w:t>
      </w:r>
      <w:r w:rsidR="00BE6F1E">
        <w:t>selected from</w:t>
      </w:r>
      <w:r w:rsidR="000673D6">
        <w:t xml:space="preserve"> </w:t>
      </w:r>
      <w:r w:rsidR="00A96186">
        <w:t xml:space="preserve">the </w:t>
      </w:r>
      <w:r w:rsidR="000673D6">
        <w:t>Ecoinvent data</w:t>
      </w:r>
      <w:r w:rsidR="00A96186">
        <w:t>base</w:t>
      </w:r>
      <w:r w:rsidR="000673D6">
        <w:t xml:space="preserve"> </w:t>
      </w:r>
      <w:r w:rsidR="000673D6">
        <w:fldChar w:fldCharType="begin" w:fldLock="1"/>
      </w:r>
      <w:r w:rsidR="000673D6">
        <w:instrText>ADDIN CSL_CITATION {"citationItems":[{"id":"ITEM-1","itemData":{"DOI":"10.1007/s11367-016-1087-8","ISSN":"16147502","abstract":"Purpose: Good background data are an important requirement in LCA. Practitioners generally make use of LCI databases for such data, and the ecoinvent database is the largest transparent unit-process LCI database worldwide. Since its first release in 2003, it has been continuously updated, and version 3 was published in 2013. The release of version 3 introduced several significant methodological and technological improvements, besides a large number of new and updated datasets. The aim was to expand the content of the database, set the foundation for a truly global database, support regionalized LCIA, offer multiple system models, allow for easier integration of data from different regions, and reduce maintenance efforts. This article describes the methodological developments. Methods: Modeling choices and raw data were separated in version 3, which enables the application of different sets of modeling choices, or system models, to the same raw data with little effort. This includes one system model for Consequential LCA. Flow properties were added to all exchanges in the database, giving more information on the inventory and allowing a fast calculation of mass and other balances. With version 3.1, the database is generally water-balanced, and water use and consumption can be determined. Consumption mixes called market datasets were consistently added to the database, and global background data was added, often as an extrapolation from regional data. Results and discussion: In combination with hundreds of new unit processes from regions outside Europe, these changes lead to an improved modeling of global supply chains, and a more realistic distribution of impacts in regionalized LCIA. The new mixes also facilitate further regionalization due to the availability of background data for all regions. Conclusions: With version 3, the ecoinvent database substantially expands the goals and scopes of LCA studies it can support. The new system models allow new, different studies to be performed. Global supply chains and market datasets significantly increase the relevance of the database outside of Europe, and regionalized LCA is supported by the data. Datasets are more transparent, include more information, and support, e.g., water balances. The developments also support easier collaboration with other database initiatives, as demonstrated by a first successful collaboration with a data project in Québec. Version 3 has set the foundation for expanding ecoinvent …","author":[{"dropping-particle":"","family":"Wernet","given":"Gregor","non-dropping-particle":"","parse-names":false,"suffix":""},{"dropping-particle":"","family":"Bauer","given":"Christian","non-dropping-particle":"","parse-names":false,"suffix":""},{"dropping-particle":"","family":"Steubing","given":"Bernhard","non-dropping-particle":"","parse-names":false,"suffix":""},{"dropping-particle":"","family":"Reinhard","given":"Jürgen","non-dropping-particle":"","parse-names":false,"suffix":""},{"dropping-particle":"","family":"Moreno-Ruiz","given":"Emilia","non-dropping-particle":"","parse-names":false,"suffix":""},{"dropping-particle":"","family":"Weidema","given":"Bo","non-dropping-particle":"","parse-names":false,"suffix":""}],"container-title":"International Journal of Life Cycle Assessment","id":"ITEM-1","issue":"9","issued":{"date-parts":[["2016","9","21"]]},"page":"1218-1230","publisher":"Springer Berlin Heidelberg","title":"The ecoinvent database version 3 (part I): overview and methodology","type":"article-journal","volume":"21"},"uris":["http://www.mendeley.com/documents/?uuid=1a90fbc4-d88d-44aa-aaab-cfc2e602f0dd"]}],"mendeley":{"formattedCitation":"(Wernet et al., 2016)","plainTextFormattedCitation":"(Wernet et al., 2016)","previouslyFormattedCitation":"(Wernet et al., 2016)"},"properties":{"noteIndex":0},"schema":"https://github.com/citation-style-language/schema/raw/master/csl-citation.json"}</w:instrText>
      </w:r>
      <w:r w:rsidR="000673D6">
        <w:fldChar w:fldCharType="separate"/>
      </w:r>
      <w:r w:rsidR="000673D6" w:rsidRPr="00A750B1">
        <w:rPr>
          <w:noProof/>
        </w:rPr>
        <w:t>(Wernet et al., 2016)</w:t>
      </w:r>
      <w:r w:rsidR="000673D6">
        <w:fldChar w:fldCharType="end"/>
      </w:r>
      <w:r w:rsidR="009333D8">
        <w:t xml:space="preserve">, except for </w:t>
      </w:r>
      <w:r w:rsidR="00113412">
        <w:t xml:space="preserve">Nafion and </w:t>
      </w:r>
      <w:r w:rsidR="008813E0">
        <w:t>T</w:t>
      </w:r>
      <w:r w:rsidR="00113412">
        <w:t>eflo</w:t>
      </w:r>
      <w:r w:rsidR="00036F92">
        <w:t>n</w:t>
      </w:r>
      <w:r w:rsidR="00113412">
        <w:t xml:space="preserve"> </w:t>
      </w:r>
      <w:r w:rsidR="008813E0">
        <w:t xml:space="preserve">manufacturing processes </w:t>
      </w:r>
      <w:r w:rsidR="00E4231A">
        <w:t xml:space="preserve">estimated </w:t>
      </w:r>
      <w:r w:rsidR="00D168C0">
        <w:t>according to</w:t>
      </w:r>
      <w:r w:rsidR="00273C6C">
        <w:t xml:space="preserve"> literature</w:t>
      </w:r>
      <w:r w:rsidR="005B5F5B">
        <w:t>,</w:t>
      </w:r>
      <w:r w:rsidR="00273C6C">
        <w:t xml:space="preserve"> </w:t>
      </w:r>
      <w:r w:rsidR="00D168C0">
        <w:lastRenderedPageBreak/>
        <w:fldChar w:fldCharType="begin" w:fldLock="1"/>
      </w:r>
      <w:r w:rsidR="00425854">
        <w:instrText>ADDIN CSL_CITATION {"citationItems":[{"id":"ITEM-1","itemData":{"DOI":"10.1016/j.jclepro.2016.11.159","ISSN":"09596526","abstract":"In moving towards a more sustainable society, hydrogen fueled polymer electrolyte membrane (PEM) fuel cell technology is seen as a great opportunity to reduce the environmental impact of the transport sector. However, decision makers have the challenge of understanding the real environmental consequences of producing fuel cell vehicles (FCVs) compared to alternative green cars, such as battery electric vehicles (BEVs). and more conventional internal combustion engine vehicles (ICEVs). In this work, we presented a comprehensive life cycle assessment (LCA) of a FCV focused on its manufacturing phase and compared with the production of a BEV and an ICEV. For the manufacturing phase, the FCV inventories started from the catalyst layer to the glider, including the hydrogen tank. A sensitivity analysis on some of the key components of the fuel cell stack and the FC system (such as balance-of-plant and hydrogen tank) was carried out to account for different assumptions on materials and inventory models. The production process of the fuel cell vehicle showed a higher environmental impact compared to the production of the other two vehicles power sources. This is mainly due to the hydrogen tank and the fuel cell stack. However, by combining the results of the sensitivity analysis for each component - a best-case scenario showed that there is the potential for a 25% reduction in the climate change impact category for the FCV compared to a baseline FCV scenario. Reducing the environmental impact associated with the manufacture of fuel cell vehicles represents an important challenge. The entire life cycle has also been considered and the manufacturing, use and disposal of FCV, electric vehicle and conventional diesel vehicle were compared. Overall, the ICEV showed the highest GWP and this was mainly due to the use phase and the fossil carbon emissions associated to the use of diesel.","author":[{"dropping-particle":"","family":"Evangelisti","given":"Sara","non-dropping-particle":"","parse-names":false,"suffix":""},{"dropping-particle":"","family":"Tagliaferri","given":"Carla","non-dropping-particle":"","parse-names":false,"suffix":""},{"dropping-particle":"","family":"Brett","given":"Dan","non-dropping-particle":"","parse-names":false,"suffix":""},{"dropping-particle":"","family":"Lettieri","given":"Paola","non-dropping-particle":"","parse-names":false,"suffix":""}],"container-title":"Journal of Cleaner Production","id":"ITEM-1","issued":{"date-parts":[["2017","1"]]},"page":"4339-4355","publisher":"Elsevier Ltd","title":"Life cycle assessment of a polymer electrolyte membrane fuel cell system for passenger vehicles","type":"article-journal","volume":"142"},"uris":["http://www.mendeley.com/documents/?uuid=8f226afd-ea3c-4d3c-bf72-bdfefecea04d"]},{"id":"ITEM-2","itemData":{"DOI":"https://doi.org/10.1016/j.apenergy.2015.02.049","ISSN":"0306-2619","abstract":"The production and end-of-life (EoL) processes for current and future proton exchange membrane fuel cell (PEMFC) systems for road passenger vehicle applications were analysed and quantified in the form of life cycle inventories. The current PEMFC technology is characterised by highly sensitive operating conditions and a high system mass. For each core component of PEMFC there are a range of materials under development and the research aimed to identify those considered realistic for a 2020 future scenario and according to commercial goals of achieving higher performance, increased power density, greater stability and a marked reduction of costs. End-of-life scenarios were developed in consideration of the materials at the focus of recovery efforts. The life cycle impact assessment (LCIA) addressed the production and EoL of the fuel cell systems with inclusion of a sensitivity analysis to assess influences on the results from the key fuel cell parameters. The second part to the LCIA assessed the environmental and human health burdens from passenger transport in a fuel cell vehicle (FCV) with comparison between the 2012 and 2020 fuel cell scenarios and referenced to an internal combustion engine vehicle (ICEV) of Euro5 emission standard. It was seen that whilst the drivetrain (and therefore the fuel cell system) is a major contributor to the emissions in all the indicators shown, the hydrogen use (and therefore the efficiency of the fuel cell system and the method of hydrogen production) can have a far greater influence on the environmental performance. Overall, the results show inconclusive environmental benefits for using FCV instead of modern ICEV: a substantial reduction of Greenhouse Gas (GHG) emissions can only be achieved using hydrogen produced with non-fossil energy resources. However, even such “clean” hydrogen used in FCV will not lead to a reduction of several other environmental burdens from the life cycle perspective within the time frame considered.","author":[{"dropping-particle":"","family":"Simons","given":"Andrew","non-dropping-particle":"","parse-names":false,"suffix":""},{"dropping-particle":"","family":"Bauer","given":"Christian","non-dropping-particle":"","parse-names":false,"suffix":""}],"container-title":"Applied Energy","id":"ITEM-2","issued":{"date-parts":[["2015"]]},"page":"884-896","title":"A life-cycle perspective on automotive fuel cells","type":"article-journal","volume":"157"},"uris":["http://www.mendeley.com/documents/?uuid=f7824ec0-7f34-43c1-b83a-8a442fbcf144"]}],"mendeley":{"formattedCitation":"(Evangelisti et al., 2017; Simons &amp; Bauer, 2015)","manualFormatting":"respectively from Evangelisti et al. (2017) and Simons &amp; Bauer (2015)","plainTextFormattedCitation":"(Evangelisti et al., 2017; Simons &amp; Bauer, 2015)","previouslyFormattedCitation":"(Evangelisti et al., 2017; Simons &amp; Bauer, 2015)"},"properties":{"noteIndex":0},"schema":"https://github.com/citation-style-language/schema/raw/master/csl-citation.json"}</w:instrText>
      </w:r>
      <w:r w:rsidR="00D168C0">
        <w:fldChar w:fldCharType="separate"/>
      </w:r>
      <w:r w:rsidR="00C366DE">
        <w:rPr>
          <w:noProof/>
        </w:rPr>
        <w:t xml:space="preserve">respectively from </w:t>
      </w:r>
      <w:r w:rsidR="00273C6C" w:rsidRPr="00273C6C">
        <w:rPr>
          <w:noProof/>
        </w:rPr>
        <w:t xml:space="preserve">Evangelisti et al. </w:t>
      </w:r>
      <w:r w:rsidR="005B5F5B">
        <w:rPr>
          <w:noProof/>
        </w:rPr>
        <w:t>(</w:t>
      </w:r>
      <w:r w:rsidR="00273C6C" w:rsidRPr="00273C6C">
        <w:rPr>
          <w:noProof/>
        </w:rPr>
        <w:t>2017</w:t>
      </w:r>
      <w:r w:rsidR="005B5F5B">
        <w:rPr>
          <w:noProof/>
        </w:rPr>
        <w:t>) and</w:t>
      </w:r>
      <w:r w:rsidR="005B5F5B" w:rsidRPr="00273C6C">
        <w:rPr>
          <w:noProof/>
        </w:rPr>
        <w:t xml:space="preserve"> </w:t>
      </w:r>
      <w:r w:rsidR="00273C6C" w:rsidRPr="00273C6C">
        <w:rPr>
          <w:noProof/>
        </w:rPr>
        <w:t xml:space="preserve">Simons &amp; Bauer </w:t>
      </w:r>
      <w:r w:rsidR="005B5F5B">
        <w:rPr>
          <w:noProof/>
        </w:rPr>
        <w:t>(</w:t>
      </w:r>
      <w:r w:rsidR="00273C6C" w:rsidRPr="00273C6C">
        <w:rPr>
          <w:noProof/>
        </w:rPr>
        <w:t>2015)</w:t>
      </w:r>
      <w:r w:rsidR="00D168C0">
        <w:fldChar w:fldCharType="end"/>
      </w:r>
      <w:r w:rsidR="00C366DE">
        <w:t xml:space="preserve">. </w:t>
      </w:r>
      <w:r w:rsidR="00962955">
        <w:t xml:space="preserve">Due to missing inventory data, Iridium and </w:t>
      </w:r>
      <w:r w:rsidR="000040E6">
        <w:t xml:space="preserve">Ruthenium </w:t>
      </w:r>
      <w:r w:rsidR="00962955">
        <w:t xml:space="preserve">oxide and </w:t>
      </w:r>
      <w:proofErr w:type="spellStart"/>
      <w:r w:rsidR="00962955">
        <w:t>Ertalyte</w:t>
      </w:r>
      <w:proofErr w:type="spellEnd"/>
      <w:r w:rsidR="00962955">
        <w:t xml:space="preserve"> manufacturing are assumed from similar materials</w:t>
      </w:r>
      <w:r w:rsidR="00660C49">
        <w:t xml:space="preserve"> </w:t>
      </w:r>
      <w:r w:rsidR="00E47F71">
        <w:fldChar w:fldCharType="begin" w:fldLock="1"/>
      </w:r>
      <w:r w:rsidR="00D168C0">
        <w:instrText>ADDIN CSL_CITATION {"citationItems":[{"id":"ITEM-1","itemData":{"ISBN":"9789616980159","abstract":"Environmental impacts of a 3 kW UPS system based on PEM fuel cell are evaluated in manufacturing and operating stage at operational locations representing renewable (Norway) vs. fossil fuel (Morocco) based energy mix. The LCA method was applied; numerical models were set up using PE International Gabi 6 software; CML 2001 method was used for evaluating environmental impacts through environmental indicators. Numerical model consists of detailed model of manufacturing of 3 kW UPS with all mass and energy balances in manufacturing stage. In addition operation stage was compared with manufacturing stage in terms of environmental impacts. The scope of the study was cradle-to-end of utilization with functional unit of 1 kWh of produced uninterruptible electricity. Hydrogen in both end-locations is produced with different methods (electrolysis, EU hydrogen pipeline and steam reforming), so the influence of hydrogen production method (utilization phase) could be evaluated in comparison with manufacturing phase. Results show that electrolysis in Norway has the lowest and electrolysis in Morocco the highest environmental impact in almost all criteria in utilization phase. In manufacturing phase main impacts come from manufacturing of fuel cell stack, battery, auxiliary components and cabinet production. UPS’s GW till the end of utilization phase is 278 g of CO2 eq. per 1 kWh of uninterruptible electricity if operated in Norway, 416 g with hydrogen from EU H2 pipeline, 1,042 g with gas reforming and 4,390 g with electrolysis in Morocco putting hydrogen production method as a main source of environmental phase. Energy return of investment is 15.1 % in Morocco up to 21.9 % in EU hydrogen pipeline. If H2 is produced with electrolysis, the energy mix in Norway is more favourable from Morocco, where 91 % of electricity is produced from fossil fuels. Manufacturing phase has small environmental impact in comparison with operational phase and transport is almost negligible concerning environmental impacts.","author":[{"dropping-particle":"","family":"Mori","given":"Mitja","non-dropping-particle":"","parse-names":false,"suffix":""},{"dropping-particle":"","family":"Štern","given":"Grega","non-dropping-particle":"","parse-names":false,"suffix":""}],"container-title":"ECOS 2016 - Proceedings of the 29th International Conference on Efficiency, Cost, Optimisation, Simulation and Environmental Impact of Energy Systems","id":"ITEM-1","issued":{"date-parts":[["2016"]]},"publisher-place":"slovenia","title":"LCA study of the Fuel Cell based UPS in manufacturing and operational phase","type":"paper-conference","volume":"29"},"uris":["http://www.mendeley.com/documents/?uuid=a20af460-4eb5-4273-bd80-a181443e58b2"]}],"mendeley":{"formattedCitation":"(Mori &amp; Štern, 2016)","plainTextFormattedCitation":"(Mori &amp; Štern, 2016)","previouslyFormattedCitation":"(Mori &amp; Štern, 2016)"},"properties":{"noteIndex":0},"schema":"https://github.com/citation-style-language/schema/raw/master/csl-citation.json"}</w:instrText>
      </w:r>
      <w:r w:rsidR="00E47F71">
        <w:fldChar w:fldCharType="separate"/>
      </w:r>
      <w:r w:rsidR="00E47F71" w:rsidRPr="00E47F71">
        <w:rPr>
          <w:noProof/>
        </w:rPr>
        <w:t>(Mori &amp; Štern, 2016)</w:t>
      </w:r>
      <w:r w:rsidR="00E47F71">
        <w:fldChar w:fldCharType="end"/>
      </w:r>
      <w:r w:rsidR="00E47F71">
        <w:t>.</w:t>
      </w:r>
    </w:p>
    <w:p w14:paraId="5A84757D" w14:textId="77777777" w:rsidR="009476A2" w:rsidRDefault="009476A2" w:rsidP="000B363E">
      <w:pPr>
        <w:widowControl w:val="0"/>
      </w:pPr>
    </w:p>
    <w:p w14:paraId="4FA7F086" w14:textId="2F356B31" w:rsidR="00C762E8" w:rsidRDefault="00814E01" w:rsidP="000B363E">
      <w:pPr>
        <w:pStyle w:val="Didascalia"/>
        <w:widowControl w:val="0"/>
        <w:ind w:left="0" w:right="0"/>
        <w:jc w:val="center"/>
      </w:pPr>
      <w:r>
        <w:t xml:space="preserve">Table </w:t>
      </w:r>
      <w:fldSimple w:instr=" SEQ Table \* ARABIC ">
        <w:r w:rsidR="00545A45">
          <w:rPr>
            <w:noProof/>
          </w:rPr>
          <w:t>1</w:t>
        </w:r>
      </w:fldSimple>
      <w:r w:rsidR="00F85519">
        <w:t xml:space="preserve">. </w:t>
      </w:r>
      <w:r w:rsidR="00D6390F">
        <w:t xml:space="preserve">Number, </w:t>
      </w:r>
      <w:proofErr w:type="gramStart"/>
      <w:r w:rsidR="00D6390F">
        <w:t>w</w:t>
      </w:r>
      <w:r w:rsidR="0018172A">
        <w:t>eight</w:t>
      </w:r>
      <w:proofErr w:type="gramEnd"/>
      <w:r w:rsidR="0018172A">
        <w:t xml:space="preserve"> and price of components included in </w:t>
      </w:r>
      <w:r w:rsidR="00F507C7">
        <w:rPr>
          <w:bCs/>
        </w:rPr>
        <w:t xml:space="preserve">one </w:t>
      </w:r>
      <w:r w:rsidR="00E831E0">
        <w:rPr>
          <w:bCs/>
        </w:rPr>
        <w:t>URFC</w:t>
      </w:r>
      <w:r w:rsidR="00E831E0" w:rsidRPr="000767DE">
        <w:rPr>
          <w:bCs/>
        </w:rPr>
        <w:t xml:space="preserve"> </w:t>
      </w:r>
      <w:r w:rsidR="0018172A">
        <w:rPr>
          <w:bCs/>
        </w:rPr>
        <w:t>stack</w:t>
      </w:r>
    </w:p>
    <w:tbl>
      <w:tblPr>
        <w:tblStyle w:val="Tabellasemplice-2"/>
        <w:tblW w:w="5000" w:type="pct"/>
        <w:tblLayout w:type="fixed"/>
        <w:tblLook w:val="04A0" w:firstRow="1" w:lastRow="0" w:firstColumn="1" w:lastColumn="0" w:noHBand="0" w:noVBand="1"/>
      </w:tblPr>
      <w:tblGrid>
        <w:gridCol w:w="2070"/>
        <w:gridCol w:w="333"/>
        <w:gridCol w:w="3312"/>
        <w:gridCol w:w="720"/>
        <w:gridCol w:w="720"/>
        <w:gridCol w:w="45"/>
      </w:tblGrid>
      <w:tr w:rsidR="003C5EB0" w:rsidRPr="00AC29B4" w14:paraId="079813F5" w14:textId="77777777" w:rsidTr="00981F9A">
        <w:trPr>
          <w:gridAfter w:val="1"/>
          <w:cnfStyle w:val="100000000000" w:firstRow="1" w:lastRow="0" w:firstColumn="0" w:lastColumn="0" w:oddVBand="0" w:evenVBand="0" w:oddHBand="0" w:evenHBand="0" w:firstRowFirstColumn="0" w:firstRowLastColumn="0" w:lastRowFirstColumn="0" w:lastRowLastColumn="0"/>
          <w:wAfter w:w="31" w:type="pct"/>
          <w:trHeight w:val="20"/>
        </w:trPr>
        <w:tc>
          <w:tcPr>
            <w:cnfStyle w:val="001000000000" w:firstRow="0" w:lastRow="0" w:firstColumn="1" w:lastColumn="0" w:oddVBand="0" w:evenVBand="0" w:oddHBand="0" w:evenHBand="0" w:firstRowFirstColumn="0" w:firstRowLastColumn="0" w:lastRowFirstColumn="0" w:lastRowLastColumn="0"/>
            <w:tcW w:w="1438" w:type="pct"/>
            <w:noWrap/>
            <w:vAlign w:val="center"/>
            <w:hideMark/>
          </w:tcPr>
          <w:p w14:paraId="64F5FDC6" w14:textId="1B85B516" w:rsidR="003C5EB0" w:rsidRPr="00AC29B4" w:rsidRDefault="003C5EB0" w:rsidP="00640FE3">
            <w:pPr>
              <w:pStyle w:val="table0"/>
              <w:widowControl w:val="0"/>
            </w:pPr>
            <w:r w:rsidRPr="00AC29B4">
              <w:t>Component</w:t>
            </w:r>
          </w:p>
        </w:tc>
        <w:tc>
          <w:tcPr>
            <w:tcW w:w="231" w:type="pct"/>
            <w:vAlign w:val="center"/>
          </w:tcPr>
          <w:p w14:paraId="0A686604" w14:textId="728B9949" w:rsidR="003C5EB0" w:rsidRPr="00AC29B4" w:rsidRDefault="003C5EB0" w:rsidP="00640FE3">
            <w:pPr>
              <w:pStyle w:val="table0"/>
              <w:widowControl w:val="0"/>
              <w:jc w:val="left"/>
              <w:cnfStyle w:val="100000000000" w:firstRow="1" w:lastRow="0" w:firstColumn="0" w:lastColumn="0" w:oddVBand="0" w:evenVBand="0" w:oddHBand="0" w:evenHBand="0" w:firstRowFirstColumn="0" w:firstRowLastColumn="0" w:lastRowFirstColumn="0" w:lastRowLastColumn="0"/>
            </w:pPr>
            <w:r>
              <w:t>N</w:t>
            </w:r>
            <w:r w:rsidR="004D15B2">
              <w:t>.</w:t>
            </w:r>
          </w:p>
        </w:tc>
        <w:tc>
          <w:tcPr>
            <w:tcW w:w="2300" w:type="pct"/>
            <w:noWrap/>
            <w:vAlign w:val="center"/>
            <w:hideMark/>
          </w:tcPr>
          <w:p w14:paraId="4C157716" w14:textId="3B82223E" w:rsidR="003C5EB0" w:rsidRPr="00AC29B4" w:rsidRDefault="003C5EB0" w:rsidP="00640FE3">
            <w:pPr>
              <w:pStyle w:val="table0"/>
              <w:widowControl w:val="0"/>
              <w:cnfStyle w:val="100000000000" w:firstRow="1" w:lastRow="0" w:firstColumn="0" w:lastColumn="0" w:oddVBand="0" w:evenVBand="0" w:oddHBand="0" w:evenHBand="0" w:firstRowFirstColumn="0" w:firstRowLastColumn="0" w:lastRowFirstColumn="0" w:lastRowLastColumn="0"/>
            </w:pPr>
            <w:r w:rsidRPr="00AC29B4">
              <w:t xml:space="preserve">Main materials  </w:t>
            </w:r>
            <w:r>
              <w:br/>
            </w:r>
            <w:r w:rsidRPr="00AC29B4">
              <w:t>[% on weight]</w:t>
            </w:r>
          </w:p>
        </w:tc>
        <w:tc>
          <w:tcPr>
            <w:tcW w:w="500" w:type="pct"/>
            <w:noWrap/>
            <w:vAlign w:val="center"/>
            <w:hideMark/>
          </w:tcPr>
          <w:p w14:paraId="6E865EE1" w14:textId="66605798" w:rsidR="003C5EB0" w:rsidRPr="00AC29B4" w:rsidRDefault="00D6390F" w:rsidP="00640FE3">
            <w:pPr>
              <w:pStyle w:val="table0"/>
              <w:widowControl w:val="0"/>
              <w:cnfStyle w:val="100000000000" w:firstRow="1" w:lastRow="0" w:firstColumn="0" w:lastColumn="0" w:oddVBand="0" w:evenVBand="0" w:oddHBand="0" w:evenHBand="0" w:firstRowFirstColumn="0" w:firstRowLastColumn="0" w:lastRowFirstColumn="0" w:lastRowLastColumn="0"/>
            </w:pPr>
            <w:r>
              <w:t xml:space="preserve">Total </w:t>
            </w:r>
            <w:r w:rsidR="003C5EB0" w:rsidRPr="00AC29B4">
              <w:t>Weight</w:t>
            </w:r>
            <w:r>
              <w:t xml:space="preserve"> </w:t>
            </w:r>
            <w:r w:rsidR="003C5EB0" w:rsidRPr="00AC29B4">
              <w:t>[kg]</w:t>
            </w:r>
          </w:p>
        </w:tc>
        <w:tc>
          <w:tcPr>
            <w:tcW w:w="500" w:type="pct"/>
            <w:noWrap/>
            <w:vAlign w:val="center"/>
            <w:hideMark/>
          </w:tcPr>
          <w:p w14:paraId="33F2E06A" w14:textId="5C3559B8" w:rsidR="003C5EB0" w:rsidRPr="00AC29B4" w:rsidRDefault="003C5EB0" w:rsidP="00640FE3">
            <w:pPr>
              <w:pStyle w:val="table0"/>
              <w:widowControl w:val="0"/>
              <w:cnfStyle w:val="100000000000" w:firstRow="1" w:lastRow="0" w:firstColumn="0" w:lastColumn="0" w:oddVBand="0" w:evenVBand="0" w:oddHBand="0" w:evenHBand="0" w:firstRowFirstColumn="0" w:firstRowLastColumn="0" w:lastRowFirstColumn="0" w:lastRowLastColumn="0"/>
            </w:pPr>
            <w:r w:rsidRPr="00AC29B4">
              <w:t xml:space="preserve">Price </w:t>
            </w:r>
            <w:r>
              <w:br/>
            </w:r>
            <w:r w:rsidRPr="00AC29B4">
              <w:t>[</w:t>
            </w:r>
            <w:proofErr w:type="gramStart"/>
            <w:r w:rsidRPr="00AC29B4">
              <w:t>€]</w:t>
            </w:r>
            <w:r w:rsidR="005B5F5B">
              <w:t>*</w:t>
            </w:r>
            <w:proofErr w:type="gramEnd"/>
            <w:r w:rsidR="005B5F5B">
              <w:t>*</w:t>
            </w:r>
          </w:p>
        </w:tc>
      </w:tr>
      <w:tr w:rsidR="003C5EB0" w:rsidRPr="00AC29B4" w14:paraId="3906B3C5" w14:textId="77777777" w:rsidTr="00981F9A">
        <w:trPr>
          <w:gridAfter w:val="1"/>
          <w:cnfStyle w:val="000000100000" w:firstRow="0" w:lastRow="0" w:firstColumn="0" w:lastColumn="0" w:oddVBand="0" w:evenVBand="0" w:oddHBand="1" w:evenHBand="0" w:firstRowFirstColumn="0" w:firstRowLastColumn="0" w:lastRowFirstColumn="0" w:lastRowLastColumn="0"/>
          <w:wAfter w:w="31" w:type="pct"/>
          <w:trHeight w:val="20"/>
        </w:trPr>
        <w:tc>
          <w:tcPr>
            <w:cnfStyle w:val="001000000000" w:firstRow="0" w:lastRow="0" w:firstColumn="1" w:lastColumn="0" w:oddVBand="0" w:evenVBand="0" w:oddHBand="0" w:evenHBand="0" w:firstRowFirstColumn="0" w:firstRowLastColumn="0" w:lastRowFirstColumn="0" w:lastRowLastColumn="0"/>
            <w:tcW w:w="1438" w:type="pct"/>
            <w:noWrap/>
            <w:vAlign w:val="center"/>
            <w:hideMark/>
          </w:tcPr>
          <w:p w14:paraId="70081B3A" w14:textId="77777777" w:rsidR="005B5F5B" w:rsidRDefault="003C5EB0" w:rsidP="00D6390F">
            <w:pPr>
              <w:pStyle w:val="table0"/>
              <w:widowControl w:val="0"/>
              <w:jc w:val="left"/>
              <w:rPr>
                <w:b w:val="0"/>
                <w:bCs w:val="0"/>
              </w:rPr>
            </w:pPr>
            <w:r w:rsidRPr="00A43FC1">
              <w:t>Membrane Electrode Assembly</w:t>
            </w:r>
          </w:p>
          <w:p w14:paraId="7042627C" w14:textId="2B665145" w:rsidR="003C5EB0" w:rsidRPr="00AC29B4" w:rsidRDefault="003C5EB0" w:rsidP="00D6390F">
            <w:pPr>
              <w:pStyle w:val="table0"/>
              <w:widowControl w:val="0"/>
              <w:jc w:val="left"/>
            </w:pPr>
            <w:r w:rsidRPr="00A43FC1">
              <w:t>(MEA)</w:t>
            </w:r>
            <w:r w:rsidRPr="00AC29B4">
              <w:t>*</w:t>
            </w:r>
          </w:p>
        </w:tc>
        <w:tc>
          <w:tcPr>
            <w:tcW w:w="231" w:type="pct"/>
            <w:vAlign w:val="center"/>
          </w:tcPr>
          <w:p w14:paraId="4028FE6E" w14:textId="082E1D2D" w:rsidR="003C5EB0" w:rsidRDefault="00D6390F" w:rsidP="00640FE3">
            <w:pPr>
              <w:pStyle w:val="table0"/>
              <w:widowControl w:val="0"/>
              <w:ind w:left="-83"/>
              <w:jc w:val="left"/>
              <w:cnfStyle w:val="000000100000" w:firstRow="0" w:lastRow="0" w:firstColumn="0" w:lastColumn="0" w:oddVBand="0" w:evenVBand="0" w:oddHBand="1" w:evenHBand="0" w:firstRowFirstColumn="0" w:firstRowLastColumn="0" w:lastRowFirstColumn="0" w:lastRowLastColumn="0"/>
            </w:pPr>
            <w:r>
              <w:t>3</w:t>
            </w:r>
            <w:r w:rsidR="005972AC">
              <w:t>0</w:t>
            </w:r>
          </w:p>
        </w:tc>
        <w:tc>
          <w:tcPr>
            <w:tcW w:w="2300" w:type="pct"/>
            <w:vAlign w:val="center"/>
            <w:hideMark/>
          </w:tcPr>
          <w:p w14:paraId="3223D67E" w14:textId="76C17A0D" w:rsidR="003C5EB0" w:rsidRDefault="003C5EB0" w:rsidP="00D6390F">
            <w:pPr>
              <w:pStyle w:val="table0"/>
              <w:widowControl w:val="0"/>
              <w:numPr>
                <w:ilvl w:val="0"/>
                <w:numId w:val="44"/>
              </w:numPr>
              <w:ind w:left="97" w:hanging="180"/>
              <w:jc w:val="left"/>
              <w:cnfStyle w:val="000000100000" w:firstRow="0" w:lastRow="0" w:firstColumn="0" w:lastColumn="0" w:oddVBand="0" w:evenVBand="0" w:oddHBand="1" w:evenHBand="0" w:firstRowFirstColumn="0" w:firstRowLastColumn="0" w:lastRowFirstColumn="0" w:lastRowLastColumn="0"/>
            </w:pPr>
            <w:r>
              <w:t>C</w:t>
            </w:r>
            <w:r w:rsidRPr="00AC29B4">
              <w:t>atalyst-coating membrane (CCM):</w:t>
            </w:r>
          </w:p>
          <w:p w14:paraId="5FAF1740" w14:textId="0F489F08" w:rsidR="003C5EB0" w:rsidRDefault="003C5EB0" w:rsidP="004D15B2">
            <w:pPr>
              <w:pStyle w:val="table0"/>
              <w:widowControl w:val="0"/>
              <w:numPr>
                <w:ilvl w:val="1"/>
                <w:numId w:val="44"/>
              </w:numPr>
              <w:ind w:left="174" w:hanging="141"/>
              <w:jc w:val="left"/>
              <w:cnfStyle w:val="000000100000" w:firstRow="0" w:lastRow="0" w:firstColumn="0" w:lastColumn="0" w:oddVBand="0" w:evenVBand="0" w:oddHBand="1" w:evenHBand="0" w:firstRowFirstColumn="0" w:firstRowLastColumn="0" w:lastRowFirstColumn="0" w:lastRowLastColumn="0"/>
            </w:pPr>
            <w:r>
              <w:t>M</w:t>
            </w:r>
            <w:r w:rsidRPr="00AC29B4">
              <w:t xml:space="preserve">embrane (Nafion </w:t>
            </w:r>
            <w:r w:rsidRPr="00640EE9">
              <w:rPr>
                <w:vertAlign w:val="superscript"/>
              </w:rPr>
              <w:t>(</w:t>
            </w:r>
            <w:r w:rsidRPr="00020B3C">
              <w:rPr>
                <w:b/>
                <w:bCs/>
                <w:vertAlign w:val="superscript"/>
              </w:rPr>
              <w:t>a</w:t>
            </w:r>
            <w:r>
              <w:rPr>
                <w:b/>
                <w:bCs/>
                <w:vertAlign w:val="superscript"/>
              </w:rPr>
              <w:t>)</w:t>
            </w:r>
            <w:r>
              <w:t xml:space="preserve"> </w:t>
            </w:r>
            <w:r w:rsidRPr="00AC29B4">
              <w:t>3.39%</w:t>
            </w:r>
            <w:r>
              <w:t>)</w:t>
            </w:r>
          </w:p>
          <w:p w14:paraId="58DDED12" w14:textId="15A6442D" w:rsidR="003C5EB0" w:rsidRDefault="003C5EB0" w:rsidP="004D15B2">
            <w:pPr>
              <w:pStyle w:val="table0"/>
              <w:widowControl w:val="0"/>
              <w:numPr>
                <w:ilvl w:val="1"/>
                <w:numId w:val="44"/>
              </w:numPr>
              <w:ind w:left="174" w:hanging="141"/>
              <w:jc w:val="left"/>
              <w:cnfStyle w:val="000000100000" w:firstRow="0" w:lastRow="0" w:firstColumn="0" w:lastColumn="0" w:oddVBand="0" w:evenVBand="0" w:oddHBand="1" w:evenHBand="0" w:firstRowFirstColumn="0" w:firstRowLastColumn="0" w:lastRowFirstColumn="0" w:lastRowLastColumn="0"/>
            </w:pPr>
            <w:r>
              <w:t>E</w:t>
            </w:r>
            <w:r w:rsidRPr="00AC29B4">
              <w:t>lectrocatalyst</w:t>
            </w:r>
            <w:r>
              <w:t>s</w:t>
            </w:r>
            <w:r w:rsidRPr="00AC29B4">
              <w:t xml:space="preserve"> (Iridium Ruthenium </w:t>
            </w:r>
            <w:r>
              <w:t xml:space="preserve">oxide </w:t>
            </w:r>
            <w:r>
              <w:rPr>
                <w:vertAlign w:val="superscript"/>
              </w:rPr>
              <w:t>(</w:t>
            </w:r>
            <w:r w:rsidRPr="00020B3C">
              <w:rPr>
                <w:b/>
                <w:bCs/>
                <w:vertAlign w:val="superscript"/>
              </w:rPr>
              <w:t>b</w:t>
            </w:r>
            <w:r>
              <w:rPr>
                <w:b/>
                <w:bCs/>
                <w:vertAlign w:val="superscript"/>
              </w:rPr>
              <w:t>)</w:t>
            </w:r>
            <w:r>
              <w:t xml:space="preserve"> </w:t>
            </w:r>
            <w:r w:rsidRPr="00AC29B4">
              <w:t>0.0</w:t>
            </w:r>
            <w:r>
              <w:t>5</w:t>
            </w:r>
            <w:r w:rsidRPr="00AC29B4">
              <w:t>%, Platinum black</w:t>
            </w:r>
            <w:r>
              <w:t xml:space="preserve"> </w:t>
            </w:r>
            <w:r w:rsidRPr="00AC29B4">
              <w:t>0.07%, Platinum on Carbon</w:t>
            </w:r>
            <w:r>
              <w:t xml:space="preserve"> </w:t>
            </w:r>
            <w:r w:rsidRPr="00AC29B4">
              <w:t>0.05%)</w:t>
            </w:r>
          </w:p>
          <w:p w14:paraId="65C2E26B" w14:textId="49F63638" w:rsidR="003C5EB0" w:rsidRDefault="003C5EB0" w:rsidP="004D15B2">
            <w:pPr>
              <w:pStyle w:val="table0"/>
              <w:widowControl w:val="0"/>
              <w:numPr>
                <w:ilvl w:val="1"/>
                <w:numId w:val="44"/>
              </w:numPr>
              <w:ind w:left="174" w:hanging="141"/>
              <w:jc w:val="left"/>
              <w:cnfStyle w:val="000000100000" w:firstRow="0" w:lastRow="0" w:firstColumn="0" w:lastColumn="0" w:oddVBand="0" w:evenVBand="0" w:oddHBand="1" w:evenHBand="0" w:firstRowFirstColumn="0" w:firstRowLastColumn="0" w:lastRowFirstColumn="0" w:lastRowLastColumn="0"/>
            </w:pPr>
            <w:r>
              <w:t>I</w:t>
            </w:r>
            <w:r w:rsidRPr="00AC29B4">
              <w:t>nk preparation (Carbon black</w:t>
            </w:r>
            <w:r>
              <w:t xml:space="preserve"> </w:t>
            </w:r>
            <w:r w:rsidRPr="00AC29B4">
              <w:t>0.25%</w:t>
            </w:r>
            <w:r>
              <w:t>,</w:t>
            </w:r>
            <w:r w:rsidRPr="00AC29B4">
              <w:t xml:space="preserve"> Methanol</w:t>
            </w:r>
            <w:r>
              <w:t xml:space="preserve"> </w:t>
            </w:r>
            <w:r w:rsidRPr="00AC29B4">
              <w:t>0.18%, Nafion</w:t>
            </w:r>
            <w:r>
              <w:t xml:space="preserve"> </w:t>
            </w:r>
            <w:r w:rsidRPr="00640EE9">
              <w:rPr>
                <w:vertAlign w:val="superscript"/>
              </w:rPr>
              <w:t>(</w:t>
            </w:r>
            <w:r w:rsidRPr="00020B3C">
              <w:rPr>
                <w:b/>
                <w:bCs/>
                <w:vertAlign w:val="superscript"/>
              </w:rPr>
              <w:t>a</w:t>
            </w:r>
            <w:r>
              <w:rPr>
                <w:b/>
                <w:bCs/>
                <w:vertAlign w:val="superscript"/>
              </w:rPr>
              <w:t>)</w:t>
            </w:r>
            <w:r>
              <w:t xml:space="preserve"> </w:t>
            </w:r>
            <w:r w:rsidRPr="00AC29B4">
              <w:t>2.03%)</w:t>
            </w:r>
            <w:r>
              <w:t>.</w:t>
            </w:r>
          </w:p>
          <w:p w14:paraId="5764463E" w14:textId="0575F54F" w:rsidR="003C5EB0" w:rsidRDefault="003C5EB0" w:rsidP="00D6390F">
            <w:pPr>
              <w:pStyle w:val="table0"/>
              <w:widowControl w:val="0"/>
              <w:numPr>
                <w:ilvl w:val="0"/>
                <w:numId w:val="44"/>
              </w:numPr>
              <w:ind w:left="97" w:hanging="180"/>
              <w:jc w:val="left"/>
              <w:cnfStyle w:val="000000100000" w:firstRow="0" w:lastRow="0" w:firstColumn="0" w:lastColumn="0" w:oddVBand="0" w:evenVBand="0" w:oddHBand="1" w:evenHBand="0" w:firstRowFirstColumn="0" w:firstRowLastColumn="0" w:lastRowFirstColumn="0" w:lastRowLastColumn="0"/>
            </w:pPr>
            <w:r>
              <w:t>G</w:t>
            </w:r>
            <w:r w:rsidRPr="00AC29B4">
              <w:t>as diffusion layers:</w:t>
            </w:r>
          </w:p>
          <w:p w14:paraId="4083CE0D" w14:textId="3B0B4A4C" w:rsidR="003C5EB0" w:rsidRDefault="003C5EB0" w:rsidP="004D15B2">
            <w:pPr>
              <w:pStyle w:val="table0"/>
              <w:widowControl w:val="0"/>
              <w:numPr>
                <w:ilvl w:val="1"/>
                <w:numId w:val="44"/>
              </w:numPr>
              <w:ind w:left="174" w:hanging="141"/>
              <w:jc w:val="left"/>
              <w:cnfStyle w:val="000000100000" w:firstRow="0" w:lastRow="0" w:firstColumn="0" w:lastColumn="0" w:oddVBand="0" w:evenVBand="0" w:oddHBand="1" w:evenHBand="0" w:firstRowFirstColumn="0" w:firstRowLastColumn="0" w:lastRowFirstColumn="0" w:lastRowLastColumn="0"/>
            </w:pPr>
            <w:r>
              <w:t>M</w:t>
            </w:r>
            <w:r w:rsidRPr="00AC29B4">
              <w:t>esh (Titanium</w:t>
            </w:r>
            <w:r>
              <w:t xml:space="preserve"> </w:t>
            </w:r>
            <w:r w:rsidRPr="00AC29B4">
              <w:t>42.13%)</w:t>
            </w:r>
          </w:p>
          <w:p w14:paraId="3DC93000" w14:textId="3B2E2A17" w:rsidR="003C5EB0" w:rsidRPr="00AC29B4" w:rsidRDefault="003C5EB0" w:rsidP="004D15B2">
            <w:pPr>
              <w:pStyle w:val="table0"/>
              <w:widowControl w:val="0"/>
              <w:numPr>
                <w:ilvl w:val="1"/>
                <w:numId w:val="44"/>
              </w:numPr>
              <w:ind w:left="174" w:hanging="141"/>
              <w:jc w:val="left"/>
              <w:cnfStyle w:val="000000100000" w:firstRow="0" w:lastRow="0" w:firstColumn="0" w:lastColumn="0" w:oddVBand="0" w:evenVBand="0" w:oddHBand="1" w:evenHBand="0" w:firstRowFirstColumn="0" w:firstRowLastColumn="0" w:lastRowFirstColumn="0" w:lastRowLastColumn="0"/>
            </w:pPr>
            <w:r w:rsidRPr="00AC29B4">
              <w:t>Felt (Porous Titanium</w:t>
            </w:r>
            <w:r>
              <w:t xml:space="preserve"> </w:t>
            </w:r>
            <w:r w:rsidRPr="00AC29B4">
              <w:t>51.92%)</w:t>
            </w:r>
          </w:p>
        </w:tc>
        <w:tc>
          <w:tcPr>
            <w:tcW w:w="500" w:type="pct"/>
            <w:noWrap/>
            <w:vAlign w:val="center"/>
            <w:hideMark/>
          </w:tcPr>
          <w:p w14:paraId="6A433AB4" w14:textId="314358E7" w:rsidR="003C5EB0" w:rsidRPr="00AC29B4" w:rsidRDefault="003C5EB0" w:rsidP="00D6390F">
            <w:pPr>
              <w:pStyle w:val="table0"/>
              <w:widowControl w:val="0"/>
              <w:ind w:right="-82"/>
              <w:cnfStyle w:val="000000100000" w:firstRow="0" w:lastRow="0" w:firstColumn="0" w:lastColumn="0" w:oddVBand="0" w:evenVBand="0" w:oddHBand="1" w:evenHBand="0" w:firstRowFirstColumn="0" w:firstRowLastColumn="0" w:lastRowFirstColumn="0" w:lastRowLastColumn="0"/>
            </w:pPr>
            <w:r w:rsidRPr="00AC29B4">
              <w:t>5.72</w:t>
            </w:r>
          </w:p>
        </w:tc>
        <w:tc>
          <w:tcPr>
            <w:tcW w:w="500" w:type="pct"/>
            <w:noWrap/>
            <w:vAlign w:val="center"/>
            <w:hideMark/>
          </w:tcPr>
          <w:p w14:paraId="302FE8E7" w14:textId="5A38591A" w:rsidR="003C5EB0" w:rsidRPr="00F32A0E" w:rsidRDefault="003C5EB0" w:rsidP="00002AFE">
            <w:pPr>
              <w:pStyle w:val="table0"/>
              <w:widowControl w:val="0"/>
              <w:ind w:right="67"/>
              <w:cnfStyle w:val="000000100000" w:firstRow="0" w:lastRow="0" w:firstColumn="0" w:lastColumn="0" w:oddVBand="0" w:evenVBand="0" w:oddHBand="1" w:evenHBand="0" w:firstRowFirstColumn="0" w:firstRowLastColumn="0" w:lastRowFirstColumn="0" w:lastRowLastColumn="0"/>
            </w:pPr>
            <w:r w:rsidRPr="00F32A0E">
              <w:t>29,183</w:t>
            </w:r>
          </w:p>
        </w:tc>
      </w:tr>
      <w:tr w:rsidR="003C5EB0" w:rsidRPr="00AC29B4" w14:paraId="75602293" w14:textId="77777777" w:rsidTr="00981F9A">
        <w:trPr>
          <w:gridAfter w:val="1"/>
          <w:wAfter w:w="31" w:type="pct"/>
          <w:trHeight w:val="82"/>
        </w:trPr>
        <w:tc>
          <w:tcPr>
            <w:cnfStyle w:val="001000000000" w:firstRow="0" w:lastRow="0" w:firstColumn="1" w:lastColumn="0" w:oddVBand="0" w:evenVBand="0" w:oddHBand="0" w:evenHBand="0" w:firstRowFirstColumn="0" w:firstRowLastColumn="0" w:lastRowFirstColumn="0" w:lastRowLastColumn="0"/>
            <w:tcW w:w="1438" w:type="pct"/>
            <w:noWrap/>
            <w:vAlign w:val="center"/>
            <w:hideMark/>
          </w:tcPr>
          <w:p w14:paraId="512B5BD7" w14:textId="77777777" w:rsidR="003C5EB0" w:rsidRPr="00AC29B4" w:rsidRDefault="003C5EB0" w:rsidP="00D6390F">
            <w:pPr>
              <w:pStyle w:val="table0"/>
              <w:widowControl w:val="0"/>
              <w:jc w:val="left"/>
            </w:pPr>
            <w:r w:rsidRPr="00AC29B4">
              <w:t>Frame*</w:t>
            </w:r>
          </w:p>
        </w:tc>
        <w:tc>
          <w:tcPr>
            <w:tcW w:w="231" w:type="pct"/>
            <w:vAlign w:val="center"/>
          </w:tcPr>
          <w:p w14:paraId="726978B3" w14:textId="4FAC5BA7" w:rsidR="003C5EB0" w:rsidRPr="00640FE3" w:rsidRDefault="00AD0B0E" w:rsidP="00640FE3">
            <w:pPr>
              <w:pStyle w:val="table0"/>
              <w:widowControl w:val="0"/>
              <w:ind w:left="-83"/>
              <w:jc w:val="left"/>
              <w:cnfStyle w:val="000000000000" w:firstRow="0" w:lastRow="0" w:firstColumn="0" w:lastColumn="0" w:oddVBand="0" w:evenVBand="0" w:oddHBand="0" w:evenHBand="0" w:firstRowFirstColumn="0" w:firstRowLastColumn="0" w:lastRowFirstColumn="0" w:lastRowLastColumn="0"/>
            </w:pPr>
            <w:r w:rsidRPr="00640FE3">
              <w:t>6</w:t>
            </w:r>
            <w:r w:rsidR="007E0722" w:rsidRPr="00640FE3">
              <w:t>0</w:t>
            </w:r>
          </w:p>
        </w:tc>
        <w:tc>
          <w:tcPr>
            <w:tcW w:w="2300" w:type="pct"/>
            <w:noWrap/>
            <w:vAlign w:val="center"/>
            <w:hideMark/>
          </w:tcPr>
          <w:p w14:paraId="076F27B1" w14:textId="7FB58984" w:rsidR="003C5EB0" w:rsidRPr="00AC29B4" w:rsidRDefault="003C5EB0" w:rsidP="00D6390F">
            <w:pPr>
              <w:pStyle w:val="table0"/>
              <w:widowControl w:val="0"/>
              <w:numPr>
                <w:ilvl w:val="0"/>
                <w:numId w:val="44"/>
              </w:numPr>
              <w:ind w:left="97" w:hanging="180"/>
              <w:jc w:val="left"/>
              <w:cnfStyle w:val="000000000000" w:firstRow="0" w:lastRow="0" w:firstColumn="0" w:lastColumn="0" w:oddVBand="0" w:evenVBand="0" w:oddHBand="0" w:evenHBand="0" w:firstRowFirstColumn="0" w:firstRowLastColumn="0" w:lastRowFirstColumn="0" w:lastRowLastColumn="0"/>
            </w:pPr>
            <w:proofErr w:type="spellStart"/>
            <w:r w:rsidRPr="00AC29B4">
              <w:t>Ertalyte</w:t>
            </w:r>
            <w:proofErr w:type="spellEnd"/>
            <w:r>
              <w:t xml:space="preserve"> </w:t>
            </w:r>
            <w:r w:rsidRPr="00640EE9">
              <w:rPr>
                <w:vertAlign w:val="superscript"/>
              </w:rPr>
              <w:t>(</w:t>
            </w:r>
            <w:r>
              <w:rPr>
                <w:b/>
                <w:bCs/>
                <w:vertAlign w:val="superscript"/>
              </w:rPr>
              <w:t>c)</w:t>
            </w:r>
            <w:r>
              <w:t xml:space="preserve"> (</w:t>
            </w:r>
            <w:r w:rsidRPr="00AC29B4">
              <w:t>100%)</w:t>
            </w:r>
          </w:p>
        </w:tc>
        <w:tc>
          <w:tcPr>
            <w:tcW w:w="500" w:type="pct"/>
            <w:noWrap/>
            <w:vAlign w:val="center"/>
            <w:hideMark/>
          </w:tcPr>
          <w:p w14:paraId="4E5269F2" w14:textId="20B22F50" w:rsidR="003C5EB0" w:rsidRPr="00AC29B4" w:rsidRDefault="003C5EB0" w:rsidP="00D6390F">
            <w:pPr>
              <w:pStyle w:val="table0"/>
              <w:widowControl w:val="0"/>
              <w:ind w:right="-82"/>
              <w:cnfStyle w:val="000000000000" w:firstRow="0" w:lastRow="0" w:firstColumn="0" w:lastColumn="0" w:oddVBand="0" w:evenVBand="0" w:oddHBand="0" w:evenHBand="0" w:firstRowFirstColumn="0" w:firstRowLastColumn="0" w:lastRowFirstColumn="0" w:lastRowLastColumn="0"/>
            </w:pPr>
            <w:r w:rsidRPr="00AC29B4">
              <w:t>1.99</w:t>
            </w:r>
          </w:p>
        </w:tc>
        <w:tc>
          <w:tcPr>
            <w:tcW w:w="500" w:type="pct"/>
            <w:noWrap/>
            <w:vAlign w:val="center"/>
            <w:hideMark/>
          </w:tcPr>
          <w:p w14:paraId="4AB74F0A" w14:textId="2966F378" w:rsidR="003C5EB0" w:rsidRPr="00F32A0E" w:rsidRDefault="003C5EB0" w:rsidP="00002AFE">
            <w:pPr>
              <w:pStyle w:val="table0"/>
              <w:widowControl w:val="0"/>
              <w:ind w:right="67"/>
              <w:cnfStyle w:val="000000000000" w:firstRow="0" w:lastRow="0" w:firstColumn="0" w:lastColumn="0" w:oddVBand="0" w:evenVBand="0" w:oddHBand="0" w:evenHBand="0" w:firstRowFirstColumn="0" w:firstRowLastColumn="0" w:lastRowFirstColumn="0" w:lastRowLastColumn="0"/>
            </w:pPr>
            <w:r>
              <w:t>9</w:t>
            </w:r>
            <w:r w:rsidRPr="00F32A0E">
              <w:t>,000</w:t>
            </w:r>
          </w:p>
        </w:tc>
      </w:tr>
      <w:tr w:rsidR="003C5EB0" w:rsidRPr="00AC29B4" w14:paraId="34D1C6B4" w14:textId="77777777" w:rsidTr="00981F9A">
        <w:trPr>
          <w:gridAfter w:val="1"/>
          <w:cnfStyle w:val="000000100000" w:firstRow="0" w:lastRow="0" w:firstColumn="0" w:lastColumn="0" w:oddVBand="0" w:evenVBand="0" w:oddHBand="1" w:evenHBand="0" w:firstRowFirstColumn="0" w:firstRowLastColumn="0" w:lastRowFirstColumn="0" w:lastRowLastColumn="0"/>
          <w:wAfter w:w="31" w:type="pct"/>
          <w:trHeight w:val="20"/>
        </w:trPr>
        <w:tc>
          <w:tcPr>
            <w:cnfStyle w:val="001000000000" w:firstRow="0" w:lastRow="0" w:firstColumn="1" w:lastColumn="0" w:oddVBand="0" w:evenVBand="0" w:oddHBand="0" w:evenHBand="0" w:firstRowFirstColumn="0" w:firstRowLastColumn="0" w:lastRowFirstColumn="0" w:lastRowLastColumn="0"/>
            <w:tcW w:w="1438" w:type="pct"/>
            <w:noWrap/>
            <w:vAlign w:val="center"/>
            <w:hideMark/>
          </w:tcPr>
          <w:p w14:paraId="041B497B" w14:textId="77777777" w:rsidR="003C5EB0" w:rsidRPr="00AC29B4" w:rsidRDefault="003C5EB0" w:rsidP="00D6390F">
            <w:pPr>
              <w:pStyle w:val="table0"/>
              <w:widowControl w:val="0"/>
              <w:jc w:val="left"/>
            </w:pPr>
            <w:r w:rsidRPr="00AC29B4">
              <w:t>Gasket hole*</w:t>
            </w:r>
          </w:p>
        </w:tc>
        <w:tc>
          <w:tcPr>
            <w:tcW w:w="231" w:type="pct"/>
            <w:vAlign w:val="center"/>
          </w:tcPr>
          <w:p w14:paraId="17B1BCF3" w14:textId="043EC156" w:rsidR="003C5EB0" w:rsidRPr="00640FE3" w:rsidRDefault="00AD0B0E" w:rsidP="00640FE3">
            <w:pPr>
              <w:pStyle w:val="table0"/>
              <w:widowControl w:val="0"/>
              <w:ind w:left="-83"/>
              <w:jc w:val="left"/>
              <w:cnfStyle w:val="000000100000" w:firstRow="0" w:lastRow="0" w:firstColumn="0" w:lastColumn="0" w:oddVBand="0" w:evenVBand="0" w:oddHBand="1" w:evenHBand="0" w:firstRowFirstColumn="0" w:firstRowLastColumn="0" w:lastRowFirstColumn="0" w:lastRowLastColumn="0"/>
            </w:pPr>
            <w:r w:rsidRPr="00640FE3">
              <w:t>60</w:t>
            </w:r>
          </w:p>
        </w:tc>
        <w:tc>
          <w:tcPr>
            <w:tcW w:w="2300" w:type="pct"/>
            <w:noWrap/>
            <w:vAlign w:val="center"/>
            <w:hideMark/>
          </w:tcPr>
          <w:p w14:paraId="25DEB2B3" w14:textId="53484CA8" w:rsidR="003C5EB0" w:rsidRPr="00AC29B4" w:rsidRDefault="003C5EB0" w:rsidP="00D6390F">
            <w:pPr>
              <w:pStyle w:val="table0"/>
              <w:widowControl w:val="0"/>
              <w:numPr>
                <w:ilvl w:val="0"/>
                <w:numId w:val="44"/>
              </w:numPr>
              <w:ind w:left="97" w:hanging="180"/>
              <w:jc w:val="left"/>
              <w:cnfStyle w:val="000000100000" w:firstRow="0" w:lastRow="0" w:firstColumn="0" w:lastColumn="0" w:oddVBand="0" w:evenVBand="0" w:oddHBand="1" w:evenHBand="0" w:firstRowFirstColumn="0" w:firstRowLastColumn="0" w:lastRowFirstColumn="0" w:lastRowLastColumn="0"/>
            </w:pPr>
            <w:r>
              <w:t>P</w:t>
            </w:r>
            <w:r w:rsidRPr="00A17C3E">
              <w:t xml:space="preserve">olytetrafluoroethylene </w:t>
            </w:r>
            <w:r w:rsidRPr="00640EE9">
              <w:rPr>
                <w:vertAlign w:val="superscript"/>
              </w:rPr>
              <w:t>(</w:t>
            </w:r>
            <w:r>
              <w:rPr>
                <w:b/>
                <w:bCs/>
                <w:vertAlign w:val="superscript"/>
              </w:rPr>
              <w:t>d)</w:t>
            </w:r>
            <w:r w:rsidRPr="00AC29B4">
              <w:t xml:space="preserve"> (Teflon) (100%)</w:t>
            </w:r>
          </w:p>
        </w:tc>
        <w:tc>
          <w:tcPr>
            <w:tcW w:w="500" w:type="pct"/>
            <w:noWrap/>
            <w:vAlign w:val="center"/>
            <w:hideMark/>
          </w:tcPr>
          <w:p w14:paraId="6B7A4DA6" w14:textId="0B7ED80C" w:rsidR="003C5EB0" w:rsidRPr="00AC29B4" w:rsidRDefault="003C5EB0" w:rsidP="00D6390F">
            <w:pPr>
              <w:pStyle w:val="table0"/>
              <w:widowControl w:val="0"/>
              <w:ind w:right="-82"/>
              <w:cnfStyle w:val="000000100000" w:firstRow="0" w:lastRow="0" w:firstColumn="0" w:lastColumn="0" w:oddVBand="0" w:evenVBand="0" w:oddHBand="1" w:evenHBand="0" w:firstRowFirstColumn="0" w:firstRowLastColumn="0" w:lastRowFirstColumn="0" w:lastRowLastColumn="0"/>
            </w:pPr>
            <w:r w:rsidRPr="00AC29B4">
              <w:t>0.33</w:t>
            </w:r>
          </w:p>
        </w:tc>
        <w:tc>
          <w:tcPr>
            <w:tcW w:w="500" w:type="pct"/>
            <w:noWrap/>
            <w:vAlign w:val="center"/>
            <w:hideMark/>
          </w:tcPr>
          <w:p w14:paraId="4E01C43A" w14:textId="0AD358E7" w:rsidR="003C5EB0" w:rsidRPr="00F32A0E" w:rsidRDefault="003C5EB0" w:rsidP="00002AFE">
            <w:pPr>
              <w:pStyle w:val="table0"/>
              <w:widowControl w:val="0"/>
              <w:ind w:right="67"/>
              <w:cnfStyle w:val="000000100000" w:firstRow="0" w:lastRow="0" w:firstColumn="0" w:lastColumn="0" w:oddVBand="0" w:evenVBand="0" w:oddHBand="1" w:evenHBand="0" w:firstRowFirstColumn="0" w:firstRowLastColumn="0" w:lastRowFirstColumn="0" w:lastRowLastColumn="0"/>
            </w:pPr>
            <w:r w:rsidRPr="00F32A0E">
              <w:t>16</w:t>
            </w:r>
          </w:p>
        </w:tc>
      </w:tr>
      <w:tr w:rsidR="003C5EB0" w:rsidRPr="00AC29B4" w14:paraId="0EEF46BF" w14:textId="77777777" w:rsidTr="00981F9A">
        <w:trPr>
          <w:gridAfter w:val="1"/>
          <w:wAfter w:w="31" w:type="pct"/>
          <w:trHeight w:val="20"/>
        </w:trPr>
        <w:tc>
          <w:tcPr>
            <w:cnfStyle w:val="001000000000" w:firstRow="0" w:lastRow="0" w:firstColumn="1" w:lastColumn="0" w:oddVBand="0" w:evenVBand="0" w:oddHBand="0" w:evenHBand="0" w:firstRowFirstColumn="0" w:firstRowLastColumn="0" w:lastRowFirstColumn="0" w:lastRowLastColumn="0"/>
            <w:tcW w:w="1438" w:type="pct"/>
            <w:noWrap/>
            <w:vAlign w:val="center"/>
            <w:hideMark/>
          </w:tcPr>
          <w:p w14:paraId="6EC0B4DD" w14:textId="77777777" w:rsidR="003C5EB0" w:rsidRPr="00AC29B4" w:rsidRDefault="003C5EB0" w:rsidP="00D6390F">
            <w:pPr>
              <w:pStyle w:val="table0"/>
              <w:widowControl w:val="0"/>
              <w:jc w:val="left"/>
            </w:pPr>
            <w:r w:rsidRPr="00AC29B4">
              <w:t>Bipolar plate*</w:t>
            </w:r>
          </w:p>
        </w:tc>
        <w:tc>
          <w:tcPr>
            <w:tcW w:w="231" w:type="pct"/>
            <w:vAlign w:val="center"/>
          </w:tcPr>
          <w:p w14:paraId="5CA502EA" w14:textId="50E62EF9" w:rsidR="003C5EB0" w:rsidRPr="00640FE3" w:rsidRDefault="008A1992" w:rsidP="00640FE3">
            <w:pPr>
              <w:pStyle w:val="table0"/>
              <w:widowControl w:val="0"/>
              <w:ind w:left="-83"/>
              <w:jc w:val="left"/>
              <w:cnfStyle w:val="000000000000" w:firstRow="0" w:lastRow="0" w:firstColumn="0" w:lastColumn="0" w:oddVBand="0" w:evenVBand="0" w:oddHBand="0" w:evenHBand="0" w:firstRowFirstColumn="0" w:firstRowLastColumn="0" w:lastRowFirstColumn="0" w:lastRowLastColumn="0"/>
            </w:pPr>
            <w:r w:rsidRPr="00640FE3">
              <w:t>30</w:t>
            </w:r>
          </w:p>
        </w:tc>
        <w:tc>
          <w:tcPr>
            <w:tcW w:w="2300" w:type="pct"/>
            <w:noWrap/>
            <w:vAlign w:val="center"/>
            <w:hideMark/>
          </w:tcPr>
          <w:p w14:paraId="71E77B71" w14:textId="18AA69AE" w:rsidR="003C5EB0" w:rsidRPr="00AC29B4" w:rsidRDefault="003C5EB0" w:rsidP="00D6390F">
            <w:pPr>
              <w:pStyle w:val="table0"/>
              <w:widowControl w:val="0"/>
              <w:numPr>
                <w:ilvl w:val="0"/>
                <w:numId w:val="44"/>
              </w:numPr>
              <w:ind w:left="97" w:hanging="180"/>
              <w:jc w:val="left"/>
              <w:cnfStyle w:val="000000000000" w:firstRow="0" w:lastRow="0" w:firstColumn="0" w:lastColumn="0" w:oddVBand="0" w:evenVBand="0" w:oddHBand="0" w:evenHBand="0" w:firstRowFirstColumn="0" w:firstRowLastColumn="0" w:lastRowFirstColumn="0" w:lastRowLastColumn="0"/>
            </w:pPr>
            <w:r w:rsidRPr="00AC29B4">
              <w:t>Titanium (100%)</w:t>
            </w:r>
          </w:p>
        </w:tc>
        <w:tc>
          <w:tcPr>
            <w:tcW w:w="500" w:type="pct"/>
            <w:noWrap/>
            <w:vAlign w:val="center"/>
            <w:hideMark/>
          </w:tcPr>
          <w:p w14:paraId="58779350" w14:textId="4054E09A" w:rsidR="003C5EB0" w:rsidRPr="00AC29B4" w:rsidRDefault="003C5EB0" w:rsidP="00D6390F">
            <w:pPr>
              <w:pStyle w:val="table0"/>
              <w:widowControl w:val="0"/>
              <w:ind w:right="-82"/>
              <w:cnfStyle w:val="000000000000" w:firstRow="0" w:lastRow="0" w:firstColumn="0" w:lastColumn="0" w:oddVBand="0" w:evenVBand="0" w:oddHBand="0" w:evenHBand="0" w:firstRowFirstColumn="0" w:firstRowLastColumn="0" w:lastRowFirstColumn="0" w:lastRowLastColumn="0"/>
            </w:pPr>
            <w:r w:rsidRPr="00AC29B4">
              <w:t>1.59</w:t>
            </w:r>
          </w:p>
        </w:tc>
        <w:tc>
          <w:tcPr>
            <w:tcW w:w="500" w:type="pct"/>
            <w:noWrap/>
            <w:vAlign w:val="center"/>
            <w:hideMark/>
          </w:tcPr>
          <w:p w14:paraId="7E5B483D" w14:textId="2F9C8BFD" w:rsidR="003C5EB0" w:rsidRPr="00F32A0E" w:rsidRDefault="003C5EB0" w:rsidP="00002AFE">
            <w:pPr>
              <w:pStyle w:val="table0"/>
              <w:widowControl w:val="0"/>
              <w:ind w:right="67"/>
              <w:cnfStyle w:val="000000000000" w:firstRow="0" w:lastRow="0" w:firstColumn="0" w:lastColumn="0" w:oddVBand="0" w:evenVBand="0" w:oddHBand="0" w:evenHBand="0" w:firstRowFirstColumn="0" w:firstRowLastColumn="0" w:lastRowFirstColumn="0" w:lastRowLastColumn="0"/>
            </w:pPr>
            <w:r w:rsidRPr="00F32A0E">
              <w:t>3,600</w:t>
            </w:r>
          </w:p>
        </w:tc>
      </w:tr>
      <w:tr w:rsidR="003C5EB0" w:rsidRPr="00AC29B4" w14:paraId="3B3A591F" w14:textId="77777777" w:rsidTr="00981F9A">
        <w:trPr>
          <w:gridAfter w:val="1"/>
          <w:cnfStyle w:val="000000100000" w:firstRow="0" w:lastRow="0" w:firstColumn="0" w:lastColumn="0" w:oddVBand="0" w:evenVBand="0" w:oddHBand="1" w:evenHBand="0" w:firstRowFirstColumn="0" w:firstRowLastColumn="0" w:lastRowFirstColumn="0" w:lastRowLastColumn="0"/>
          <w:wAfter w:w="31" w:type="pct"/>
          <w:trHeight w:val="20"/>
        </w:trPr>
        <w:tc>
          <w:tcPr>
            <w:cnfStyle w:val="001000000000" w:firstRow="0" w:lastRow="0" w:firstColumn="1" w:lastColumn="0" w:oddVBand="0" w:evenVBand="0" w:oddHBand="0" w:evenHBand="0" w:firstRowFirstColumn="0" w:firstRowLastColumn="0" w:lastRowFirstColumn="0" w:lastRowLastColumn="0"/>
            <w:tcW w:w="1438" w:type="pct"/>
            <w:noWrap/>
            <w:vAlign w:val="center"/>
            <w:hideMark/>
          </w:tcPr>
          <w:p w14:paraId="0C79C729" w14:textId="63116E4E" w:rsidR="003C5EB0" w:rsidRPr="00AC29B4" w:rsidRDefault="003C5EB0" w:rsidP="00D6390F">
            <w:pPr>
              <w:pStyle w:val="table0"/>
              <w:widowControl w:val="0"/>
              <w:jc w:val="left"/>
            </w:pPr>
            <w:r w:rsidRPr="00AC29B4">
              <w:t>Current collection plate</w:t>
            </w:r>
            <w:r w:rsidR="00C038CE">
              <w:t xml:space="preserve"> (CCP)</w:t>
            </w:r>
          </w:p>
        </w:tc>
        <w:tc>
          <w:tcPr>
            <w:tcW w:w="231" w:type="pct"/>
            <w:vAlign w:val="center"/>
          </w:tcPr>
          <w:p w14:paraId="26E6C42B" w14:textId="38906F00" w:rsidR="003C5EB0" w:rsidRPr="00640FE3" w:rsidRDefault="008A1992" w:rsidP="00640FE3">
            <w:pPr>
              <w:pStyle w:val="table0"/>
              <w:widowControl w:val="0"/>
              <w:ind w:left="-83"/>
              <w:jc w:val="left"/>
              <w:cnfStyle w:val="000000100000" w:firstRow="0" w:lastRow="0" w:firstColumn="0" w:lastColumn="0" w:oddVBand="0" w:evenVBand="0" w:oddHBand="1" w:evenHBand="0" w:firstRowFirstColumn="0" w:firstRowLastColumn="0" w:lastRowFirstColumn="0" w:lastRowLastColumn="0"/>
            </w:pPr>
            <w:r w:rsidRPr="00640FE3">
              <w:t>2</w:t>
            </w:r>
          </w:p>
        </w:tc>
        <w:tc>
          <w:tcPr>
            <w:tcW w:w="2300" w:type="pct"/>
            <w:noWrap/>
            <w:vAlign w:val="center"/>
            <w:hideMark/>
          </w:tcPr>
          <w:p w14:paraId="36DA2518" w14:textId="416DA885" w:rsidR="003C5EB0" w:rsidRPr="00AC29B4" w:rsidRDefault="003C5EB0" w:rsidP="00D6390F">
            <w:pPr>
              <w:pStyle w:val="table0"/>
              <w:widowControl w:val="0"/>
              <w:numPr>
                <w:ilvl w:val="0"/>
                <w:numId w:val="44"/>
              </w:numPr>
              <w:ind w:left="97" w:hanging="180"/>
              <w:jc w:val="left"/>
              <w:cnfStyle w:val="000000100000" w:firstRow="0" w:lastRow="0" w:firstColumn="0" w:lastColumn="0" w:oddVBand="0" w:evenVBand="0" w:oddHBand="1" w:evenHBand="0" w:firstRowFirstColumn="0" w:firstRowLastColumn="0" w:lastRowFirstColumn="0" w:lastRowLastColumn="0"/>
            </w:pPr>
            <w:r w:rsidRPr="00AC29B4">
              <w:t>Copper (100%)</w:t>
            </w:r>
          </w:p>
        </w:tc>
        <w:tc>
          <w:tcPr>
            <w:tcW w:w="500" w:type="pct"/>
            <w:noWrap/>
            <w:vAlign w:val="center"/>
            <w:hideMark/>
          </w:tcPr>
          <w:p w14:paraId="69CDE235" w14:textId="0B803527" w:rsidR="003C5EB0" w:rsidRPr="00AC29B4" w:rsidRDefault="003C5EB0" w:rsidP="00D6390F">
            <w:pPr>
              <w:pStyle w:val="table0"/>
              <w:widowControl w:val="0"/>
              <w:ind w:right="-82"/>
              <w:cnfStyle w:val="000000100000" w:firstRow="0" w:lastRow="0" w:firstColumn="0" w:lastColumn="0" w:oddVBand="0" w:evenVBand="0" w:oddHBand="1" w:evenHBand="0" w:firstRowFirstColumn="0" w:firstRowLastColumn="0" w:lastRowFirstColumn="0" w:lastRowLastColumn="0"/>
            </w:pPr>
            <w:r w:rsidRPr="00AC29B4">
              <w:t>0.22</w:t>
            </w:r>
          </w:p>
        </w:tc>
        <w:tc>
          <w:tcPr>
            <w:tcW w:w="500" w:type="pct"/>
            <w:noWrap/>
            <w:vAlign w:val="center"/>
            <w:hideMark/>
          </w:tcPr>
          <w:p w14:paraId="1A6BF8F4" w14:textId="2BF57560" w:rsidR="003C5EB0" w:rsidRPr="00F32A0E" w:rsidRDefault="003C5EB0" w:rsidP="00002AFE">
            <w:pPr>
              <w:pStyle w:val="table0"/>
              <w:widowControl w:val="0"/>
              <w:ind w:right="67"/>
              <w:cnfStyle w:val="000000100000" w:firstRow="0" w:lastRow="0" w:firstColumn="0" w:lastColumn="0" w:oddVBand="0" w:evenVBand="0" w:oddHBand="1" w:evenHBand="0" w:firstRowFirstColumn="0" w:firstRowLastColumn="0" w:lastRowFirstColumn="0" w:lastRowLastColumn="0"/>
            </w:pPr>
            <w:r w:rsidRPr="00F32A0E">
              <w:t>150</w:t>
            </w:r>
          </w:p>
        </w:tc>
      </w:tr>
      <w:tr w:rsidR="003C5EB0" w:rsidRPr="00AC29B4" w14:paraId="7872E785" w14:textId="77777777" w:rsidTr="00981F9A">
        <w:trPr>
          <w:gridAfter w:val="1"/>
          <w:wAfter w:w="31" w:type="pct"/>
          <w:trHeight w:val="20"/>
        </w:trPr>
        <w:tc>
          <w:tcPr>
            <w:cnfStyle w:val="001000000000" w:firstRow="0" w:lastRow="0" w:firstColumn="1" w:lastColumn="0" w:oddVBand="0" w:evenVBand="0" w:oddHBand="0" w:evenHBand="0" w:firstRowFirstColumn="0" w:firstRowLastColumn="0" w:lastRowFirstColumn="0" w:lastRowLastColumn="0"/>
            <w:tcW w:w="1438" w:type="pct"/>
            <w:noWrap/>
            <w:vAlign w:val="center"/>
            <w:hideMark/>
          </w:tcPr>
          <w:p w14:paraId="4879C1BE" w14:textId="77777777" w:rsidR="003C5EB0" w:rsidRPr="00AC29B4" w:rsidRDefault="003C5EB0" w:rsidP="00D6390F">
            <w:pPr>
              <w:pStyle w:val="table0"/>
              <w:widowControl w:val="0"/>
              <w:jc w:val="left"/>
            </w:pPr>
            <w:r w:rsidRPr="00AC29B4">
              <w:t>Gasket final</w:t>
            </w:r>
          </w:p>
        </w:tc>
        <w:tc>
          <w:tcPr>
            <w:tcW w:w="231" w:type="pct"/>
            <w:vAlign w:val="center"/>
          </w:tcPr>
          <w:p w14:paraId="729155C5" w14:textId="3481B91B" w:rsidR="003C5EB0" w:rsidRPr="00640FE3" w:rsidRDefault="008A1992" w:rsidP="00640FE3">
            <w:pPr>
              <w:pStyle w:val="table0"/>
              <w:widowControl w:val="0"/>
              <w:ind w:left="-83"/>
              <w:jc w:val="left"/>
              <w:cnfStyle w:val="000000000000" w:firstRow="0" w:lastRow="0" w:firstColumn="0" w:lastColumn="0" w:oddVBand="0" w:evenVBand="0" w:oddHBand="0" w:evenHBand="0" w:firstRowFirstColumn="0" w:firstRowLastColumn="0" w:lastRowFirstColumn="0" w:lastRowLastColumn="0"/>
            </w:pPr>
            <w:r w:rsidRPr="00640FE3">
              <w:t>2</w:t>
            </w:r>
          </w:p>
        </w:tc>
        <w:tc>
          <w:tcPr>
            <w:tcW w:w="2300" w:type="pct"/>
            <w:noWrap/>
            <w:vAlign w:val="center"/>
            <w:hideMark/>
          </w:tcPr>
          <w:p w14:paraId="020A7ACE" w14:textId="7E0074E4" w:rsidR="003C5EB0" w:rsidRPr="00AC29B4" w:rsidRDefault="003C5EB0" w:rsidP="00D6390F">
            <w:pPr>
              <w:pStyle w:val="table0"/>
              <w:widowControl w:val="0"/>
              <w:numPr>
                <w:ilvl w:val="0"/>
                <w:numId w:val="44"/>
              </w:numPr>
              <w:ind w:left="97" w:hanging="180"/>
              <w:jc w:val="left"/>
              <w:cnfStyle w:val="000000000000" w:firstRow="0" w:lastRow="0" w:firstColumn="0" w:lastColumn="0" w:oddVBand="0" w:evenVBand="0" w:oddHBand="0" w:evenHBand="0" w:firstRowFirstColumn="0" w:firstRowLastColumn="0" w:lastRowFirstColumn="0" w:lastRowLastColumn="0"/>
            </w:pPr>
            <w:r>
              <w:t>P</w:t>
            </w:r>
            <w:r w:rsidRPr="00A17C3E">
              <w:t>olytetrafluoroethylene</w:t>
            </w:r>
            <w:r>
              <w:t xml:space="preserve"> </w:t>
            </w:r>
            <w:r w:rsidRPr="00640EE9">
              <w:rPr>
                <w:vertAlign w:val="superscript"/>
              </w:rPr>
              <w:t>(</w:t>
            </w:r>
            <w:r>
              <w:rPr>
                <w:b/>
                <w:bCs/>
                <w:vertAlign w:val="superscript"/>
              </w:rPr>
              <w:t>d)</w:t>
            </w:r>
            <w:r w:rsidRPr="00AC29B4">
              <w:t xml:space="preserve"> (Teflon) (100%)</w:t>
            </w:r>
          </w:p>
        </w:tc>
        <w:tc>
          <w:tcPr>
            <w:tcW w:w="500" w:type="pct"/>
            <w:noWrap/>
            <w:vAlign w:val="center"/>
            <w:hideMark/>
          </w:tcPr>
          <w:p w14:paraId="6715F013" w14:textId="455C1EF0" w:rsidR="003C5EB0" w:rsidRPr="00AC29B4" w:rsidRDefault="003C5EB0" w:rsidP="00D6390F">
            <w:pPr>
              <w:pStyle w:val="table0"/>
              <w:widowControl w:val="0"/>
              <w:ind w:right="-82"/>
              <w:cnfStyle w:val="000000000000" w:firstRow="0" w:lastRow="0" w:firstColumn="0" w:lastColumn="0" w:oddVBand="0" w:evenVBand="0" w:oddHBand="0" w:evenHBand="0" w:firstRowFirstColumn="0" w:firstRowLastColumn="0" w:lastRowFirstColumn="0" w:lastRowLastColumn="0"/>
            </w:pPr>
            <w:r w:rsidRPr="00AC29B4">
              <w:t>0.02</w:t>
            </w:r>
          </w:p>
        </w:tc>
        <w:tc>
          <w:tcPr>
            <w:tcW w:w="500" w:type="pct"/>
            <w:noWrap/>
            <w:vAlign w:val="center"/>
            <w:hideMark/>
          </w:tcPr>
          <w:p w14:paraId="4FA7EE6F" w14:textId="043470FC" w:rsidR="003C5EB0" w:rsidRPr="00F32A0E" w:rsidRDefault="003C5EB0" w:rsidP="00002AFE">
            <w:pPr>
              <w:pStyle w:val="table0"/>
              <w:widowControl w:val="0"/>
              <w:ind w:right="67"/>
              <w:cnfStyle w:val="000000000000" w:firstRow="0" w:lastRow="0" w:firstColumn="0" w:lastColumn="0" w:oddVBand="0" w:evenVBand="0" w:oddHBand="0" w:evenHBand="0" w:firstRowFirstColumn="0" w:firstRowLastColumn="0" w:lastRowFirstColumn="0" w:lastRowLastColumn="0"/>
            </w:pPr>
            <w:r w:rsidRPr="00F32A0E">
              <w:t>1</w:t>
            </w:r>
          </w:p>
        </w:tc>
      </w:tr>
      <w:tr w:rsidR="003C5EB0" w:rsidRPr="00AC29B4" w14:paraId="51B64B10" w14:textId="77777777" w:rsidTr="00981F9A">
        <w:trPr>
          <w:gridAfter w:val="1"/>
          <w:cnfStyle w:val="000000100000" w:firstRow="0" w:lastRow="0" w:firstColumn="0" w:lastColumn="0" w:oddVBand="0" w:evenVBand="0" w:oddHBand="1" w:evenHBand="0" w:firstRowFirstColumn="0" w:firstRowLastColumn="0" w:lastRowFirstColumn="0" w:lastRowLastColumn="0"/>
          <w:wAfter w:w="31" w:type="pct"/>
          <w:trHeight w:val="20"/>
        </w:trPr>
        <w:tc>
          <w:tcPr>
            <w:cnfStyle w:val="001000000000" w:firstRow="0" w:lastRow="0" w:firstColumn="1" w:lastColumn="0" w:oddVBand="0" w:evenVBand="0" w:oddHBand="0" w:evenHBand="0" w:firstRowFirstColumn="0" w:firstRowLastColumn="0" w:lastRowFirstColumn="0" w:lastRowLastColumn="0"/>
            <w:tcW w:w="1438" w:type="pct"/>
            <w:noWrap/>
            <w:vAlign w:val="center"/>
            <w:hideMark/>
          </w:tcPr>
          <w:p w14:paraId="6B28D94B" w14:textId="2A5C33BF" w:rsidR="003C5EB0" w:rsidRPr="00AC29B4" w:rsidRDefault="003C5EB0" w:rsidP="00D6390F">
            <w:pPr>
              <w:pStyle w:val="table0"/>
              <w:widowControl w:val="0"/>
              <w:jc w:val="left"/>
            </w:pPr>
            <w:r w:rsidRPr="00AC29B4">
              <w:t>Tie rods</w:t>
            </w:r>
            <w:r w:rsidR="00425854">
              <w:t>,</w:t>
            </w:r>
            <w:r w:rsidRPr="00AC29B4">
              <w:t xml:space="preserve"> </w:t>
            </w:r>
            <w:r w:rsidR="00CE45BB">
              <w:br/>
            </w:r>
            <w:r w:rsidRPr="00AC29B4">
              <w:t>spring</w:t>
            </w:r>
          </w:p>
        </w:tc>
        <w:tc>
          <w:tcPr>
            <w:tcW w:w="231" w:type="pct"/>
            <w:vAlign w:val="center"/>
          </w:tcPr>
          <w:p w14:paraId="75009C42" w14:textId="6554496B" w:rsidR="003C5EB0" w:rsidRPr="00640FE3" w:rsidRDefault="00CE45BB" w:rsidP="00640FE3">
            <w:pPr>
              <w:pStyle w:val="table0"/>
              <w:widowControl w:val="0"/>
              <w:ind w:left="-83"/>
              <w:jc w:val="left"/>
              <w:cnfStyle w:val="000000100000" w:firstRow="0" w:lastRow="0" w:firstColumn="0" w:lastColumn="0" w:oddVBand="0" w:evenVBand="0" w:oddHBand="1" w:evenHBand="0" w:firstRowFirstColumn="0" w:firstRowLastColumn="0" w:lastRowFirstColumn="0" w:lastRowLastColumn="0"/>
            </w:pPr>
            <w:r w:rsidRPr="00640FE3">
              <w:t>20</w:t>
            </w:r>
            <w:r w:rsidR="00425854">
              <w:t>,</w:t>
            </w:r>
            <w:r w:rsidRPr="00640FE3">
              <w:t xml:space="preserve"> </w:t>
            </w:r>
            <w:r w:rsidR="00640FE3">
              <w:br/>
              <w:t>3</w:t>
            </w:r>
            <w:r w:rsidRPr="00640FE3">
              <w:t>00</w:t>
            </w:r>
          </w:p>
        </w:tc>
        <w:tc>
          <w:tcPr>
            <w:tcW w:w="2300" w:type="pct"/>
            <w:noWrap/>
            <w:vAlign w:val="center"/>
            <w:hideMark/>
          </w:tcPr>
          <w:p w14:paraId="1924F561" w14:textId="4C946C03" w:rsidR="003C5EB0" w:rsidRPr="00AC29B4" w:rsidRDefault="003C5EB0" w:rsidP="00D6390F">
            <w:pPr>
              <w:pStyle w:val="table0"/>
              <w:widowControl w:val="0"/>
              <w:numPr>
                <w:ilvl w:val="0"/>
                <w:numId w:val="44"/>
              </w:numPr>
              <w:ind w:left="97" w:hanging="180"/>
              <w:jc w:val="left"/>
              <w:cnfStyle w:val="000000100000" w:firstRow="0" w:lastRow="0" w:firstColumn="0" w:lastColumn="0" w:oddVBand="0" w:evenVBand="0" w:oddHBand="1" w:evenHBand="0" w:firstRowFirstColumn="0" w:firstRowLastColumn="0" w:lastRowFirstColumn="0" w:lastRowLastColumn="0"/>
            </w:pPr>
            <w:r w:rsidRPr="00AC29B4">
              <w:t>Iron (100%)</w:t>
            </w:r>
          </w:p>
        </w:tc>
        <w:tc>
          <w:tcPr>
            <w:tcW w:w="500" w:type="pct"/>
            <w:noWrap/>
            <w:vAlign w:val="center"/>
            <w:hideMark/>
          </w:tcPr>
          <w:p w14:paraId="39E649B4" w14:textId="504433AA" w:rsidR="003C5EB0" w:rsidRPr="00AC29B4" w:rsidRDefault="003C5EB0" w:rsidP="00D6390F">
            <w:pPr>
              <w:pStyle w:val="table0"/>
              <w:widowControl w:val="0"/>
              <w:ind w:right="-82"/>
              <w:cnfStyle w:val="000000100000" w:firstRow="0" w:lastRow="0" w:firstColumn="0" w:lastColumn="0" w:oddVBand="0" w:evenVBand="0" w:oddHBand="1" w:evenHBand="0" w:firstRowFirstColumn="0" w:firstRowLastColumn="0" w:lastRowFirstColumn="0" w:lastRowLastColumn="0"/>
            </w:pPr>
            <w:r w:rsidRPr="00AC29B4">
              <w:t>0.71</w:t>
            </w:r>
          </w:p>
        </w:tc>
        <w:tc>
          <w:tcPr>
            <w:tcW w:w="500" w:type="pct"/>
            <w:noWrap/>
            <w:vAlign w:val="center"/>
            <w:hideMark/>
          </w:tcPr>
          <w:p w14:paraId="52A65276" w14:textId="0EC92FC3" w:rsidR="003C5EB0" w:rsidRPr="00F32A0E" w:rsidRDefault="003C5EB0" w:rsidP="00002AFE">
            <w:pPr>
              <w:pStyle w:val="table0"/>
              <w:widowControl w:val="0"/>
              <w:ind w:right="67"/>
              <w:cnfStyle w:val="000000100000" w:firstRow="0" w:lastRow="0" w:firstColumn="0" w:lastColumn="0" w:oddVBand="0" w:evenVBand="0" w:oddHBand="1" w:evenHBand="0" w:firstRowFirstColumn="0" w:firstRowLastColumn="0" w:lastRowFirstColumn="0" w:lastRowLastColumn="0"/>
            </w:pPr>
            <w:r w:rsidRPr="00F32A0E">
              <w:t>270</w:t>
            </w:r>
          </w:p>
        </w:tc>
      </w:tr>
      <w:tr w:rsidR="00640FE3" w:rsidRPr="00AC29B4" w14:paraId="3B2ACA1D" w14:textId="77777777" w:rsidTr="00981F9A">
        <w:trPr>
          <w:gridAfter w:val="1"/>
          <w:wAfter w:w="31" w:type="pct"/>
          <w:trHeight w:val="20"/>
        </w:trPr>
        <w:tc>
          <w:tcPr>
            <w:cnfStyle w:val="001000000000" w:firstRow="0" w:lastRow="0" w:firstColumn="1" w:lastColumn="0" w:oddVBand="0" w:evenVBand="0" w:oddHBand="0" w:evenHBand="0" w:firstRowFirstColumn="0" w:firstRowLastColumn="0" w:lastRowFirstColumn="0" w:lastRowLastColumn="0"/>
            <w:tcW w:w="1438" w:type="pct"/>
            <w:tcBorders>
              <w:top w:val="single" w:sz="4" w:space="0" w:color="7F7F7F" w:themeColor="text1" w:themeTint="80"/>
              <w:bottom w:val="double" w:sz="4" w:space="0" w:color="auto"/>
            </w:tcBorders>
            <w:noWrap/>
            <w:vAlign w:val="center"/>
            <w:hideMark/>
          </w:tcPr>
          <w:p w14:paraId="596A889E" w14:textId="77777777" w:rsidR="003C5EB0" w:rsidRPr="00AC29B4" w:rsidRDefault="003C5EB0" w:rsidP="00D6390F">
            <w:pPr>
              <w:pStyle w:val="table0"/>
              <w:widowControl w:val="0"/>
              <w:jc w:val="left"/>
            </w:pPr>
            <w:r w:rsidRPr="00AC29B4">
              <w:t>Endplates</w:t>
            </w:r>
          </w:p>
        </w:tc>
        <w:tc>
          <w:tcPr>
            <w:tcW w:w="231" w:type="pct"/>
            <w:tcBorders>
              <w:top w:val="single" w:sz="4" w:space="0" w:color="7F7F7F" w:themeColor="text1" w:themeTint="80"/>
              <w:bottom w:val="double" w:sz="4" w:space="0" w:color="auto"/>
            </w:tcBorders>
            <w:vAlign w:val="center"/>
          </w:tcPr>
          <w:p w14:paraId="0AE07D89" w14:textId="352CC3F5" w:rsidR="003C5EB0" w:rsidRPr="00640FE3" w:rsidRDefault="00640FE3" w:rsidP="00640FE3">
            <w:pPr>
              <w:pStyle w:val="table0"/>
              <w:widowControl w:val="0"/>
              <w:ind w:left="-83"/>
              <w:jc w:val="left"/>
              <w:cnfStyle w:val="000000000000" w:firstRow="0" w:lastRow="0" w:firstColumn="0" w:lastColumn="0" w:oddVBand="0" w:evenVBand="0" w:oddHBand="0" w:evenHBand="0" w:firstRowFirstColumn="0" w:firstRowLastColumn="0" w:lastRowFirstColumn="0" w:lastRowLastColumn="0"/>
            </w:pPr>
            <w:r w:rsidRPr="00640FE3">
              <w:t>2</w:t>
            </w:r>
          </w:p>
        </w:tc>
        <w:tc>
          <w:tcPr>
            <w:tcW w:w="2300" w:type="pct"/>
            <w:tcBorders>
              <w:top w:val="single" w:sz="4" w:space="0" w:color="7F7F7F" w:themeColor="text1" w:themeTint="80"/>
              <w:bottom w:val="double" w:sz="4" w:space="0" w:color="auto"/>
            </w:tcBorders>
            <w:noWrap/>
            <w:vAlign w:val="center"/>
            <w:hideMark/>
          </w:tcPr>
          <w:p w14:paraId="6707ED23" w14:textId="337782C5" w:rsidR="003C5EB0" w:rsidRPr="00AC29B4" w:rsidRDefault="003C5EB0" w:rsidP="00D6390F">
            <w:pPr>
              <w:pStyle w:val="table0"/>
              <w:widowControl w:val="0"/>
              <w:numPr>
                <w:ilvl w:val="0"/>
                <w:numId w:val="44"/>
              </w:numPr>
              <w:ind w:left="97" w:hanging="180"/>
              <w:jc w:val="left"/>
              <w:cnfStyle w:val="000000000000" w:firstRow="0" w:lastRow="0" w:firstColumn="0" w:lastColumn="0" w:oddVBand="0" w:evenVBand="0" w:oddHBand="0" w:evenHBand="0" w:firstRowFirstColumn="0" w:firstRowLastColumn="0" w:lastRowFirstColumn="0" w:lastRowLastColumn="0"/>
            </w:pPr>
            <w:r w:rsidRPr="00AC29B4">
              <w:t>Aluminum (100%)</w:t>
            </w:r>
          </w:p>
        </w:tc>
        <w:tc>
          <w:tcPr>
            <w:tcW w:w="500" w:type="pct"/>
            <w:tcBorders>
              <w:top w:val="single" w:sz="4" w:space="0" w:color="7F7F7F" w:themeColor="text1" w:themeTint="80"/>
              <w:bottom w:val="double" w:sz="4" w:space="0" w:color="auto"/>
            </w:tcBorders>
            <w:noWrap/>
            <w:vAlign w:val="center"/>
            <w:hideMark/>
          </w:tcPr>
          <w:p w14:paraId="36214C74" w14:textId="34667203" w:rsidR="003C5EB0" w:rsidRPr="00AC29B4" w:rsidRDefault="003C5EB0" w:rsidP="00D6390F">
            <w:pPr>
              <w:pStyle w:val="table0"/>
              <w:widowControl w:val="0"/>
              <w:ind w:right="-82"/>
              <w:cnfStyle w:val="000000000000" w:firstRow="0" w:lastRow="0" w:firstColumn="0" w:lastColumn="0" w:oddVBand="0" w:evenVBand="0" w:oddHBand="0" w:evenHBand="0" w:firstRowFirstColumn="0" w:firstRowLastColumn="0" w:lastRowFirstColumn="0" w:lastRowLastColumn="0"/>
            </w:pPr>
            <w:r w:rsidRPr="00AC29B4">
              <w:t>3.86</w:t>
            </w:r>
          </w:p>
        </w:tc>
        <w:tc>
          <w:tcPr>
            <w:tcW w:w="500" w:type="pct"/>
            <w:tcBorders>
              <w:top w:val="single" w:sz="4" w:space="0" w:color="7F7F7F" w:themeColor="text1" w:themeTint="80"/>
              <w:bottom w:val="double" w:sz="4" w:space="0" w:color="auto"/>
            </w:tcBorders>
            <w:noWrap/>
            <w:vAlign w:val="center"/>
            <w:hideMark/>
          </w:tcPr>
          <w:p w14:paraId="367ED7D5" w14:textId="66E219A6" w:rsidR="003C5EB0" w:rsidRPr="00F32A0E" w:rsidRDefault="003C5EB0" w:rsidP="00002AFE">
            <w:pPr>
              <w:pStyle w:val="table0"/>
              <w:widowControl w:val="0"/>
              <w:ind w:right="67"/>
              <w:cnfStyle w:val="000000000000" w:firstRow="0" w:lastRow="0" w:firstColumn="0" w:lastColumn="0" w:oddVBand="0" w:evenVBand="0" w:oddHBand="0" w:evenHBand="0" w:firstRowFirstColumn="0" w:firstRowLastColumn="0" w:lastRowFirstColumn="0" w:lastRowLastColumn="0"/>
            </w:pPr>
            <w:r w:rsidRPr="00F32A0E">
              <w:t>936</w:t>
            </w:r>
          </w:p>
        </w:tc>
      </w:tr>
      <w:tr w:rsidR="003C5EB0" w:rsidRPr="00AC29B4" w14:paraId="2D7C633B" w14:textId="77777777" w:rsidTr="00BB19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double" w:sz="4" w:space="0" w:color="auto"/>
              <w:bottom w:val="nil"/>
            </w:tcBorders>
          </w:tcPr>
          <w:p w14:paraId="6E39764D" w14:textId="30510D13" w:rsidR="003C5EB0" w:rsidRPr="00A85DF1" w:rsidRDefault="003C5EB0" w:rsidP="000B363E">
            <w:pPr>
              <w:pStyle w:val="table0"/>
              <w:widowControl w:val="0"/>
              <w:ind w:right="-18"/>
              <w:jc w:val="both"/>
              <w:rPr>
                <w:b w:val="0"/>
                <w:bCs w:val="0"/>
              </w:rPr>
            </w:pPr>
            <w:r w:rsidRPr="004204D9">
              <w:rPr>
                <w:b w:val="0"/>
                <w:bCs w:val="0"/>
                <w:sz w:val="16"/>
                <w:szCs w:val="18"/>
              </w:rPr>
              <w:t xml:space="preserve">* </w:t>
            </w:r>
            <w:proofErr w:type="gramStart"/>
            <w:r w:rsidRPr="004204D9">
              <w:rPr>
                <w:b w:val="0"/>
                <w:bCs w:val="0"/>
                <w:sz w:val="16"/>
                <w:szCs w:val="18"/>
              </w:rPr>
              <w:t>components</w:t>
            </w:r>
            <w:proofErr w:type="gramEnd"/>
            <w:r w:rsidRPr="004204D9">
              <w:rPr>
                <w:b w:val="0"/>
                <w:bCs w:val="0"/>
                <w:sz w:val="16"/>
                <w:szCs w:val="18"/>
              </w:rPr>
              <w:t xml:space="preserve"> of the cells; ** prices comprehensive of materials acquired and manufacturing costs at laboratory scale (a) manufacturing process assumed by Evangelisti et al. </w:t>
            </w:r>
            <w:r w:rsidR="00DD5EDE" w:rsidRPr="004204D9">
              <w:rPr>
                <w:b w:val="0"/>
                <w:bCs w:val="0"/>
                <w:sz w:val="16"/>
                <w:szCs w:val="18"/>
              </w:rPr>
              <w:t>(</w:t>
            </w:r>
            <w:r w:rsidRPr="004204D9">
              <w:rPr>
                <w:b w:val="0"/>
                <w:bCs w:val="0"/>
                <w:sz w:val="16"/>
                <w:szCs w:val="18"/>
              </w:rPr>
              <w:t xml:space="preserve">2017); (b) manufacturing process assumed as palladium by Mori &amp; </w:t>
            </w:r>
            <w:proofErr w:type="spellStart"/>
            <w:r w:rsidRPr="004204D9">
              <w:rPr>
                <w:b w:val="0"/>
                <w:bCs w:val="0"/>
                <w:sz w:val="16"/>
                <w:szCs w:val="18"/>
              </w:rPr>
              <w:t>Štern</w:t>
            </w:r>
            <w:proofErr w:type="spellEnd"/>
            <w:r w:rsidRPr="004204D9">
              <w:rPr>
                <w:b w:val="0"/>
                <w:bCs w:val="0"/>
                <w:sz w:val="16"/>
                <w:szCs w:val="18"/>
              </w:rPr>
              <w:t xml:space="preserve"> </w:t>
            </w:r>
            <w:r w:rsidR="00DD5EDE" w:rsidRPr="004204D9">
              <w:rPr>
                <w:b w:val="0"/>
                <w:bCs w:val="0"/>
                <w:sz w:val="16"/>
                <w:szCs w:val="18"/>
              </w:rPr>
              <w:t>(</w:t>
            </w:r>
            <w:r w:rsidRPr="004204D9">
              <w:rPr>
                <w:b w:val="0"/>
                <w:bCs w:val="0"/>
                <w:sz w:val="16"/>
                <w:szCs w:val="18"/>
              </w:rPr>
              <w:t xml:space="preserve">2016); (c) manufacturing process assumed as PET; (d) manufacturing process assumed by Simon and Bauer </w:t>
            </w:r>
            <w:r w:rsidR="00DD5EDE" w:rsidRPr="004204D9">
              <w:rPr>
                <w:b w:val="0"/>
                <w:bCs w:val="0"/>
                <w:sz w:val="16"/>
                <w:szCs w:val="18"/>
              </w:rPr>
              <w:t>(</w:t>
            </w:r>
            <w:r w:rsidRPr="004204D9">
              <w:rPr>
                <w:b w:val="0"/>
                <w:bCs w:val="0"/>
                <w:sz w:val="16"/>
                <w:szCs w:val="18"/>
              </w:rPr>
              <w:t>2015).</w:t>
            </w:r>
          </w:p>
        </w:tc>
      </w:tr>
    </w:tbl>
    <w:p w14:paraId="1746A542" w14:textId="40B20930" w:rsidR="00004D40" w:rsidRPr="00073F40" w:rsidRDefault="00004D40" w:rsidP="000B363E">
      <w:pPr>
        <w:pStyle w:val="Titolo2"/>
        <w:keepNext w:val="0"/>
        <w:widowControl w:val="0"/>
      </w:pPr>
      <w:r w:rsidRPr="00073F40">
        <w:t xml:space="preserve">Life cycle </w:t>
      </w:r>
      <w:r>
        <w:t>imp</w:t>
      </w:r>
      <w:r w:rsidR="006947A5">
        <w:t>a</w:t>
      </w:r>
      <w:r>
        <w:t>ct</w:t>
      </w:r>
      <w:r w:rsidR="002D0FC0">
        <w:t>s assessment</w:t>
      </w:r>
    </w:p>
    <w:p w14:paraId="0F4CF38B" w14:textId="7C1236D9" w:rsidR="00C253E6" w:rsidRDefault="00BF1204" w:rsidP="000B363E">
      <w:pPr>
        <w:widowControl w:val="0"/>
        <w:rPr>
          <w:lang w:val="en-GB"/>
        </w:rPr>
      </w:pPr>
      <w:r>
        <w:t xml:space="preserve">For environmental impacts calculation, </w:t>
      </w:r>
      <w:r w:rsidR="00BA28BA" w:rsidRPr="000767DE">
        <w:t xml:space="preserve">the CML-IA baseline </w:t>
      </w:r>
      <w:r w:rsidR="00BA28BA" w:rsidRPr="000767DE">
        <w:fldChar w:fldCharType="begin" w:fldLock="1"/>
      </w:r>
      <w:r w:rsidR="00425854">
        <w:instrText>ADDIN CSL_CITATION {"citationItems":[{"id":"ITEM-1","itemData":{"URL":"https://www.universiteitleiden.nl/en/research/research-output/science/cml-ia-characterisation-factors","accessed":{"date-parts":[["2022","3","17"]]},"author":[{"dropping-particle":"","family":"CML - Department of Industrial Ecology","given":"","non-dropping-particle":"","parse-names":false,"suffix":""}],"id":"ITEM-1","issued":{"date-parts":[["2016"]]},"title":"CML-IA Characterisation Factors","type":"webpage"},"uris":["http://www.mendeley.com/documents/?uuid=0dbc6537-6176-482d-af7b-7ddbf78642f6"]}],"mendeley":{"formattedCitation":"(CML - Department of Industrial Ecology, 2016)","manualFormatting":"(CML, 2016)","plainTextFormattedCitation":"(CML - Department of Industrial Ecology, 2016)","previouslyFormattedCitation":"(CML - Department of Industrial Ecology, 2016)"},"properties":{"noteIndex":0},"schema":"https://github.com/citation-style-language/schema/raw/master/csl-citation.json"}</w:instrText>
      </w:r>
      <w:r w:rsidR="00BA28BA" w:rsidRPr="000767DE">
        <w:fldChar w:fldCharType="separate"/>
      </w:r>
      <w:r w:rsidR="00BA28BA" w:rsidRPr="000767DE">
        <w:rPr>
          <w:noProof/>
        </w:rPr>
        <w:t>(CML</w:t>
      </w:r>
      <w:r w:rsidR="00F507C7">
        <w:rPr>
          <w:noProof/>
        </w:rPr>
        <w:t>,</w:t>
      </w:r>
      <w:r w:rsidR="00BA28BA" w:rsidRPr="000767DE">
        <w:rPr>
          <w:noProof/>
        </w:rPr>
        <w:t xml:space="preserve"> 2016)</w:t>
      </w:r>
      <w:r w:rsidR="00BA28BA" w:rsidRPr="000767DE">
        <w:fldChar w:fldCharType="end"/>
      </w:r>
      <w:r w:rsidR="00BA28BA" w:rsidRPr="000767DE">
        <w:t xml:space="preserve"> </w:t>
      </w:r>
      <w:r w:rsidR="004F6D99">
        <w:t>method</w:t>
      </w:r>
      <w:r w:rsidR="004F6D99" w:rsidRPr="000767DE">
        <w:t xml:space="preserve"> </w:t>
      </w:r>
      <w:r w:rsidR="000F14D2">
        <w:t>is</w:t>
      </w:r>
      <w:r w:rsidR="00BA28BA" w:rsidRPr="000767DE">
        <w:t xml:space="preserve"> applied</w:t>
      </w:r>
      <w:r w:rsidR="00BA28BA">
        <w:t xml:space="preserve"> </w:t>
      </w:r>
      <w:r w:rsidR="000E1B6C">
        <w:t>to evaluate</w:t>
      </w:r>
      <w:r w:rsidR="00BA28BA">
        <w:t xml:space="preserve"> </w:t>
      </w:r>
      <w:r w:rsidR="00781607" w:rsidRPr="000767DE">
        <w:t xml:space="preserve">abiotic depletion </w:t>
      </w:r>
      <w:r w:rsidRPr="000767DE">
        <w:t xml:space="preserve">potential </w:t>
      </w:r>
      <w:r w:rsidR="00781607" w:rsidRPr="000767DE">
        <w:t>(ADP), acidification potential (AP), global warming potential (GWP), eutrophication potential (EP)</w:t>
      </w:r>
      <w:r w:rsidR="00781607">
        <w:t>,</w:t>
      </w:r>
      <w:r w:rsidR="00781607" w:rsidRPr="000767DE">
        <w:t xml:space="preserve"> and photochemical oxidation formation </w:t>
      </w:r>
      <w:r w:rsidR="00781607" w:rsidRPr="000767DE">
        <w:lastRenderedPageBreak/>
        <w:t>(POF)</w:t>
      </w:r>
      <w:r w:rsidR="00781607" w:rsidRPr="004777A8">
        <w:rPr>
          <w:rStyle w:val="Rimandonotaapidipagina"/>
        </w:rPr>
        <w:footnoteReference w:id="2"/>
      </w:r>
      <w:r w:rsidR="00781607" w:rsidRPr="000767DE">
        <w:t>.</w:t>
      </w:r>
      <w:r w:rsidR="00BE2279">
        <w:t xml:space="preserve"> </w:t>
      </w:r>
      <w:r w:rsidR="00F26AF8">
        <w:t>I</w:t>
      </w:r>
      <w:r w:rsidR="00F26AF8" w:rsidRPr="00F26AF8">
        <w:t xml:space="preserve">n addition to these, </w:t>
      </w:r>
      <w:r w:rsidR="00A934DA" w:rsidRPr="00F26AF8">
        <w:t xml:space="preserve">using the </w:t>
      </w:r>
      <w:r w:rsidR="00A934DA" w:rsidRPr="000767DE">
        <w:t>Cumulative Energy Demand</w:t>
      </w:r>
      <w:r w:rsidR="00A934DA">
        <w:t xml:space="preserve"> (CED)</w:t>
      </w:r>
      <w:r w:rsidR="00A934DA" w:rsidRPr="000767DE">
        <w:t xml:space="preserve"> </w:t>
      </w:r>
      <w:r w:rsidR="00A934DA">
        <w:t xml:space="preserve">method </w:t>
      </w:r>
      <w:r w:rsidR="00A934DA" w:rsidRPr="000767DE">
        <w:fldChar w:fldCharType="begin" w:fldLock="1"/>
      </w:r>
      <w:r w:rsidR="00A934DA">
        <w:instrText>ADDIN CSL_CITATION {"citationItems":[{"id":"ITEM-1","itemData":{"DOI":"10.1007/s11367-015-0897-4","ISBN":"1136701508","ISSN":"16147502","abstract":"Purpose: Environmental life cycle assessment (LCA) is today an important methodology to quantify the life cycle based environmental impacts of products, services or organisations. Since the very first LCA studies, the cumulative energy demand CED (also called ‘primary energy consumption’) has been one of the key indicators being addressed. Despite its popularity, there is no harmonised approach yet and the standards and guidelines define the cumulative energy demand differently. In this paper, an overview of existing and applied life cycle based energy indicators and a unifying approach to establish characterisation factors for the cumulative energy demand indicator are provided. The CED approaches are illustrated in a building’s LCA case study. Methods: The five approaches are classified into two main concepts, namely the energy harvested and the energy harvestable concepts. The two concepts differ by the conversion efficiency of the energy collecting facility. A unifying ‘energy harvested’ approach is proposed based on four theses, which ensure consistent accounting among renewable and non renewable energy resources. Results and discussion: The indicator proposed is compared to four other CED indicators, differing in the characterisation factors of fossil and biomass resources (upper or lower heating value), the characterisation factor of uranium and the characterisation factors of renewable energy resources (amount harvested or amount harvestable). The comparison of the five approaches is based on the cumulative energy demand of a newly constructed building of the city of Zürich covering the whole life cycle, including manufacturing and construction, replacement and use phase, and end of life. The cumulative energy demand of the life cycle of the building differs between 336 MJ oil-eq/m2a (‘CED uranium low’) and 836 MJ oil-eq/m2a (‘CED energy statistics’). The main differences occur in the use phase. The main reason for the large differences in the results are the different concepts to determine the characterisation factors for renewable and nuclear energy resources. Conclusions: The energy harvested approach ‘CED standard’ is a consistent approach, which quantifies the energy content of all different (renewable and non-renewable) energy resources. The ‘CED standard’ approach and the impact category indicator results computed with this approach reflect the safeguard subject ‘energy resources’ but not (no other) environmental impacts. The energy harve…","author":[{"dropping-particle":"","family":"Frischknecht","given":"Rolf","non-dropping-particle":"","parse-names":false,"suffix":""},{"dropping-particle":"","family":"Wyss","given":"Franziska","non-dropping-particle":"","parse-names":false,"suffix":""},{"dropping-particle":"","family":"Büsser Knöpfel","given":"Sybille","non-dropping-particle":"","parse-names":false,"suffix":""},{"dropping-particle":"","family":"Lützkendorf","given":"Thomas","non-dropping-particle":"","parse-names":false,"suffix":""},{"dropping-particle":"","family":"Balouktsi","given":"Maria","non-dropping-particle":"","parse-names":false,"suffix":""}],"container-title":"International Journal of Life Cycle Assessment","id":"ITEM-1","issue":"7","issued":{"date-parts":[["2015"]]},"page":"957-969","title":"Cumulative energy demand in LCA: the energy harvested approach","type":"article-journal","volume":"20"},"uris":["http://www.mendeley.com/documents/?uuid=438eaf4a-83c3-4158-8cb0-5ae642e9dcf9"]}],"mendeley":{"formattedCitation":"(Frischknecht et al., 2015)","plainTextFormattedCitation":"(Frischknecht et al., 2015)","previouslyFormattedCitation":"(Frischknecht et al., 2015)"},"properties":{"noteIndex":0},"schema":"https://github.com/citation-style-language/schema/raw/master/csl-citation.json"}</w:instrText>
      </w:r>
      <w:r w:rsidR="00A934DA" w:rsidRPr="000767DE">
        <w:fldChar w:fldCharType="separate"/>
      </w:r>
      <w:r w:rsidR="00A934DA" w:rsidRPr="000767DE">
        <w:rPr>
          <w:noProof/>
        </w:rPr>
        <w:t>(Frischknecht et al., 2015)</w:t>
      </w:r>
      <w:r w:rsidR="00A934DA" w:rsidRPr="000767DE">
        <w:fldChar w:fldCharType="end"/>
      </w:r>
      <w:r w:rsidR="00A934DA">
        <w:t xml:space="preserve">, </w:t>
      </w:r>
      <w:r w:rsidR="00F26AF8" w:rsidRPr="00F26AF8">
        <w:t>renewable</w:t>
      </w:r>
      <w:r w:rsidR="00A934DA">
        <w:t xml:space="preserve"> </w:t>
      </w:r>
      <w:r w:rsidR="002056F2" w:rsidRPr="002056F2">
        <w:t>(</w:t>
      </w:r>
      <w:proofErr w:type="spellStart"/>
      <w:r w:rsidR="002056F2" w:rsidRPr="00CC74F9">
        <w:t>CEDr</w:t>
      </w:r>
      <w:proofErr w:type="spellEnd"/>
      <w:r w:rsidR="002056F2" w:rsidRPr="002056F2">
        <w:t>)</w:t>
      </w:r>
      <w:r w:rsidR="002056F2">
        <w:t xml:space="preserve"> </w:t>
      </w:r>
      <w:r w:rsidR="00F26AF8" w:rsidRPr="00F26AF8">
        <w:t xml:space="preserve">and non-renewable primary </w:t>
      </w:r>
      <w:r w:rsidR="00F26AF8" w:rsidRPr="002056F2">
        <w:t>energy</w:t>
      </w:r>
      <w:r w:rsidR="00271425" w:rsidRPr="002056F2">
        <w:t xml:space="preserve"> </w:t>
      </w:r>
      <w:r w:rsidR="00A934DA" w:rsidRPr="002056F2">
        <w:t>(</w:t>
      </w:r>
      <w:proofErr w:type="spellStart"/>
      <w:r w:rsidR="00A934DA" w:rsidRPr="0084040C">
        <w:t>CEDnr</w:t>
      </w:r>
      <w:proofErr w:type="spellEnd"/>
      <w:r w:rsidR="00A934DA" w:rsidRPr="002056F2">
        <w:t>)</w:t>
      </w:r>
      <w:r w:rsidR="00A934DA">
        <w:t xml:space="preserve"> </w:t>
      </w:r>
      <w:r w:rsidR="00D227E7">
        <w:t>consumed</w:t>
      </w:r>
      <w:r w:rsidR="00F26AF8">
        <w:t xml:space="preserve"> </w:t>
      </w:r>
      <w:r w:rsidR="00D227E7">
        <w:t>is</w:t>
      </w:r>
      <w:r w:rsidR="00EE5B49">
        <w:t xml:space="preserve"> </w:t>
      </w:r>
      <w:r w:rsidR="00F26AF8" w:rsidRPr="00F26AF8">
        <w:t>calculated</w:t>
      </w:r>
      <w:r w:rsidR="00F5435C">
        <w:t xml:space="preserve">. </w:t>
      </w:r>
      <w:r w:rsidR="008D1A4A">
        <w:rPr>
          <w:lang w:val="en-GB"/>
        </w:rPr>
        <w:t>T</w:t>
      </w:r>
      <w:r w:rsidR="00004D40">
        <w:rPr>
          <w:lang w:val="en-GB"/>
        </w:rPr>
        <w:t>he ELCC is calculated</w:t>
      </w:r>
      <w:r w:rsidR="00C253E6">
        <w:rPr>
          <w:lang w:val="en-GB"/>
        </w:rPr>
        <w:t xml:space="preserve"> as equation 1</w:t>
      </w:r>
      <w:r w:rsidR="00004D40">
        <w:rPr>
          <w:lang w:val="en-GB"/>
        </w:rPr>
        <w:t xml:space="preserve"> </w:t>
      </w:r>
      <w:r w:rsidR="004419A6">
        <w:rPr>
          <w:lang w:val="en-GB"/>
        </w:rPr>
        <w:t xml:space="preserve">by </w:t>
      </w:r>
      <w:r w:rsidR="0074460A">
        <w:rPr>
          <w:lang w:val="en-GB"/>
        </w:rPr>
        <w:t>summ</w:t>
      </w:r>
      <w:r w:rsidR="0080464E">
        <w:rPr>
          <w:lang w:val="en-GB"/>
        </w:rPr>
        <w:t>a</w:t>
      </w:r>
      <w:r w:rsidR="0074460A">
        <w:rPr>
          <w:lang w:val="en-GB"/>
        </w:rPr>
        <w:t>ri</w:t>
      </w:r>
      <w:r w:rsidR="00552DA2">
        <w:rPr>
          <w:lang w:val="en-GB"/>
        </w:rPr>
        <w:t>s</w:t>
      </w:r>
      <w:r w:rsidR="0074460A">
        <w:rPr>
          <w:lang w:val="en-GB"/>
        </w:rPr>
        <w:t>ing two</w:t>
      </w:r>
      <w:r w:rsidR="0009285F" w:rsidRPr="0009285F">
        <w:rPr>
          <w:lang w:val="en-GB"/>
        </w:rPr>
        <w:t xml:space="preserve"> </w:t>
      </w:r>
      <w:r w:rsidR="0009285F">
        <w:rPr>
          <w:lang w:val="en-GB"/>
        </w:rPr>
        <w:t>values</w:t>
      </w:r>
      <w:r>
        <w:rPr>
          <w:lang w:val="en-GB"/>
        </w:rPr>
        <w:t xml:space="preserve">: </w:t>
      </w:r>
      <w:r w:rsidR="00D01CEF">
        <w:rPr>
          <w:lang w:val="en-GB"/>
        </w:rPr>
        <w:t>1) the life cycle costs (</w:t>
      </w:r>
      <w:r w:rsidR="00004D40" w:rsidRPr="00AA43C8">
        <w:rPr>
          <w:i/>
          <w:iCs/>
          <w:lang w:val="en-GB"/>
        </w:rPr>
        <w:t>LCC</w:t>
      </w:r>
      <w:r w:rsidR="00D01CEF">
        <w:rPr>
          <w:i/>
          <w:iCs/>
          <w:lang w:val="en-GB"/>
        </w:rPr>
        <w:t>)</w:t>
      </w:r>
      <w:r w:rsidR="00004D40">
        <w:rPr>
          <w:i/>
          <w:iCs/>
          <w:vertAlign w:val="subscript"/>
          <w:lang w:val="en-GB"/>
        </w:rPr>
        <w:t xml:space="preserve"> </w:t>
      </w:r>
      <w:r w:rsidR="008D2B48">
        <w:rPr>
          <w:lang w:val="en-GB"/>
        </w:rPr>
        <w:t xml:space="preserve">of each component </w:t>
      </w:r>
      <w:r w:rsidR="00004D40">
        <w:rPr>
          <w:lang w:val="en-GB"/>
        </w:rPr>
        <w:t>and</w:t>
      </w:r>
      <w:r w:rsidR="005808F2">
        <w:rPr>
          <w:lang w:val="en-GB"/>
        </w:rPr>
        <w:t xml:space="preserve"> </w:t>
      </w:r>
      <w:r w:rsidR="00A85420">
        <w:rPr>
          <w:lang w:val="en-GB"/>
        </w:rPr>
        <w:t xml:space="preserve">2) the </w:t>
      </w:r>
      <w:r w:rsidR="005808F2">
        <w:rPr>
          <w:lang w:val="en-GB"/>
        </w:rPr>
        <w:t>environmental price (</w:t>
      </w:r>
      <w:r w:rsidR="00004D40" w:rsidRPr="00AD5019">
        <w:rPr>
          <w:i/>
          <w:iCs/>
          <w:lang w:val="en-GB"/>
        </w:rPr>
        <w:t>EP</w:t>
      </w:r>
      <w:r w:rsidR="005808F2" w:rsidRPr="005808F2">
        <w:rPr>
          <w:i/>
          <w:iCs/>
          <w:lang w:val="en-GB"/>
        </w:rPr>
        <w:t>)</w:t>
      </w:r>
      <w:r w:rsidR="002576B7">
        <w:rPr>
          <w:lang w:val="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7"/>
        <w:gridCol w:w="1273"/>
      </w:tblGrid>
      <w:tr w:rsidR="004204D9" w:rsidRPr="004204D9" w14:paraId="0AE29C65" w14:textId="77777777" w:rsidTr="004204D9">
        <w:trPr>
          <w:trHeight w:val="20"/>
        </w:trPr>
        <w:tc>
          <w:tcPr>
            <w:tcW w:w="5917" w:type="dxa"/>
            <w:vAlign w:val="center"/>
          </w:tcPr>
          <w:p w14:paraId="4C5AC0F5" w14:textId="77777777" w:rsidR="004204D9" w:rsidRPr="004204D9" w:rsidRDefault="004204D9" w:rsidP="004204D9">
            <w:pPr>
              <w:widowControl w:val="0"/>
              <w:jc w:val="center"/>
              <w:rPr>
                <w:sz w:val="20"/>
                <w:szCs w:val="16"/>
                <w:lang w:val="en-GB"/>
              </w:rPr>
            </w:pPr>
            <m:oMathPara>
              <m:oMath>
                <m:r>
                  <w:rPr>
                    <w:rFonts w:ascii="Cambria Math" w:hAnsi="Cambria Math"/>
                    <w:i/>
                    <w:noProof/>
                    <w:sz w:val="20"/>
                    <w:szCs w:val="16"/>
                    <w:lang w:val="en-GB"/>
                  </w:rPr>
                  <w:drawing>
                    <wp:inline distT="0" distB="0" distL="0" distR="0" wp14:anchorId="32967D4C" wp14:editId="3F282D34">
                      <wp:extent cx="2098675" cy="248285"/>
                      <wp:effectExtent l="0" t="0" r="0" b="0"/>
                      <wp:docPr id="48" name="Picture 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675" cy="248285"/>
                              </a:xfrm>
                              <a:prstGeom prst="rect">
                                <a:avLst/>
                              </a:prstGeom>
                              <a:noFill/>
                              <a:ln>
                                <a:noFill/>
                              </a:ln>
                            </pic:spPr>
                          </pic:pic>
                        </a:graphicData>
                      </a:graphic>
                    </wp:inline>
                  </w:drawing>
                </m:r>
              </m:oMath>
            </m:oMathPara>
          </w:p>
        </w:tc>
        <w:tc>
          <w:tcPr>
            <w:tcW w:w="1273" w:type="dxa"/>
            <w:vAlign w:val="center"/>
          </w:tcPr>
          <w:p w14:paraId="50A95304" w14:textId="77777777" w:rsidR="004204D9" w:rsidRPr="004204D9" w:rsidRDefault="004204D9" w:rsidP="004204D9">
            <w:pPr>
              <w:widowControl w:val="0"/>
              <w:jc w:val="center"/>
              <w:rPr>
                <w:sz w:val="20"/>
                <w:szCs w:val="16"/>
                <w:lang w:val="en-GB"/>
              </w:rPr>
            </w:pPr>
            <w:r w:rsidRPr="004204D9">
              <w:rPr>
                <w:sz w:val="20"/>
                <w:szCs w:val="16"/>
              </w:rPr>
              <w:t>(1)</w:t>
            </w:r>
          </w:p>
        </w:tc>
      </w:tr>
    </w:tbl>
    <w:p w14:paraId="12846D68" w14:textId="61CF1FE3" w:rsidR="00004D40" w:rsidRDefault="008D1A4A" w:rsidP="000B363E">
      <w:pPr>
        <w:widowControl w:val="0"/>
      </w:pPr>
      <w:r>
        <w:rPr>
          <w:lang w:val="en-GB"/>
        </w:rPr>
        <w:t>T</w:t>
      </w:r>
      <w:r w:rsidR="00004D40">
        <w:rPr>
          <w:lang w:val="en-GB"/>
        </w:rPr>
        <w:t xml:space="preserve">he first </w:t>
      </w:r>
      <w:r w:rsidR="00FA5A1A">
        <w:rPr>
          <w:lang w:val="en-GB"/>
        </w:rPr>
        <w:t>is</w:t>
      </w:r>
      <w:r w:rsidR="00004D40">
        <w:rPr>
          <w:lang w:val="en-GB"/>
        </w:rPr>
        <w:t xml:space="preserve"> based on primary data provided by the ELETTRORIGENERA project</w:t>
      </w:r>
      <w:r w:rsidR="00C40CC0">
        <w:rPr>
          <w:lang w:val="en-GB"/>
        </w:rPr>
        <w:t>'</w:t>
      </w:r>
      <w:r w:rsidR="00004D40">
        <w:rPr>
          <w:lang w:val="en-GB"/>
        </w:rPr>
        <w:t>s partner</w:t>
      </w:r>
      <w:r w:rsidR="00BF0974">
        <w:rPr>
          <w:lang w:val="en-GB"/>
        </w:rPr>
        <w:t>s</w:t>
      </w:r>
      <w:r w:rsidR="00840DF8">
        <w:rPr>
          <w:lang w:val="en-GB"/>
        </w:rPr>
        <w:t>, including materials and manufacturing costs</w:t>
      </w:r>
      <w:r>
        <w:rPr>
          <w:lang w:val="en-GB"/>
        </w:rPr>
        <w:t>;</w:t>
      </w:r>
      <w:r w:rsidR="00004D40">
        <w:rPr>
          <w:lang w:val="en-GB"/>
        </w:rPr>
        <w:t xml:space="preserve"> t</w:t>
      </w:r>
      <w:r w:rsidR="00004D40" w:rsidRPr="00905C62">
        <w:t>h</w:t>
      </w:r>
      <w:r w:rsidR="00004D40">
        <w:t xml:space="preserve">e latter is calculated </w:t>
      </w:r>
      <w:r w:rsidR="00556CB3">
        <w:t xml:space="preserve">by </w:t>
      </w:r>
      <w:r w:rsidR="00EA5EB4">
        <w:t>applying</w:t>
      </w:r>
      <w:r w:rsidR="00004D40">
        <w:t xml:space="preserve"> the </w:t>
      </w:r>
      <w:r w:rsidR="00004D40" w:rsidRPr="00905C62">
        <w:t>Environmental prices m</w:t>
      </w:r>
      <w:r w:rsidR="00004D40">
        <w:t>e</w:t>
      </w:r>
      <w:r w:rsidR="00004D40" w:rsidRPr="00905C62">
        <w:t xml:space="preserve">thod </w:t>
      </w:r>
      <w:r w:rsidR="008E4367">
        <w:fldChar w:fldCharType="begin" w:fldLock="1"/>
      </w:r>
      <w:r w:rsidR="008E4367">
        <w:instrText>ADDIN CSL_CITATION {"citationItems":[{"id":"ITEM-1","itemData":{"abstract":"Publication code: 18.7N54.125 Appraise / Evironment / Effects / Emissions / Economic factors / Measuring methode © Copyright, CE Delft, Delft CE Delft Committed to the Environment Through its independent research and consultancy work CE Delft is helping build a sustainable world. In the fields of energy, transport and resources our expertise is leading-edge. With our wealth of know-how on technologies, policies and economic issues we support government agencies, NGOs and industries in pursuit of structural change. For 40 years now, the skills and enthusiasm of CE Delft's staff have been devoted to achieving this mission.","author":[{"dropping-particle":"","family":"Bruyn","given":"Sander","non-dropping-particle":"De","parse-names":false,"suffix":""},{"dropping-particle":"","family":"Bijleveld","given":"Marijn","non-dropping-particle":"","parse-names":false,"suffix":""},{"dropping-particle":"","family":"Graaff","given":"Lonneke","non-dropping-particle":"De","parse-names":false,"suffix":""},{"dropping-particle":"","family":"Schep","given":"Ellen","non-dropping-particle":"","parse-names":false,"suffix":""},{"dropping-particle":"","family":"Schroten","given":"Arno","non-dropping-particle":"","parse-names":false,"suffix":""},{"dropping-particle":"","family":"Vergeer","given":"Robert","non-dropping-particle":"","parse-names":false,"suffix":""},{"dropping-particle":"","family":"Ahdour","given":"Saliha","non-dropping-particle":"","parse-names":false,"suffix":""}],"id":"ITEM-1","issued":{"date-parts":[["2018"]]},"title":"Environmental Prices Handbook EU28 versionN54-Environmental Prices Handbook Environmental Prices Handbook EU28 version","type":"article-journal"},"uris":["http://www.mendeley.com/documents/?uuid=639fbb44-a70c-3056-8461-6a96c9f9b4f5"]}],"mendeley":{"formattedCitation":"(De Bruyn et al., 2018)","plainTextFormattedCitation":"(De Bruyn et al., 2018)","previouslyFormattedCitation":"(De Bruyn et al., 2018)"},"properties":{"noteIndex":0},"schema":"https://github.com/citation-style-language/schema/raw/master/csl-citation.json"}</w:instrText>
      </w:r>
      <w:r w:rsidR="008E4367">
        <w:fldChar w:fldCharType="separate"/>
      </w:r>
      <w:r w:rsidR="008E4367" w:rsidRPr="003727C7">
        <w:rPr>
          <w:noProof/>
        </w:rPr>
        <w:t>(De Bruyn et al., 2018)</w:t>
      </w:r>
      <w:r w:rsidR="008E4367">
        <w:fldChar w:fldCharType="end"/>
      </w:r>
      <w:r w:rsidR="005454AF">
        <w:t>,</w:t>
      </w:r>
      <w:r w:rsidR="00EA5EB4">
        <w:t xml:space="preserve"> </w:t>
      </w:r>
      <w:r w:rsidR="005454AF">
        <w:t>which</w:t>
      </w:r>
      <w:r w:rsidR="00EA5EB4">
        <w:t xml:space="preserve"> includ</w:t>
      </w:r>
      <w:r w:rsidR="005454AF">
        <w:t>es</w:t>
      </w:r>
      <w:r w:rsidR="00EA5EB4">
        <w:t xml:space="preserve"> t</w:t>
      </w:r>
      <w:r w:rsidR="008E4367">
        <w:t xml:space="preserve">he </w:t>
      </w:r>
      <w:r w:rsidR="00F933E7">
        <w:t>average European</w:t>
      </w:r>
      <w:r w:rsidR="006D1ED4">
        <w:t xml:space="preserve"> </w:t>
      </w:r>
      <w:r w:rsidR="00004D40" w:rsidRPr="003C0B17">
        <w:t xml:space="preserve">prices for the </w:t>
      </w:r>
      <w:r w:rsidR="00004D40" w:rsidRPr="00FC7987">
        <w:t>social cost of pollution</w:t>
      </w:r>
      <w:r w:rsidR="008E4367">
        <w:t xml:space="preserve"> expressed in Euros per kilogram</w:t>
      </w:r>
      <w:r w:rsidR="006D1ED4">
        <w:t xml:space="preserve"> of</w:t>
      </w:r>
      <w:r w:rsidR="008E4367">
        <w:t xml:space="preserve"> pollutant</w:t>
      </w:r>
      <w:r w:rsidR="00004D40" w:rsidRPr="00FC7987">
        <w:t>.</w:t>
      </w:r>
    </w:p>
    <w:p w14:paraId="5E0148E4" w14:textId="29D2C6B7" w:rsidR="00A642FF" w:rsidRDefault="00BA5CC6" w:rsidP="000B363E">
      <w:pPr>
        <w:pStyle w:val="Titolo1"/>
        <w:keepNext w:val="0"/>
        <w:widowControl w:val="0"/>
      </w:pPr>
      <w:r>
        <w:t>Results and discussion</w:t>
      </w:r>
    </w:p>
    <w:p w14:paraId="42E1FB10" w14:textId="7DAA448D" w:rsidR="00886B61" w:rsidRDefault="00A37809" w:rsidP="000B363E">
      <w:pPr>
        <w:widowControl w:val="0"/>
      </w:pPr>
      <w:r>
        <w:t>The</w:t>
      </w:r>
      <w:r w:rsidR="00D93E38">
        <w:t xml:space="preserve"> </w:t>
      </w:r>
      <w:r w:rsidR="00217E2F">
        <w:t xml:space="preserve">environmental, energy and economic </w:t>
      </w:r>
      <w:r w:rsidR="00F933E7">
        <w:t xml:space="preserve">results </w:t>
      </w:r>
      <w:r w:rsidR="00217E2F">
        <w:t>are</w:t>
      </w:r>
      <w:r w:rsidR="00886B61">
        <w:t xml:space="preserve"> reported</w:t>
      </w:r>
      <w:r>
        <w:t xml:space="preserve"> in Table 2</w:t>
      </w:r>
      <w:r w:rsidR="00886B61">
        <w:t>.</w:t>
      </w:r>
    </w:p>
    <w:p w14:paraId="028FB0EC" w14:textId="77777777" w:rsidR="006F75B0" w:rsidRDefault="006F75B0" w:rsidP="000B363E">
      <w:pPr>
        <w:widowControl w:val="0"/>
      </w:pPr>
    </w:p>
    <w:p w14:paraId="080BB7B0" w14:textId="0814CAA4" w:rsidR="00143BCD" w:rsidRDefault="009F05DF" w:rsidP="00002AFE">
      <w:pPr>
        <w:pStyle w:val="Didascalia"/>
        <w:widowControl w:val="0"/>
        <w:ind w:left="709" w:right="254"/>
      </w:pPr>
      <w:r>
        <w:t xml:space="preserve">Table </w:t>
      </w:r>
      <w:fldSimple w:instr=" SEQ Table \* ARABIC ">
        <w:r w:rsidR="00545A45">
          <w:rPr>
            <w:noProof/>
          </w:rPr>
          <w:t>2</w:t>
        </w:r>
      </w:fldSimple>
      <w:r w:rsidR="000A37F0">
        <w:t>.</w:t>
      </w:r>
      <w:r>
        <w:t xml:space="preserve"> </w:t>
      </w:r>
      <w:r w:rsidR="00F31D50" w:rsidRPr="00F31D50">
        <w:t>Environmental</w:t>
      </w:r>
      <w:r w:rsidR="00484D1B">
        <w:t>, energy and economic</w:t>
      </w:r>
      <w:r w:rsidR="00F31D50" w:rsidRPr="00F31D50">
        <w:t xml:space="preserve"> impacts of </w:t>
      </w:r>
      <w:r w:rsidR="00484D1B">
        <w:t>the PEM-URFC stack</w:t>
      </w:r>
    </w:p>
    <w:tbl>
      <w:tblPr>
        <w:tblStyle w:val="Tabellasemplice-2"/>
        <w:tblW w:w="0" w:type="auto"/>
        <w:jc w:val="center"/>
        <w:tblLook w:val="06A0" w:firstRow="1" w:lastRow="0" w:firstColumn="1" w:lastColumn="0" w:noHBand="1" w:noVBand="1"/>
      </w:tblPr>
      <w:tblGrid>
        <w:gridCol w:w="2706"/>
        <w:gridCol w:w="980"/>
        <w:gridCol w:w="993"/>
        <w:gridCol w:w="992"/>
      </w:tblGrid>
      <w:tr w:rsidR="00300EAB" w:rsidRPr="005305CB" w14:paraId="0E92C2A7" w14:textId="77777777" w:rsidTr="004204D9">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686" w:type="dxa"/>
            <w:gridSpan w:val="2"/>
            <w:tcBorders>
              <w:top w:val="single" w:sz="4" w:space="0" w:color="7F7F7F" w:themeColor="text1" w:themeTint="80"/>
              <w:bottom w:val="single" w:sz="4" w:space="0" w:color="auto"/>
            </w:tcBorders>
            <w:vAlign w:val="center"/>
          </w:tcPr>
          <w:p w14:paraId="5CA44740" w14:textId="22A6BCB7" w:rsidR="00300EAB" w:rsidRPr="005305CB" w:rsidRDefault="00300EAB" w:rsidP="000B363E">
            <w:pPr>
              <w:pStyle w:val="table0"/>
              <w:widowControl w:val="0"/>
            </w:pPr>
            <w:r w:rsidRPr="005305CB">
              <w:t>Impact categories</w:t>
            </w:r>
          </w:p>
        </w:tc>
        <w:tc>
          <w:tcPr>
            <w:tcW w:w="993" w:type="dxa"/>
            <w:tcBorders>
              <w:top w:val="single" w:sz="4" w:space="0" w:color="7F7F7F" w:themeColor="text1" w:themeTint="80"/>
              <w:bottom w:val="single" w:sz="4" w:space="0" w:color="auto"/>
            </w:tcBorders>
            <w:noWrap/>
            <w:vAlign w:val="center"/>
            <w:hideMark/>
          </w:tcPr>
          <w:p w14:paraId="254E55A4" w14:textId="77777777" w:rsidR="00300EAB" w:rsidRPr="005305CB" w:rsidRDefault="00300EAB" w:rsidP="000B363E">
            <w:pPr>
              <w:pStyle w:val="table0"/>
              <w:widowControl w:val="0"/>
              <w:jc w:val="left"/>
              <w:cnfStyle w:val="100000000000" w:firstRow="1" w:lastRow="0" w:firstColumn="0" w:lastColumn="0" w:oddVBand="0" w:evenVBand="0" w:oddHBand="0" w:evenHBand="0" w:firstRowFirstColumn="0" w:firstRowLastColumn="0" w:lastRowFirstColumn="0" w:lastRowLastColumn="0"/>
            </w:pPr>
            <w:r w:rsidRPr="005305CB">
              <w:t>Units</w:t>
            </w:r>
          </w:p>
        </w:tc>
        <w:tc>
          <w:tcPr>
            <w:tcW w:w="992" w:type="dxa"/>
            <w:tcBorders>
              <w:top w:val="single" w:sz="4" w:space="0" w:color="7F7F7F" w:themeColor="text1" w:themeTint="80"/>
              <w:bottom w:val="single" w:sz="4" w:space="0" w:color="auto"/>
            </w:tcBorders>
            <w:noWrap/>
            <w:vAlign w:val="center"/>
            <w:hideMark/>
          </w:tcPr>
          <w:p w14:paraId="493843ED" w14:textId="77777777" w:rsidR="00300EAB" w:rsidRPr="005305CB" w:rsidRDefault="00300EAB" w:rsidP="000B363E">
            <w:pPr>
              <w:pStyle w:val="table0"/>
              <w:widowControl w:val="0"/>
              <w:jc w:val="left"/>
              <w:cnfStyle w:val="100000000000" w:firstRow="1" w:lastRow="0" w:firstColumn="0" w:lastColumn="0" w:oddVBand="0" w:evenVBand="0" w:oddHBand="0" w:evenHBand="0" w:firstRowFirstColumn="0" w:firstRowLastColumn="0" w:lastRowFirstColumn="0" w:lastRowLastColumn="0"/>
            </w:pPr>
            <w:r w:rsidRPr="005305CB">
              <w:t>Values</w:t>
            </w:r>
          </w:p>
        </w:tc>
      </w:tr>
      <w:tr w:rsidR="003A0E14" w:rsidRPr="005305CB" w14:paraId="5FE08B29" w14:textId="77777777" w:rsidTr="004204D9">
        <w:trPr>
          <w:trHeight w:val="144"/>
          <w:jc w:val="center"/>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tcBorders>
            <w:vAlign w:val="center"/>
          </w:tcPr>
          <w:p w14:paraId="2918F7C9" w14:textId="1C38BFEC" w:rsidR="003A0E14" w:rsidRPr="00FA1006" w:rsidRDefault="003A0E14" w:rsidP="003A0E14">
            <w:pPr>
              <w:pStyle w:val="table0"/>
              <w:widowControl w:val="0"/>
              <w:jc w:val="left"/>
              <w:rPr>
                <w:b w:val="0"/>
                <w:bCs w:val="0"/>
              </w:rPr>
            </w:pPr>
            <w:proofErr w:type="spellStart"/>
            <w:r w:rsidRPr="00863366">
              <w:rPr>
                <w:i/>
                <w:iCs/>
              </w:rPr>
              <w:t>Emvironmental</w:t>
            </w:r>
            <w:proofErr w:type="spellEnd"/>
            <w:r w:rsidRPr="00863366">
              <w:rPr>
                <w:i/>
                <w:iCs/>
              </w:rPr>
              <w:t xml:space="preserve"> impacts</w:t>
            </w:r>
          </w:p>
        </w:tc>
        <w:tc>
          <w:tcPr>
            <w:tcW w:w="0" w:type="dxa"/>
            <w:tcBorders>
              <w:top w:val="single" w:sz="4" w:space="0" w:color="auto"/>
            </w:tcBorders>
            <w:noWrap/>
            <w:vAlign w:val="center"/>
            <w:hideMark/>
          </w:tcPr>
          <w:p w14:paraId="2F423532" w14:textId="2150855D" w:rsidR="003A0E14" w:rsidRPr="00FA1006"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rPr>
                <w:b/>
                <w:bCs/>
              </w:rPr>
            </w:pPr>
            <w:r w:rsidRPr="00FA1006">
              <w:rPr>
                <w:b/>
                <w:bCs/>
              </w:rPr>
              <w:t xml:space="preserve">ADP </w:t>
            </w:r>
          </w:p>
        </w:tc>
        <w:tc>
          <w:tcPr>
            <w:tcW w:w="0" w:type="dxa"/>
            <w:tcBorders>
              <w:top w:val="single" w:sz="4" w:space="0" w:color="auto"/>
            </w:tcBorders>
            <w:noWrap/>
            <w:vAlign w:val="center"/>
            <w:hideMark/>
          </w:tcPr>
          <w:p w14:paraId="19FF7F4E"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 xml:space="preserve">kg Sb </w:t>
            </w:r>
            <w:r w:rsidRPr="00143BCD">
              <w:rPr>
                <w:vertAlign w:val="subscript"/>
              </w:rPr>
              <w:t>eq</w:t>
            </w:r>
          </w:p>
        </w:tc>
        <w:tc>
          <w:tcPr>
            <w:tcW w:w="0" w:type="dxa"/>
            <w:tcBorders>
              <w:top w:val="single" w:sz="4" w:space="0" w:color="auto"/>
            </w:tcBorders>
            <w:noWrap/>
            <w:vAlign w:val="center"/>
            <w:hideMark/>
          </w:tcPr>
          <w:p w14:paraId="79C39964"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2.63E-02</w:t>
            </w:r>
          </w:p>
        </w:tc>
      </w:tr>
      <w:tr w:rsidR="003A0E14" w:rsidRPr="005305CB" w14:paraId="4969F4C5" w14:textId="77777777" w:rsidTr="004204D9">
        <w:trPr>
          <w:trHeight w:val="144"/>
          <w:jc w:val="center"/>
        </w:trPr>
        <w:tc>
          <w:tcPr>
            <w:cnfStyle w:val="001000000000" w:firstRow="0" w:lastRow="0" w:firstColumn="1" w:lastColumn="0" w:oddVBand="0" w:evenVBand="0" w:oddHBand="0" w:evenHBand="0" w:firstRowFirstColumn="0" w:firstRowLastColumn="0" w:lastRowFirstColumn="0" w:lastRowLastColumn="0"/>
            <w:tcW w:w="2706" w:type="dxa"/>
            <w:vMerge/>
          </w:tcPr>
          <w:p w14:paraId="616238BD" w14:textId="77777777" w:rsidR="003A0E14" w:rsidRPr="00FA1006" w:rsidRDefault="003A0E14" w:rsidP="000B363E">
            <w:pPr>
              <w:pStyle w:val="table0"/>
              <w:widowControl w:val="0"/>
              <w:jc w:val="left"/>
              <w:rPr>
                <w:b w:val="0"/>
                <w:bCs w:val="0"/>
              </w:rPr>
            </w:pPr>
          </w:p>
        </w:tc>
        <w:tc>
          <w:tcPr>
            <w:tcW w:w="980" w:type="dxa"/>
            <w:noWrap/>
            <w:vAlign w:val="center"/>
            <w:hideMark/>
          </w:tcPr>
          <w:p w14:paraId="44478B39" w14:textId="34BA1271" w:rsidR="003A0E14" w:rsidRPr="00FA1006"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rPr>
                <w:b/>
                <w:bCs/>
              </w:rPr>
            </w:pPr>
            <w:r w:rsidRPr="00FA1006">
              <w:rPr>
                <w:b/>
                <w:bCs/>
              </w:rPr>
              <w:t xml:space="preserve">AP </w:t>
            </w:r>
          </w:p>
        </w:tc>
        <w:tc>
          <w:tcPr>
            <w:tcW w:w="993" w:type="dxa"/>
            <w:noWrap/>
            <w:vAlign w:val="center"/>
            <w:hideMark/>
          </w:tcPr>
          <w:p w14:paraId="07B4CFB2"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kg SO</w:t>
            </w:r>
            <w:r w:rsidRPr="00143BCD">
              <w:rPr>
                <w:vertAlign w:val="subscript"/>
              </w:rPr>
              <w:t>2 eq</w:t>
            </w:r>
          </w:p>
        </w:tc>
        <w:tc>
          <w:tcPr>
            <w:tcW w:w="992" w:type="dxa"/>
            <w:noWrap/>
            <w:vAlign w:val="center"/>
            <w:hideMark/>
          </w:tcPr>
          <w:p w14:paraId="3E9085CE"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3.00E+01</w:t>
            </w:r>
          </w:p>
        </w:tc>
      </w:tr>
      <w:tr w:rsidR="003A0E14" w:rsidRPr="005305CB" w14:paraId="44A0237D" w14:textId="77777777" w:rsidTr="004204D9">
        <w:trPr>
          <w:trHeight w:val="144"/>
          <w:jc w:val="center"/>
        </w:trPr>
        <w:tc>
          <w:tcPr>
            <w:cnfStyle w:val="001000000000" w:firstRow="0" w:lastRow="0" w:firstColumn="1" w:lastColumn="0" w:oddVBand="0" w:evenVBand="0" w:oddHBand="0" w:evenHBand="0" w:firstRowFirstColumn="0" w:firstRowLastColumn="0" w:lastRowFirstColumn="0" w:lastRowLastColumn="0"/>
            <w:tcW w:w="2706" w:type="dxa"/>
            <w:vMerge/>
          </w:tcPr>
          <w:p w14:paraId="562E1B0F" w14:textId="77777777" w:rsidR="003A0E14" w:rsidRPr="00FA1006" w:rsidRDefault="003A0E14" w:rsidP="000B363E">
            <w:pPr>
              <w:pStyle w:val="table0"/>
              <w:widowControl w:val="0"/>
              <w:jc w:val="left"/>
              <w:rPr>
                <w:b w:val="0"/>
                <w:bCs w:val="0"/>
              </w:rPr>
            </w:pPr>
          </w:p>
        </w:tc>
        <w:tc>
          <w:tcPr>
            <w:tcW w:w="980" w:type="dxa"/>
            <w:noWrap/>
            <w:vAlign w:val="center"/>
            <w:hideMark/>
          </w:tcPr>
          <w:p w14:paraId="00E0079B" w14:textId="10BDA34A" w:rsidR="003A0E14" w:rsidRPr="00FA1006"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rPr>
                <w:b/>
                <w:bCs/>
              </w:rPr>
            </w:pPr>
            <w:r w:rsidRPr="00FA1006">
              <w:rPr>
                <w:b/>
                <w:bCs/>
              </w:rPr>
              <w:t xml:space="preserve">GWP </w:t>
            </w:r>
          </w:p>
        </w:tc>
        <w:tc>
          <w:tcPr>
            <w:tcW w:w="993" w:type="dxa"/>
            <w:noWrap/>
            <w:vAlign w:val="center"/>
            <w:hideMark/>
          </w:tcPr>
          <w:p w14:paraId="2D907736"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kg CO</w:t>
            </w:r>
            <w:r w:rsidRPr="00143BCD">
              <w:rPr>
                <w:vertAlign w:val="subscript"/>
              </w:rPr>
              <w:t>2 eq</w:t>
            </w:r>
          </w:p>
        </w:tc>
        <w:tc>
          <w:tcPr>
            <w:tcW w:w="992" w:type="dxa"/>
            <w:noWrap/>
            <w:vAlign w:val="center"/>
            <w:hideMark/>
          </w:tcPr>
          <w:p w14:paraId="1A3A2B69"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6.19E+02</w:t>
            </w:r>
          </w:p>
        </w:tc>
      </w:tr>
      <w:tr w:rsidR="003A0E14" w:rsidRPr="005305CB" w14:paraId="055FB8B9" w14:textId="77777777" w:rsidTr="004204D9">
        <w:trPr>
          <w:trHeight w:val="144"/>
          <w:jc w:val="center"/>
        </w:trPr>
        <w:tc>
          <w:tcPr>
            <w:cnfStyle w:val="001000000000" w:firstRow="0" w:lastRow="0" w:firstColumn="1" w:lastColumn="0" w:oddVBand="0" w:evenVBand="0" w:oddHBand="0" w:evenHBand="0" w:firstRowFirstColumn="0" w:firstRowLastColumn="0" w:lastRowFirstColumn="0" w:lastRowLastColumn="0"/>
            <w:tcW w:w="2706" w:type="dxa"/>
            <w:vMerge/>
          </w:tcPr>
          <w:p w14:paraId="596FFE5F" w14:textId="77777777" w:rsidR="003A0E14" w:rsidRPr="00FA1006" w:rsidRDefault="003A0E14" w:rsidP="000B363E">
            <w:pPr>
              <w:pStyle w:val="table0"/>
              <w:widowControl w:val="0"/>
              <w:jc w:val="left"/>
              <w:rPr>
                <w:b w:val="0"/>
                <w:bCs w:val="0"/>
              </w:rPr>
            </w:pPr>
          </w:p>
        </w:tc>
        <w:tc>
          <w:tcPr>
            <w:tcW w:w="980" w:type="dxa"/>
            <w:noWrap/>
            <w:vAlign w:val="center"/>
            <w:hideMark/>
          </w:tcPr>
          <w:p w14:paraId="4E7E476A" w14:textId="503697F2" w:rsidR="003A0E14" w:rsidRPr="00FA1006"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rPr>
                <w:b/>
                <w:bCs/>
              </w:rPr>
            </w:pPr>
            <w:r w:rsidRPr="00FA1006">
              <w:rPr>
                <w:b/>
                <w:bCs/>
              </w:rPr>
              <w:t xml:space="preserve">NP </w:t>
            </w:r>
          </w:p>
        </w:tc>
        <w:tc>
          <w:tcPr>
            <w:tcW w:w="993" w:type="dxa"/>
            <w:noWrap/>
            <w:vAlign w:val="center"/>
            <w:hideMark/>
          </w:tcPr>
          <w:p w14:paraId="5D869D4D" w14:textId="70E6023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kg PO</w:t>
            </w:r>
            <w:r w:rsidRPr="00143BCD">
              <w:rPr>
                <w:vertAlign w:val="subscript"/>
              </w:rPr>
              <w:t>4</w:t>
            </w:r>
            <w:r w:rsidRPr="00143BCD">
              <w:rPr>
                <w:vertAlign w:val="superscript"/>
              </w:rPr>
              <w:t>3-</w:t>
            </w:r>
            <w:r w:rsidRPr="005305CB">
              <w:t xml:space="preserve"> </w:t>
            </w:r>
            <w:r w:rsidRPr="00143BCD">
              <w:rPr>
                <w:vertAlign w:val="subscript"/>
              </w:rPr>
              <w:t>eq</w:t>
            </w:r>
          </w:p>
        </w:tc>
        <w:tc>
          <w:tcPr>
            <w:tcW w:w="992" w:type="dxa"/>
            <w:noWrap/>
            <w:vAlign w:val="center"/>
            <w:hideMark/>
          </w:tcPr>
          <w:p w14:paraId="104D6D1D"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3.02E+00</w:t>
            </w:r>
          </w:p>
        </w:tc>
      </w:tr>
      <w:tr w:rsidR="003A0E14" w:rsidRPr="005305CB" w14:paraId="37EB7D32" w14:textId="77777777" w:rsidTr="004204D9">
        <w:trPr>
          <w:trHeight w:val="144"/>
          <w:jc w:val="center"/>
        </w:trPr>
        <w:tc>
          <w:tcPr>
            <w:cnfStyle w:val="001000000000" w:firstRow="0" w:lastRow="0" w:firstColumn="1" w:lastColumn="0" w:oddVBand="0" w:evenVBand="0" w:oddHBand="0" w:evenHBand="0" w:firstRowFirstColumn="0" w:firstRowLastColumn="0" w:lastRowFirstColumn="0" w:lastRowLastColumn="0"/>
            <w:tcW w:w="2706" w:type="dxa"/>
            <w:vMerge/>
            <w:tcBorders>
              <w:bottom w:val="single" w:sz="4" w:space="0" w:color="auto"/>
            </w:tcBorders>
          </w:tcPr>
          <w:p w14:paraId="339323F1" w14:textId="77777777" w:rsidR="003A0E14" w:rsidRPr="00FA1006" w:rsidRDefault="003A0E14" w:rsidP="000B363E">
            <w:pPr>
              <w:pStyle w:val="table0"/>
              <w:widowControl w:val="0"/>
              <w:jc w:val="left"/>
              <w:rPr>
                <w:b w:val="0"/>
                <w:bCs w:val="0"/>
              </w:rPr>
            </w:pPr>
          </w:p>
        </w:tc>
        <w:tc>
          <w:tcPr>
            <w:tcW w:w="980" w:type="dxa"/>
            <w:tcBorders>
              <w:bottom w:val="single" w:sz="4" w:space="0" w:color="auto"/>
            </w:tcBorders>
            <w:noWrap/>
            <w:vAlign w:val="center"/>
            <w:hideMark/>
          </w:tcPr>
          <w:p w14:paraId="443E33C0" w14:textId="62072772" w:rsidR="003A0E14" w:rsidRPr="00FA1006"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rPr>
                <w:b/>
                <w:bCs/>
              </w:rPr>
            </w:pPr>
            <w:r w:rsidRPr="00FA1006">
              <w:rPr>
                <w:b/>
                <w:bCs/>
              </w:rPr>
              <w:t xml:space="preserve">POF </w:t>
            </w:r>
          </w:p>
        </w:tc>
        <w:tc>
          <w:tcPr>
            <w:tcW w:w="993" w:type="dxa"/>
            <w:tcBorders>
              <w:bottom w:val="single" w:sz="4" w:space="0" w:color="auto"/>
            </w:tcBorders>
            <w:noWrap/>
            <w:vAlign w:val="center"/>
            <w:hideMark/>
          </w:tcPr>
          <w:p w14:paraId="21541C7A"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kg C</w:t>
            </w:r>
            <w:r w:rsidRPr="00143BCD">
              <w:rPr>
                <w:vertAlign w:val="subscript"/>
              </w:rPr>
              <w:t>2</w:t>
            </w:r>
            <w:r w:rsidRPr="005305CB">
              <w:t>H</w:t>
            </w:r>
            <w:r w:rsidRPr="00143BCD">
              <w:rPr>
                <w:vertAlign w:val="subscript"/>
              </w:rPr>
              <w:t>4 eq</w:t>
            </w:r>
          </w:p>
        </w:tc>
        <w:tc>
          <w:tcPr>
            <w:tcW w:w="992" w:type="dxa"/>
            <w:tcBorders>
              <w:bottom w:val="single" w:sz="4" w:space="0" w:color="auto"/>
            </w:tcBorders>
            <w:noWrap/>
            <w:vAlign w:val="center"/>
            <w:hideMark/>
          </w:tcPr>
          <w:p w14:paraId="32D531FD"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1.12E+00</w:t>
            </w:r>
          </w:p>
        </w:tc>
      </w:tr>
      <w:tr w:rsidR="003A0E14" w:rsidRPr="005305CB" w14:paraId="44E72837" w14:textId="77777777" w:rsidTr="004204D9">
        <w:trPr>
          <w:trHeight w:val="144"/>
          <w:jc w:val="center"/>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tcBorders>
            <w:vAlign w:val="center"/>
          </w:tcPr>
          <w:p w14:paraId="6BC9465A" w14:textId="2334011D" w:rsidR="003A0E14" w:rsidRPr="00FA1006" w:rsidRDefault="003A0E14" w:rsidP="003A0E14">
            <w:pPr>
              <w:pStyle w:val="table0"/>
              <w:widowControl w:val="0"/>
              <w:jc w:val="left"/>
              <w:rPr>
                <w:b w:val="0"/>
                <w:bCs w:val="0"/>
              </w:rPr>
            </w:pPr>
            <w:r w:rsidRPr="00863366">
              <w:rPr>
                <w:i/>
                <w:iCs/>
              </w:rPr>
              <w:t>Energy impacts</w:t>
            </w:r>
          </w:p>
        </w:tc>
        <w:tc>
          <w:tcPr>
            <w:tcW w:w="0" w:type="dxa"/>
            <w:tcBorders>
              <w:top w:val="single" w:sz="4" w:space="0" w:color="auto"/>
            </w:tcBorders>
            <w:noWrap/>
            <w:vAlign w:val="center"/>
            <w:hideMark/>
          </w:tcPr>
          <w:p w14:paraId="602EA92D" w14:textId="50FBED3E" w:rsidR="003A0E14" w:rsidRPr="00FA1006"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rPr>
                <w:b/>
                <w:bCs/>
              </w:rPr>
            </w:pPr>
            <w:proofErr w:type="spellStart"/>
            <w:r w:rsidRPr="00FA1006">
              <w:rPr>
                <w:b/>
                <w:bCs/>
              </w:rPr>
              <w:t>CEDnr</w:t>
            </w:r>
            <w:proofErr w:type="spellEnd"/>
            <w:r w:rsidRPr="00FA1006">
              <w:rPr>
                <w:b/>
                <w:bCs/>
              </w:rPr>
              <w:t xml:space="preserve"> </w:t>
            </w:r>
          </w:p>
        </w:tc>
        <w:tc>
          <w:tcPr>
            <w:tcW w:w="0" w:type="dxa"/>
            <w:tcBorders>
              <w:top w:val="single" w:sz="4" w:space="0" w:color="auto"/>
            </w:tcBorders>
            <w:noWrap/>
            <w:vAlign w:val="center"/>
            <w:hideMark/>
          </w:tcPr>
          <w:p w14:paraId="791CFE28"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MJ</w:t>
            </w:r>
          </w:p>
        </w:tc>
        <w:tc>
          <w:tcPr>
            <w:tcW w:w="0" w:type="dxa"/>
            <w:tcBorders>
              <w:top w:val="single" w:sz="4" w:space="0" w:color="auto"/>
            </w:tcBorders>
            <w:noWrap/>
            <w:vAlign w:val="center"/>
            <w:hideMark/>
          </w:tcPr>
          <w:p w14:paraId="684F4A6D"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8.74E+03</w:t>
            </w:r>
          </w:p>
        </w:tc>
      </w:tr>
      <w:tr w:rsidR="003A0E14" w:rsidRPr="005305CB" w14:paraId="1E003B2F" w14:textId="77777777" w:rsidTr="004204D9">
        <w:trPr>
          <w:trHeight w:val="144"/>
          <w:jc w:val="center"/>
        </w:trPr>
        <w:tc>
          <w:tcPr>
            <w:cnfStyle w:val="001000000000" w:firstRow="0" w:lastRow="0" w:firstColumn="1" w:lastColumn="0" w:oddVBand="0" w:evenVBand="0" w:oddHBand="0" w:evenHBand="0" w:firstRowFirstColumn="0" w:firstRowLastColumn="0" w:lastRowFirstColumn="0" w:lastRowLastColumn="0"/>
            <w:tcW w:w="2706" w:type="dxa"/>
            <w:vMerge/>
          </w:tcPr>
          <w:p w14:paraId="21619AB0" w14:textId="77777777" w:rsidR="003A0E14" w:rsidRPr="00FA1006" w:rsidRDefault="003A0E14" w:rsidP="000B363E">
            <w:pPr>
              <w:pStyle w:val="table0"/>
              <w:widowControl w:val="0"/>
              <w:jc w:val="left"/>
              <w:rPr>
                <w:b w:val="0"/>
                <w:bCs w:val="0"/>
              </w:rPr>
            </w:pPr>
          </w:p>
        </w:tc>
        <w:tc>
          <w:tcPr>
            <w:tcW w:w="980" w:type="dxa"/>
            <w:tcBorders>
              <w:bottom w:val="nil"/>
            </w:tcBorders>
            <w:noWrap/>
            <w:vAlign w:val="center"/>
            <w:hideMark/>
          </w:tcPr>
          <w:p w14:paraId="72FEA00B" w14:textId="247E6E7E" w:rsidR="003A0E14" w:rsidRPr="00FA1006"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rPr>
                <w:b/>
                <w:bCs/>
              </w:rPr>
            </w:pPr>
            <w:proofErr w:type="spellStart"/>
            <w:r w:rsidRPr="00FA1006">
              <w:rPr>
                <w:b/>
                <w:bCs/>
              </w:rPr>
              <w:t>CEDr</w:t>
            </w:r>
            <w:proofErr w:type="spellEnd"/>
            <w:r w:rsidRPr="00FA1006">
              <w:rPr>
                <w:b/>
                <w:bCs/>
              </w:rPr>
              <w:t xml:space="preserve"> </w:t>
            </w:r>
          </w:p>
        </w:tc>
        <w:tc>
          <w:tcPr>
            <w:tcW w:w="993" w:type="dxa"/>
            <w:tcBorders>
              <w:bottom w:val="nil"/>
            </w:tcBorders>
            <w:noWrap/>
            <w:vAlign w:val="center"/>
            <w:hideMark/>
          </w:tcPr>
          <w:p w14:paraId="2D4EAC93"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MJ</w:t>
            </w:r>
          </w:p>
        </w:tc>
        <w:tc>
          <w:tcPr>
            <w:tcW w:w="992" w:type="dxa"/>
            <w:tcBorders>
              <w:bottom w:val="nil"/>
            </w:tcBorders>
            <w:noWrap/>
            <w:vAlign w:val="center"/>
            <w:hideMark/>
          </w:tcPr>
          <w:p w14:paraId="3E3F5081"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3.87E+02</w:t>
            </w:r>
          </w:p>
        </w:tc>
      </w:tr>
      <w:tr w:rsidR="003A0E14" w:rsidRPr="005305CB" w14:paraId="51CD5655" w14:textId="77777777" w:rsidTr="004204D9">
        <w:trPr>
          <w:trHeight w:val="144"/>
          <w:jc w:val="center"/>
        </w:trPr>
        <w:tc>
          <w:tcPr>
            <w:cnfStyle w:val="001000000000" w:firstRow="0" w:lastRow="0" w:firstColumn="1" w:lastColumn="0" w:oddVBand="0" w:evenVBand="0" w:oddHBand="0" w:evenHBand="0" w:firstRowFirstColumn="0" w:firstRowLastColumn="0" w:lastRowFirstColumn="0" w:lastRowLastColumn="0"/>
            <w:tcW w:w="2706" w:type="dxa"/>
            <w:vMerge/>
            <w:tcBorders>
              <w:bottom w:val="single" w:sz="4" w:space="0" w:color="auto"/>
            </w:tcBorders>
          </w:tcPr>
          <w:p w14:paraId="7D6B0C1B" w14:textId="77777777" w:rsidR="003A0E14" w:rsidRPr="00FA1006" w:rsidRDefault="003A0E14" w:rsidP="000B363E">
            <w:pPr>
              <w:pStyle w:val="table0"/>
              <w:widowControl w:val="0"/>
              <w:jc w:val="left"/>
              <w:rPr>
                <w:b w:val="0"/>
                <w:bCs w:val="0"/>
              </w:rPr>
            </w:pPr>
          </w:p>
        </w:tc>
        <w:tc>
          <w:tcPr>
            <w:tcW w:w="980" w:type="dxa"/>
            <w:tcBorders>
              <w:top w:val="nil"/>
              <w:bottom w:val="single" w:sz="4" w:space="0" w:color="auto"/>
            </w:tcBorders>
            <w:noWrap/>
            <w:vAlign w:val="center"/>
          </w:tcPr>
          <w:p w14:paraId="30F560EC" w14:textId="1F077D9F" w:rsidR="003A0E14" w:rsidRPr="00FA1006"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rPr>
                <w:b/>
                <w:bCs/>
              </w:rPr>
            </w:pPr>
            <w:r w:rsidRPr="00FA1006">
              <w:rPr>
                <w:b/>
                <w:bCs/>
              </w:rPr>
              <w:t>CED</w:t>
            </w:r>
          </w:p>
        </w:tc>
        <w:tc>
          <w:tcPr>
            <w:tcW w:w="993" w:type="dxa"/>
            <w:tcBorders>
              <w:top w:val="nil"/>
              <w:bottom w:val="single" w:sz="4" w:space="0" w:color="auto"/>
            </w:tcBorders>
            <w:noWrap/>
            <w:vAlign w:val="center"/>
          </w:tcPr>
          <w:p w14:paraId="50940B36" w14:textId="1CC20528"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t>MJ</w:t>
            </w:r>
          </w:p>
        </w:tc>
        <w:tc>
          <w:tcPr>
            <w:tcW w:w="992" w:type="dxa"/>
            <w:tcBorders>
              <w:top w:val="nil"/>
              <w:bottom w:val="single" w:sz="4" w:space="0" w:color="auto"/>
            </w:tcBorders>
            <w:noWrap/>
            <w:vAlign w:val="center"/>
          </w:tcPr>
          <w:p w14:paraId="5A7EE969" w14:textId="635B684E"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A96E2B">
              <w:t>9.12E+03</w:t>
            </w:r>
          </w:p>
        </w:tc>
      </w:tr>
      <w:tr w:rsidR="003A0E14" w:rsidRPr="005305CB" w14:paraId="10BA6150" w14:textId="77777777" w:rsidTr="004204D9">
        <w:trPr>
          <w:trHeight w:val="144"/>
          <w:jc w:val="center"/>
        </w:trPr>
        <w:tc>
          <w:tcPr>
            <w:cnfStyle w:val="001000000000" w:firstRow="0" w:lastRow="0" w:firstColumn="1" w:lastColumn="0" w:oddVBand="0" w:evenVBand="0" w:oddHBand="0" w:evenHBand="0" w:firstRowFirstColumn="0" w:firstRowLastColumn="0" w:lastRowFirstColumn="0" w:lastRowLastColumn="0"/>
            <w:tcW w:w="2706" w:type="dxa"/>
            <w:vMerge w:val="restart"/>
            <w:tcBorders>
              <w:top w:val="single" w:sz="4" w:space="0" w:color="auto"/>
            </w:tcBorders>
            <w:vAlign w:val="center"/>
          </w:tcPr>
          <w:p w14:paraId="5EE9BEE7" w14:textId="0FAD8B67" w:rsidR="003A0E14" w:rsidRPr="00FA1006" w:rsidRDefault="003A0E14" w:rsidP="000B363E">
            <w:pPr>
              <w:pStyle w:val="table0"/>
              <w:widowControl w:val="0"/>
              <w:jc w:val="left"/>
              <w:rPr>
                <w:b w:val="0"/>
                <w:bCs w:val="0"/>
              </w:rPr>
            </w:pPr>
            <w:r w:rsidRPr="00A84A82">
              <w:rPr>
                <w:i/>
                <w:iCs/>
              </w:rPr>
              <w:t>Economic impacts</w:t>
            </w:r>
          </w:p>
        </w:tc>
        <w:tc>
          <w:tcPr>
            <w:tcW w:w="980" w:type="dxa"/>
            <w:tcBorders>
              <w:top w:val="single" w:sz="4" w:space="0" w:color="auto"/>
            </w:tcBorders>
            <w:noWrap/>
            <w:vAlign w:val="center"/>
            <w:hideMark/>
          </w:tcPr>
          <w:p w14:paraId="09EB3725" w14:textId="1FCB8CEA" w:rsidR="003A0E14" w:rsidRPr="00FA1006"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rPr>
                <w:b/>
                <w:bCs/>
              </w:rPr>
            </w:pPr>
            <w:r w:rsidRPr="00FA1006">
              <w:rPr>
                <w:b/>
                <w:bCs/>
              </w:rPr>
              <w:t xml:space="preserve">LCC </w:t>
            </w:r>
          </w:p>
        </w:tc>
        <w:tc>
          <w:tcPr>
            <w:tcW w:w="993" w:type="dxa"/>
            <w:tcBorders>
              <w:top w:val="single" w:sz="4" w:space="0" w:color="auto"/>
            </w:tcBorders>
            <w:noWrap/>
            <w:vAlign w:val="center"/>
            <w:hideMark/>
          </w:tcPr>
          <w:p w14:paraId="1FAF3B58"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w:t>
            </w:r>
          </w:p>
        </w:tc>
        <w:tc>
          <w:tcPr>
            <w:tcW w:w="992" w:type="dxa"/>
            <w:tcBorders>
              <w:top w:val="single" w:sz="4" w:space="0" w:color="auto"/>
            </w:tcBorders>
            <w:noWrap/>
            <w:vAlign w:val="center"/>
            <w:hideMark/>
          </w:tcPr>
          <w:p w14:paraId="20845B97" w14:textId="37737D5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t>4</w:t>
            </w:r>
            <w:r w:rsidRPr="005305CB">
              <w:t>.22E+04</w:t>
            </w:r>
          </w:p>
        </w:tc>
      </w:tr>
      <w:tr w:rsidR="003A0E14" w:rsidRPr="005305CB" w14:paraId="209FE322" w14:textId="77777777" w:rsidTr="004204D9">
        <w:trPr>
          <w:trHeight w:val="144"/>
          <w:jc w:val="center"/>
        </w:trPr>
        <w:tc>
          <w:tcPr>
            <w:cnfStyle w:val="001000000000" w:firstRow="0" w:lastRow="0" w:firstColumn="1" w:lastColumn="0" w:oddVBand="0" w:evenVBand="0" w:oddHBand="0" w:evenHBand="0" w:firstRowFirstColumn="0" w:firstRowLastColumn="0" w:lastRowFirstColumn="0" w:lastRowLastColumn="0"/>
            <w:tcW w:w="2706" w:type="dxa"/>
            <w:vMerge/>
          </w:tcPr>
          <w:p w14:paraId="0D37C7BF" w14:textId="77777777" w:rsidR="003A0E14" w:rsidRPr="00FA1006" w:rsidRDefault="003A0E14" w:rsidP="000B363E">
            <w:pPr>
              <w:pStyle w:val="table0"/>
              <w:widowControl w:val="0"/>
              <w:jc w:val="left"/>
              <w:rPr>
                <w:b w:val="0"/>
                <w:bCs w:val="0"/>
              </w:rPr>
            </w:pPr>
          </w:p>
        </w:tc>
        <w:tc>
          <w:tcPr>
            <w:tcW w:w="980" w:type="dxa"/>
            <w:noWrap/>
            <w:vAlign w:val="center"/>
            <w:hideMark/>
          </w:tcPr>
          <w:p w14:paraId="5933E90B" w14:textId="07597059" w:rsidR="003A0E14" w:rsidRPr="00FA1006"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rPr>
                <w:b/>
                <w:bCs/>
              </w:rPr>
            </w:pPr>
            <w:r w:rsidRPr="00FA1006">
              <w:rPr>
                <w:b/>
                <w:bCs/>
              </w:rPr>
              <w:t xml:space="preserve">EP </w:t>
            </w:r>
          </w:p>
        </w:tc>
        <w:tc>
          <w:tcPr>
            <w:tcW w:w="993" w:type="dxa"/>
            <w:noWrap/>
            <w:vAlign w:val="center"/>
            <w:hideMark/>
          </w:tcPr>
          <w:p w14:paraId="37802091"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w:t>
            </w:r>
          </w:p>
        </w:tc>
        <w:tc>
          <w:tcPr>
            <w:tcW w:w="992" w:type="dxa"/>
            <w:noWrap/>
            <w:vAlign w:val="center"/>
            <w:hideMark/>
          </w:tcPr>
          <w:p w14:paraId="496E1EC9"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6.75E+02</w:t>
            </w:r>
          </w:p>
        </w:tc>
      </w:tr>
      <w:tr w:rsidR="003A0E14" w:rsidRPr="005305CB" w14:paraId="78D3B856" w14:textId="77777777" w:rsidTr="004204D9">
        <w:trPr>
          <w:trHeight w:val="144"/>
          <w:jc w:val="center"/>
        </w:trPr>
        <w:tc>
          <w:tcPr>
            <w:cnfStyle w:val="001000000000" w:firstRow="0" w:lastRow="0" w:firstColumn="1" w:lastColumn="0" w:oddVBand="0" w:evenVBand="0" w:oddHBand="0" w:evenHBand="0" w:firstRowFirstColumn="0" w:firstRowLastColumn="0" w:lastRowFirstColumn="0" w:lastRowLastColumn="0"/>
            <w:tcW w:w="2706" w:type="dxa"/>
            <w:vMerge/>
          </w:tcPr>
          <w:p w14:paraId="30D1C454" w14:textId="77777777" w:rsidR="003A0E14" w:rsidRPr="00FA1006" w:rsidRDefault="003A0E14" w:rsidP="000B363E">
            <w:pPr>
              <w:pStyle w:val="table0"/>
              <w:widowControl w:val="0"/>
              <w:jc w:val="left"/>
              <w:rPr>
                <w:b w:val="0"/>
                <w:bCs w:val="0"/>
              </w:rPr>
            </w:pPr>
          </w:p>
        </w:tc>
        <w:tc>
          <w:tcPr>
            <w:tcW w:w="980" w:type="dxa"/>
            <w:noWrap/>
            <w:vAlign w:val="center"/>
            <w:hideMark/>
          </w:tcPr>
          <w:p w14:paraId="30D94839" w14:textId="607CDA5B" w:rsidR="003A0E14" w:rsidRPr="00FA1006"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rPr>
                <w:b/>
                <w:bCs/>
              </w:rPr>
            </w:pPr>
            <w:r w:rsidRPr="00FA1006">
              <w:rPr>
                <w:b/>
                <w:bCs/>
              </w:rPr>
              <w:t xml:space="preserve">ELCC </w:t>
            </w:r>
          </w:p>
        </w:tc>
        <w:tc>
          <w:tcPr>
            <w:tcW w:w="993" w:type="dxa"/>
            <w:noWrap/>
            <w:vAlign w:val="center"/>
            <w:hideMark/>
          </w:tcPr>
          <w:p w14:paraId="1AB48761" w14:textId="77777777"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rsidRPr="005305CB">
              <w:t>€</w:t>
            </w:r>
          </w:p>
        </w:tc>
        <w:tc>
          <w:tcPr>
            <w:tcW w:w="992" w:type="dxa"/>
            <w:noWrap/>
            <w:vAlign w:val="center"/>
            <w:hideMark/>
          </w:tcPr>
          <w:p w14:paraId="1ABA5175" w14:textId="734D8864" w:rsidR="003A0E14" w:rsidRPr="005305CB" w:rsidRDefault="003A0E14" w:rsidP="000B363E">
            <w:pPr>
              <w:pStyle w:val="table0"/>
              <w:widowControl w:val="0"/>
              <w:jc w:val="left"/>
              <w:cnfStyle w:val="000000000000" w:firstRow="0" w:lastRow="0" w:firstColumn="0" w:lastColumn="0" w:oddVBand="0" w:evenVBand="0" w:oddHBand="0" w:evenHBand="0" w:firstRowFirstColumn="0" w:firstRowLastColumn="0" w:lastRowFirstColumn="0" w:lastRowLastColumn="0"/>
            </w:pPr>
            <w:r>
              <w:t>4</w:t>
            </w:r>
            <w:r w:rsidRPr="005305CB">
              <w:t>.2</w:t>
            </w:r>
            <w:r>
              <w:t>9</w:t>
            </w:r>
            <w:r w:rsidRPr="005305CB">
              <w:t>E+04</w:t>
            </w:r>
          </w:p>
        </w:tc>
      </w:tr>
    </w:tbl>
    <w:p w14:paraId="5482A394" w14:textId="77777777" w:rsidR="004204D9" w:rsidRDefault="004204D9" w:rsidP="000B363E">
      <w:pPr>
        <w:widowControl w:val="0"/>
      </w:pPr>
    </w:p>
    <w:p w14:paraId="30B17C37" w14:textId="47813467" w:rsidR="006F75B0" w:rsidRDefault="006F75B0" w:rsidP="000B363E">
      <w:pPr>
        <w:widowControl w:val="0"/>
      </w:pPr>
      <w:r>
        <w:t xml:space="preserve">Concerning the environmental impacts, </w:t>
      </w:r>
      <w:r w:rsidR="00355B1C">
        <w:t xml:space="preserve">during the </w:t>
      </w:r>
      <w:r>
        <w:t>manufacturing</w:t>
      </w:r>
      <w:r w:rsidR="00355B1C">
        <w:t xml:space="preserve"> phase</w:t>
      </w:r>
      <w:r>
        <w:t>, the stack co</w:t>
      </w:r>
      <w:r w:rsidRPr="004244DA">
        <w:t xml:space="preserve">uld emit </w:t>
      </w:r>
      <w:r>
        <w:t>about 0.0</w:t>
      </w:r>
      <w:r w:rsidRPr="00EE1631">
        <w:t>26</w:t>
      </w:r>
      <w:r>
        <w:t xml:space="preserve"> </w:t>
      </w:r>
      <w:r w:rsidRPr="004244DA">
        <w:t xml:space="preserve">kg </w:t>
      </w:r>
      <w:proofErr w:type="spellStart"/>
      <w:r w:rsidRPr="004244DA">
        <w:t>Sb</w:t>
      </w:r>
      <w:r w:rsidRPr="00C821D5">
        <w:rPr>
          <w:vertAlign w:val="subscript"/>
        </w:rPr>
        <w:t>eq</w:t>
      </w:r>
      <w:proofErr w:type="spellEnd"/>
      <w:r w:rsidRPr="004244DA">
        <w:t xml:space="preserve"> in ADP</w:t>
      </w:r>
      <w:r>
        <w:t>,</w:t>
      </w:r>
      <w:r w:rsidRPr="00EE1631">
        <w:t xml:space="preserve"> 3</w:t>
      </w:r>
      <w:r>
        <w:t>0</w:t>
      </w:r>
      <w:r w:rsidRPr="00EA6997">
        <w:t xml:space="preserve"> </w:t>
      </w:r>
      <w:r w:rsidRPr="004244DA">
        <w:t>kg SO</w:t>
      </w:r>
      <w:r w:rsidRPr="000A18FF">
        <w:rPr>
          <w:vertAlign w:val="subscript"/>
        </w:rPr>
        <w:t>2eq</w:t>
      </w:r>
      <w:r w:rsidRPr="004244DA">
        <w:t xml:space="preserve"> in AP,</w:t>
      </w:r>
      <w:r w:rsidRPr="00EA6997">
        <w:rPr>
          <w:rFonts w:ascii="Calibri" w:hAnsi="Calibri" w:cs="Calibri"/>
          <w:color w:val="000000"/>
          <w:sz w:val="22"/>
          <w:szCs w:val="22"/>
        </w:rPr>
        <w:t xml:space="preserve"> </w:t>
      </w:r>
      <w:r w:rsidRPr="00EE1631">
        <w:t>619</w:t>
      </w:r>
      <w:r w:rsidRPr="004244DA">
        <w:t xml:space="preserve"> kg CO</w:t>
      </w:r>
      <w:r w:rsidRPr="00EE1631">
        <w:rPr>
          <w:vertAlign w:val="subscript"/>
        </w:rPr>
        <w:t>2eq</w:t>
      </w:r>
      <w:r w:rsidRPr="004244DA">
        <w:t xml:space="preserve"> in GWP,</w:t>
      </w:r>
      <w:r w:rsidRPr="00564996">
        <w:t xml:space="preserve"> </w:t>
      </w:r>
      <w:r>
        <w:t xml:space="preserve">3.02 </w:t>
      </w:r>
      <w:r w:rsidRPr="004244DA">
        <w:t>kg PO</w:t>
      </w:r>
      <w:r w:rsidRPr="00EE1631">
        <w:rPr>
          <w:vertAlign w:val="subscript"/>
        </w:rPr>
        <w:t>4</w:t>
      </w:r>
      <w:r w:rsidRPr="00EE1631">
        <w:rPr>
          <w:vertAlign w:val="superscript"/>
        </w:rPr>
        <w:t>3-</w:t>
      </w:r>
      <w:r w:rsidRPr="00EE1631">
        <w:rPr>
          <w:vertAlign w:val="subscript"/>
        </w:rPr>
        <w:t>eq</w:t>
      </w:r>
      <w:r w:rsidRPr="004244DA">
        <w:t xml:space="preserve"> in NP</w:t>
      </w:r>
      <w:r>
        <w:t xml:space="preserve"> and</w:t>
      </w:r>
      <w:r w:rsidRPr="00AA5F79">
        <w:rPr>
          <w:rFonts w:ascii="Calibri" w:hAnsi="Calibri" w:cs="Calibri"/>
          <w:color w:val="000000"/>
          <w:sz w:val="22"/>
          <w:szCs w:val="22"/>
        </w:rPr>
        <w:t xml:space="preserve"> </w:t>
      </w:r>
      <w:r w:rsidRPr="00FE102B">
        <w:t>1.12</w:t>
      </w:r>
      <w:r w:rsidRPr="00AA5F79">
        <w:t xml:space="preserve"> </w:t>
      </w:r>
      <w:r w:rsidRPr="004244DA">
        <w:t>kg C</w:t>
      </w:r>
      <w:r w:rsidRPr="00FE102B">
        <w:rPr>
          <w:vertAlign w:val="subscript"/>
        </w:rPr>
        <w:t>2</w:t>
      </w:r>
      <w:r w:rsidRPr="004244DA">
        <w:t>H</w:t>
      </w:r>
      <w:r w:rsidRPr="00FE102B">
        <w:rPr>
          <w:vertAlign w:val="subscript"/>
        </w:rPr>
        <w:t>4eq</w:t>
      </w:r>
      <w:r w:rsidRPr="004244DA">
        <w:t xml:space="preserve"> in POF</w:t>
      </w:r>
      <w:r>
        <w:t>.</w:t>
      </w:r>
      <w:r w:rsidRPr="00AA5F79">
        <w:t xml:space="preserve"> </w:t>
      </w:r>
      <w:r w:rsidRPr="004244DA">
        <w:t xml:space="preserve">Focusing on CED, the </w:t>
      </w:r>
      <w:r>
        <w:t xml:space="preserve">primary energy consumed for components manufacturing is </w:t>
      </w:r>
      <w:r>
        <w:lastRenderedPageBreak/>
        <w:t>912 MJ,</w:t>
      </w:r>
      <w:r w:rsidRPr="004244DA">
        <w:t xml:space="preserve"> of which </w:t>
      </w:r>
      <w:r>
        <w:t>96</w:t>
      </w:r>
      <w:r w:rsidRPr="004244DA">
        <w:t>%</w:t>
      </w:r>
      <w:r>
        <w:t xml:space="preserve"> is </w:t>
      </w:r>
      <w:r w:rsidR="000E4ABC">
        <w:t xml:space="preserve">produced </w:t>
      </w:r>
      <w:r>
        <w:t>from non-</w:t>
      </w:r>
      <w:r w:rsidRPr="004244DA">
        <w:t>renewable energy sources.</w:t>
      </w:r>
    </w:p>
    <w:p w14:paraId="23F713F0" w14:textId="42C43427" w:rsidR="006F75B0" w:rsidRDefault="006F75B0" w:rsidP="000B363E">
      <w:pPr>
        <w:widowControl w:val="0"/>
      </w:pPr>
      <w:r>
        <w:t>The life cycle costs of stack increase as one moves from conventional LCC (</w:t>
      </w:r>
      <w:r w:rsidR="00D24CF8" w:rsidRPr="00D24CF8">
        <w:t xml:space="preserve">43,155.98 </w:t>
      </w:r>
      <w:r>
        <w:t>€ per unit) to environmental LCC (</w:t>
      </w:r>
      <w:r w:rsidR="005A45ED" w:rsidRPr="005A45ED">
        <w:t xml:space="preserve">43,830.55 </w:t>
      </w:r>
      <w:r>
        <w:t xml:space="preserve">€ per unit), reflecting the inclusion of </w:t>
      </w:r>
      <w:r w:rsidR="002B6D93">
        <w:t>the</w:t>
      </w:r>
      <w:r>
        <w:t xml:space="preserve"> </w:t>
      </w:r>
      <w:r w:rsidR="00C40CC0">
        <w:t>"</w:t>
      </w:r>
      <w:r w:rsidR="00355B1C">
        <w:t xml:space="preserve">environmental </w:t>
      </w:r>
      <w:r>
        <w:t>externalities</w:t>
      </w:r>
      <w:r w:rsidR="00C40CC0">
        <w:t>"</w:t>
      </w:r>
      <w:r>
        <w:t>. Considering that costs of components refer to a device not still commerciali</w:t>
      </w:r>
      <w:r w:rsidR="004919EF">
        <w:t>z</w:t>
      </w:r>
      <w:r>
        <w:t xml:space="preserve">ed, the LCC is relatively higher than similar </w:t>
      </w:r>
      <w:r w:rsidR="00C8684B">
        <w:t xml:space="preserve">mature </w:t>
      </w:r>
      <w:r>
        <w:t>technologies, and environmental prices contribute</w:t>
      </w:r>
      <w:r w:rsidR="00C8684B">
        <w:t xml:space="preserve"> </w:t>
      </w:r>
      <w:r w:rsidR="005A45ED">
        <w:t>to about 1.5% of economic impacts globally</w:t>
      </w:r>
      <w:r>
        <w:t>.</w:t>
      </w:r>
    </w:p>
    <w:p w14:paraId="58C49C60" w14:textId="74DE993D" w:rsidR="006F75B0" w:rsidRDefault="006F75B0" w:rsidP="000B363E">
      <w:pPr>
        <w:widowControl w:val="0"/>
      </w:pPr>
      <w:r>
        <w:t xml:space="preserve">Plotting the overall contributions in percentages allows </w:t>
      </w:r>
      <w:r w:rsidR="00690D1C">
        <w:t xml:space="preserve">for </w:t>
      </w:r>
      <w:r>
        <w:t>identifying the main hotspots linked to stack manufacturing for each impact category and visuali</w:t>
      </w:r>
      <w:r w:rsidR="004919EF">
        <w:t>z</w:t>
      </w:r>
      <w:r>
        <w:t xml:space="preserve">ing the substantial </w:t>
      </w:r>
      <w:proofErr w:type="spellStart"/>
      <w:r>
        <w:t>differents</w:t>
      </w:r>
      <w:proofErr w:type="spellEnd"/>
      <w:r>
        <w:t xml:space="preserve"> and analogies among them (Figure 1). </w:t>
      </w:r>
    </w:p>
    <w:p w14:paraId="0A2B1C2C" w14:textId="77777777" w:rsidR="00F86B82" w:rsidRDefault="00F86B82" w:rsidP="000B363E">
      <w:pPr>
        <w:widowControl w:val="0"/>
      </w:pPr>
    </w:p>
    <w:p w14:paraId="50F979F7" w14:textId="1ADAB4BE" w:rsidR="0014173E" w:rsidRDefault="0014173E" w:rsidP="000B363E">
      <w:pPr>
        <w:pStyle w:val="table0"/>
        <w:widowControl w:val="0"/>
      </w:pPr>
      <w:r>
        <w:rPr>
          <w:noProof/>
        </w:rPr>
        <w:drawing>
          <wp:inline distT="0" distB="0" distL="0" distR="0" wp14:anchorId="53548F99" wp14:editId="2197A169">
            <wp:extent cx="4587240" cy="2685059"/>
            <wp:effectExtent l="0" t="0" r="0" b="0"/>
            <wp:docPr id="46" name="Chart 46">
              <a:extLst xmlns:a="http://schemas.openxmlformats.org/drawingml/2006/main">
                <a:ext uri="{FF2B5EF4-FFF2-40B4-BE49-F238E27FC236}">
                  <a16:creationId xmlns:a16="http://schemas.microsoft.com/office/drawing/2014/main" id="{8F079B09-39F1-4A95-E155-830331DE0C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A0BE4D" w14:textId="52A5708C" w:rsidR="006C655D" w:rsidRDefault="006C655D" w:rsidP="000B363E">
      <w:pPr>
        <w:pStyle w:val="Didascalia"/>
        <w:widowControl w:val="0"/>
        <w:ind w:left="0" w:right="90"/>
        <w:rPr>
          <w:rFonts w:eastAsia="TimesLTStd-Roman"/>
        </w:rPr>
      </w:pPr>
      <w:r>
        <w:t xml:space="preserve">Figure </w:t>
      </w:r>
      <w:fldSimple w:instr=" SEQ Figure \* ARABIC ">
        <w:r w:rsidR="00545A45">
          <w:rPr>
            <w:noProof/>
          </w:rPr>
          <w:t>1</w:t>
        </w:r>
      </w:fldSimple>
      <w:r w:rsidR="00D95982">
        <w:t>.</w:t>
      </w:r>
      <w:r w:rsidRPr="006C655D">
        <w:rPr>
          <w:rFonts w:eastAsia="TimesLTStd-Roman"/>
        </w:rPr>
        <w:t xml:space="preserve"> </w:t>
      </w:r>
      <w:r w:rsidR="00452C58">
        <w:rPr>
          <w:rFonts w:eastAsia="TimesLTStd-Roman"/>
        </w:rPr>
        <w:t>Contribution analysis and h</w:t>
      </w:r>
      <w:r>
        <w:rPr>
          <w:rFonts w:eastAsia="TimesLTStd-Roman"/>
        </w:rPr>
        <w:t xml:space="preserve">otspot identification for </w:t>
      </w:r>
      <w:r w:rsidR="004E6456">
        <w:rPr>
          <w:rFonts w:eastAsia="TimesLTStd-Roman"/>
        </w:rPr>
        <w:t>PEM-URFC stack manufacturing</w:t>
      </w:r>
    </w:p>
    <w:p w14:paraId="6E1EF94B" w14:textId="5EE0E3AF" w:rsidR="00FC711B" w:rsidRDefault="00B64E33" w:rsidP="000B363E">
      <w:pPr>
        <w:widowControl w:val="0"/>
        <w:rPr>
          <w:lang w:val="en-GB"/>
        </w:rPr>
      </w:pPr>
      <w:r w:rsidRPr="00713969">
        <w:t>The main environmental</w:t>
      </w:r>
      <w:r w:rsidR="00E73155">
        <w:t xml:space="preserve"> and energy</w:t>
      </w:r>
      <w:r w:rsidRPr="00713969">
        <w:t xml:space="preserve"> impact contribution in the manufacturing phase comes from the</w:t>
      </w:r>
      <w:r w:rsidR="00F40A5B">
        <w:t xml:space="preserve"> MEA, responsible for more than 76%</w:t>
      </w:r>
      <w:r w:rsidR="00093C0B">
        <w:t xml:space="preserve"> (GWP)</w:t>
      </w:r>
      <w:r w:rsidRPr="00713969">
        <w:t xml:space="preserve"> </w:t>
      </w:r>
      <w:r w:rsidR="00F40A5B">
        <w:t>of all the impacts.</w:t>
      </w:r>
      <w:r w:rsidR="00E73155">
        <w:t xml:space="preserve"> Th</w:t>
      </w:r>
      <w:r w:rsidR="00D51026">
        <w:t>ese</w:t>
      </w:r>
      <w:r w:rsidR="00E73155">
        <w:t xml:space="preserve"> high</w:t>
      </w:r>
      <w:r w:rsidR="008F5F1F">
        <w:t xml:space="preserve"> values are linked </w:t>
      </w:r>
      <w:r w:rsidR="00A9148B">
        <w:t xml:space="preserve">to </w:t>
      </w:r>
      <w:r w:rsidR="00DB0C08">
        <w:t xml:space="preserve">electrocatalysts </w:t>
      </w:r>
      <w:r w:rsidR="00776C38">
        <w:t>responsible for more than 88.7% of impacts of MEA</w:t>
      </w:r>
      <w:r w:rsidR="007D0859">
        <w:t xml:space="preserve">, </w:t>
      </w:r>
      <w:r w:rsidR="004A6128">
        <w:t xml:space="preserve">except for </w:t>
      </w:r>
      <w:proofErr w:type="spellStart"/>
      <w:r w:rsidR="004A6128">
        <w:t>CED</w:t>
      </w:r>
      <w:r w:rsidR="004A6128" w:rsidRPr="004A6128">
        <w:rPr>
          <w:vertAlign w:val="subscript"/>
        </w:rPr>
        <w:t>r</w:t>
      </w:r>
      <w:proofErr w:type="spellEnd"/>
      <w:r w:rsidR="00D51026">
        <w:rPr>
          <w:vertAlign w:val="subscript"/>
        </w:rPr>
        <w:t>,</w:t>
      </w:r>
      <w:r w:rsidR="007D0859">
        <w:t xml:space="preserve"> </w:t>
      </w:r>
      <w:r w:rsidR="000415EB">
        <w:t xml:space="preserve">in which catalysts are responsible for at least </w:t>
      </w:r>
      <w:r w:rsidR="000415EB" w:rsidRPr="000415EB">
        <w:t>62.39%</w:t>
      </w:r>
      <w:r w:rsidR="0076287E">
        <w:t xml:space="preserve">. </w:t>
      </w:r>
      <w:r w:rsidR="001D343E">
        <w:t>T</w:t>
      </w:r>
      <w:r w:rsidR="0076287E">
        <w:t xml:space="preserve">he </w:t>
      </w:r>
      <w:r w:rsidR="00827153">
        <w:t>rest of</w:t>
      </w:r>
      <w:r w:rsidR="0076287E">
        <w:t xml:space="preserve"> </w:t>
      </w:r>
      <w:r w:rsidR="00D51026">
        <w:t xml:space="preserve">the </w:t>
      </w:r>
      <w:r w:rsidR="00827153">
        <w:t xml:space="preserve">elements </w:t>
      </w:r>
      <w:r w:rsidR="001D343E">
        <w:t xml:space="preserve">are responsible for </w:t>
      </w:r>
      <w:r w:rsidR="00845600">
        <w:t>37.61</w:t>
      </w:r>
      <w:r w:rsidR="00750A70">
        <w:t xml:space="preserve">% in </w:t>
      </w:r>
      <w:proofErr w:type="spellStart"/>
      <w:r w:rsidR="00750A70">
        <w:t>CED</w:t>
      </w:r>
      <w:r w:rsidR="00750A70" w:rsidRPr="004A6128">
        <w:rPr>
          <w:vertAlign w:val="subscript"/>
        </w:rPr>
        <w:t>r</w:t>
      </w:r>
      <w:proofErr w:type="spellEnd"/>
      <w:r w:rsidR="00795506">
        <w:t xml:space="preserve">, </w:t>
      </w:r>
      <w:r w:rsidR="00750A70">
        <w:t>11.30% in GWP</w:t>
      </w:r>
      <w:r w:rsidR="00795506">
        <w:t xml:space="preserve"> and 8.74% in </w:t>
      </w:r>
      <w:proofErr w:type="spellStart"/>
      <w:r w:rsidR="00795506">
        <w:t>CED</w:t>
      </w:r>
      <w:r w:rsidR="00795506" w:rsidRPr="00795506">
        <w:rPr>
          <w:vertAlign w:val="subscript"/>
        </w:rPr>
        <w:t>nr</w:t>
      </w:r>
      <w:proofErr w:type="spellEnd"/>
      <w:r w:rsidR="001D343E">
        <w:t xml:space="preserve">, </w:t>
      </w:r>
      <w:r w:rsidR="00EA6385">
        <w:t>while in the other categories</w:t>
      </w:r>
      <w:r w:rsidR="00D51026">
        <w:t>,</w:t>
      </w:r>
      <w:r w:rsidR="00EA6385">
        <w:t xml:space="preserve"> they contribute </w:t>
      </w:r>
      <w:r w:rsidR="00D51026">
        <w:t>to</w:t>
      </w:r>
      <w:r w:rsidR="00EA6385">
        <w:t xml:space="preserve"> less than </w:t>
      </w:r>
      <w:r w:rsidR="004E5EC1">
        <w:t xml:space="preserve">2% </w:t>
      </w:r>
      <w:r w:rsidR="00827153">
        <w:t>of MEA impacts</w:t>
      </w:r>
      <w:r w:rsidR="000A1462">
        <w:t>.</w:t>
      </w:r>
      <w:r w:rsidR="001159B7">
        <w:t xml:space="preserve"> </w:t>
      </w:r>
      <w:r w:rsidR="00FC711B" w:rsidRPr="00713969">
        <w:rPr>
          <w:lang w:val="en-GB"/>
        </w:rPr>
        <w:t xml:space="preserve">On the contrary, the lowest impact </w:t>
      </w:r>
      <w:r w:rsidR="008412EA">
        <w:rPr>
          <w:lang w:val="en-GB"/>
        </w:rPr>
        <w:t xml:space="preserve">of </w:t>
      </w:r>
      <w:r w:rsidR="00D51026">
        <w:rPr>
          <w:lang w:val="en-GB"/>
        </w:rPr>
        <w:t xml:space="preserve">the </w:t>
      </w:r>
      <w:r w:rsidR="008412EA">
        <w:rPr>
          <w:lang w:val="en-GB"/>
        </w:rPr>
        <w:t xml:space="preserve">stack </w:t>
      </w:r>
      <w:r w:rsidR="00FC711B" w:rsidRPr="00713969">
        <w:rPr>
          <w:lang w:val="en-GB"/>
        </w:rPr>
        <w:t xml:space="preserve">is related to the tie </w:t>
      </w:r>
      <w:r w:rsidR="00FC711B" w:rsidRPr="00713969">
        <w:rPr>
          <w:lang w:val="en-GB"/>
        </w:rPr>
        <w:lastRenderedPageBreak/>
        <w:t>rods contributing less than 0.</w:t>
      </w:r>
      <w:r w:rsidR="00241BE4">
        <w:rPr>
          <w:lang w:val="en-GB"/>
        </w:rPr>
        <w:t>16</w:t>
      </w:r>
      <w:r w:rsidR="00FC711B" w:rsidRPr="00713969">
        <w:rPr>
          <w:lang w:val="en-GB"/>
        </w:rPr>
        <w:t>% in all environmental categories.</w:t>
      </w:r>
    </w:p>
    <w:p w14:paraId="748B93C7" w14:textId="22FB8F3F" w:rsidR="00C4499A" w:rsidRDefault="00C4499A" w:rsidP="000B363E">
      <w:pPr>
        <w:widowControl w:val="0"/>
        <w:rPr>
          <w:lang w:val="en-GB"/>
        </w:rPr>
      </w:pPr>
      <w:proofErr w:type="gramStart"/>
      <w:r>
        <w:rPr>
          <w:lang w:val="en-GB"/>
        </w:rPr>
        <w:t xml:space="preserve">Focusing on </w:t>
      </w:r>
      <w:r w:rsidR="00701CE1">
        <w:rPr>
          <w:lang w:val="en-GB"/>
        </w:rPr>
        <w:t xml:space="preserve">the </w:t>
      </w:r>
      <w:r>
        <w:rPr>
          <w:lang w:val="en-GB"/>
        </w:rPr>
        <w:t xml:space="preserve">economic </w:t>
      </w:r>
      <w:r w:rsidR="00FE562C">
        <w:rPr>
          <w:lang w:val="en-GB"/>
        </w:rPr>
        <w:t>impacts</w:t>
      </w:r>
      <w:r>
        <w:rPr>
          <w:lang w:val="en-GB"/>
        </w:rPr>
        <w:t>, it</w:t>
      </w:r>
      <w:proofErr w:type="gramEnd"/>
      <w:r>
        <w:rPr>
          <w:lang w:val="en-GB"/>
        </w:rPr>
        <w:t xml:space="preserve"> could </w:t>
      </w:r>
      <w:r w:rsidR="0047341B">
        <w:rPr>
          <w:lang w:val="en-GB"/>
        </w:rPr>
        <w:t xml:space="preserve">be </w:t>
      </w:r>
      <w:r>
        <w:rPr>
          <w:lang w:val="en-GB"/>
        </w:rPr>
        <w:t xml:space="preserve">observed that the highest </w:t>
      </w:r>
      <w:r w:rsidR="00E806EC">
        <w:rPr>
          <w:lang w:val="en-GB"/>
        </w:rPr>
        <w:t>manufacturing costs are related to MEAs</w:t>
      </w:r>
      <w:r w:rsidR="0047341B">
        <w:rPr>
          <w:lang w:val="en-GB"/>
        </w:rPr>
        <w:t xml:space="preserve"> that contribut</w:t>
      </w:r>
      <w:r w:rsidR="00FE562C">
        <w:rPr>
          <w:lang w:val="en-GB"/>
        </w:rPr>
        <w:t>e</w:t>
      </w:r>
      <w:r w:rsidR="0047341B">
        <w:rPr>
          <w:lang w:val="en-GB"/>
        </w:rPr>
        <w:t xml:space="preserve"> 6</w:t>
      </w:r>
      <w:r w:rsidR="00B07318">
        <w:rPr>
          <w:lang w:val="en-GB"/>
        </w:rPr>
        <w:t>8</w:t>
      </w:r>
      <w:r w:rsidR="0047341B">
        <w:rPr>
          <w:lang w:val="en-GB"/>
        </w:rPr>
        <w:t>.</w:t>
      </w:r>
      <w:r w:rsidR="00B07318">
        <w:rPr>
          <w:lang w:val="en-GB"/>
        </w:rPr>
        <w:t>05</w:t>
      </w:r>
      <w:r w:rsidR="0047341B">
        <w:rPr>
          <w:lang w:val="en-GB"/>
        </w:rPr>
        <w:t>%</w:t>
      </w:r>
      <w:r w:rsidR="004A2932">
        <w:rPr>
          <w:lang w:val="en-GB"/>
        </w:rPr>
        <w:t xml:space="preserve"> in LCC </w:t>
      </w:r>
      <w:r w:rsidR="00422533">
        <w:rPr>
          <w:lang w:val="en-GB"/>
        </w:rPr>
        <w:t>and</w:t>
      </w:r>
      <w:r w:rsidR="004A2932">
        <w:rPr>
          <w:lang w:val="en-GB"/>
        </w:rPr>
        <w:t xml:space="preserve"> 95.14% in EP, reflecting the envi</w:t>
      </w:r>
      <w:r w:rsidR="00ED19EC">
        <w:rPr>
          <w:lang w:val="en-GB"/>
        </w:rPr>
        <w:t>r</w:t>
      </w:r>
      <w:r w:rsidR="004A2932">
        <w:rPr>
          <w:lang w:val="en-GB"/>
        </w:rPr>
        <w:t>onmental emis</w:t>
      </w:r>
      <w:r w:rsidR="00ED19EC">
        <w:rPr>
          <w:lang w:val="en-GB"/>
        </w:rPr>
        <w:t>sions</w:t>
      </w:r>
      <w:r w:rsidR="004A2932">
        <w:rPr>
          <w:lang w:val="en-GB"/>
        </w:rPr>
        <w:t xml:space="preserve"> linked to </w:t>
      </w:r>
      <w:r w:rsidR="00FE562C">
        <w:rPr>
          <w:lang w:val="en-GB"/>
        </w:rPr>
        <w:t xml:space="preserve">the </w:t>
      </w:r>
      <w:r w:rsidR="00ED19EC">
        <w:rPr>
          <w:lang w:val="en-GB"/>
        </w:rPr>
        <w:t>mining of platinum</w:t>
      </w:r>
      <w:r w:rsidR="00FE562C">
        <w:rPr>
          <w:lang w:val="en-GB"/>
        </w:rPr>
        <w:t>.</w:t>
      </w:r>
      <w:r w:rsidR="00E806EC">
        <w:rPr>
          <w:lang w:val="en-GB"/>
        </w:rPr>
        <w:t xml:space="preserve"> </w:t>
      </w:r>
      <w:r w:rsidR="00CE27E5">
        <w:rPr>
          <w:lang w:val="en-GB"/>
        </w:rPr>
        <w:t xml:space="preserve">Although the monetization of impacts </w:t>
      </w:r>
      <w:r w:rsidR="00E53E0E">
        <w:rPr>
          <w:lang w:val="en-GB"/>
        </w:rPr>
        <w:t>increase</w:t>
      </w:r>
      <w:r w:rsidR="004919EF">
        <w:rPr>
          <w:lang w:val="en-GB"/>
        </w:rPr>
        <w:t>s</w:t>
      </w:r>
      <w:r w:rsidR="00E53E0E">
        <w:rPr>
          <w:lang w:val="en-GB"/>
        </w:rPr>
        <w:t xml:space="preserve"> the </w:t>
      </w:r>
      <w:r w:rsidR="007D555D">
        <w:rPr>
          <w:lang w:val="en-GB"/>
        </w:rPr>
        <w:t xml:space="preserve">global </w:t>
      </w:r>
      <w:r w:rsidR="00C41315">
        <w:rPr>
          <w:lang w:val="en-GB"/>
        </w:rPr>
        <w:t>economic impacts</w:t>
      </w:r>
      <w:r w:rsidR="00E53E0E">
        <w:rPr>
          <w:lang w:val="en-GB"/>
        </w:rPr>
        <w:t xml:space="preserve"> </w:t>
      </w:r>
      <w:r w:rsidR="004919EF">
        <w:rPr>
          <w:lang w:val="en-GB"/>
        </w:rPr>
        <w:t>by</w:t>
      </w:r>
      <w:r w:rsidR="00E53E0E">
        <w:rPr>
          <w:lang w:val="en-GB"/>
        </w:rPr>
        <w:t xml:space="preserve"> less than 2%, </w:t>
      </w:r>
      <w:r w:rsidR="004919EF">
        <w:rPr>
          <w:lang w:val="en-GB"/>
        </w:rPr>
        <w:t>essential</w:t>
      </w:r>
      <w:r w:rsidR="00E53E0E">
        <w:rPr>
          <w:lang w:val="en-GB"/>
        </w:rPr>
        <w:t xml:space="preserve"> differen</w:t>
      </w:r>
      <w:r w:rsidR="00701CE1">
        <w:rPr>
          <w:lang w:val="en-GB"/>
        </w:rPr>
        <w:t>ce</w:t>
      </w:r>
      <w:r w:rsidR="00E53E0E">
        <w:rPr>
          <w:lang w:val="en-GB"/>
        </w:rPr>
        <w:t xml:space="preserve">s exist among </w:t>
      </w:r>
      <w:r w:rsidR="00361FE5">
        <w:rPr>
          <w:lang w:val="en-GB"/>
        </w:rPr>
        <w:t xml:space="preserve">components, </w:t>
      </w:r>
      <w:r w:rsidR="004919EF">
        <w:rPr>
          <w:lang w:val="en-GB"/>
        </w:rPr>
        <w:t>for w</w:t>
      </w:r>
      <w:r w:rsidR="005447D2">
        <w:rPr>
          <w:lang w:val="en-GB"/>
        </w:rPr>
        <w:t>h</w:t>
      </w:r>
      <w:r w:rsidR="004919EF">
        <w:rPr>
          <w:lang w:val="en-GB"/>
        </w:rPr>
        <w:t>ich</w:t>
      </w:r>
      <w:r w:rsidR="008F14EF">
        <w:rPr>
          <w:lang w:val="en-GB"/>
        </w:rPr>
        <w:t xml:space="preserve"> it is calculated </w:t>
      </w:r>
      <w:r w:rsidR="005447D2">
        <w:rPr>
          <w:lang w:val="en-GB"/>
        </w:rPr>
        <w:t xml:space="preserve">that </w:t>
      </w:r>
      <w:r w:rsidR="008F14EF">
        <w:rPr>
          <w:lang w:val="en-GB"/>
        </w:rPr>
        <w:t xml:space="preserve">the EP </w:t>
      </w:r>
      <w:r w:rsidR="005447D2">
        <w:rPr>
          <w:lang w:val="en-GB"/>
        </w:rPr>
        <w:t xml:space="preserve">increases </w:t>
      </w:r>
      <w:r w:rsidR="006A7D9F">
        <w:rPr>
          <w:lang w:val="en-GB"/>
        </w:rPr>
        <w:t>LCC</w:t>
      </w:r>
      <w:r w:rsidR="008F14EF">
        <w:rPr>
          <w:lang w:val="en-GB"/>
        </w:rPr>
        <w:t xml:space="preserve"> from </w:t>
      </w:r>
      <w:r w:rsidR="001637E3">
        <w:rPr>
          <w:lang w:val="en-GB"/>
        </w:rPr>
        <w:t xml:space="preserve">0.01% </w:t>
      </w:r>
      <w:r w:rsidR="00CE40F7">
        <w:rPr>
          <w:lang w:val="en-GB"/>
        </w:rPr>
        <w:t xml:space="preserve">in </w:t>
      </w:r>
      <w:r w:rsidR="00966484">
        <w:rPr>
          <w:lang w:val="en-GB"/>
        </w:rPr>
        <w:t>the f</w:t>
      </w:r>
      <w:r w:rsidR="001637E3">
        <w:rPr>
          <w:lang w:val="en-GB"/>
        </w:rPr>
        <w:t>rame</w:t>
      </w:r>
      <w:r w:rsidR="00966484">
        <w:rPr>
          <w:lang w:val="en-GB"/>
        </w:rPr>
        <w:t>s</w:t>
      </w:r>
      <w:r w:rsidR="001637E3">
        <w:rPr>
          <w:lang w:val="en-GB"/>
        </w:rPr>
        <w:t xml:space="preserve"> to </w:t>
      </w:r>
      <w:r w:rsidR="005447D2">
        <w:rPr>
          <w:lang w:val="en-GB"/>
        </w:rPr>
        <w:t xml:space="preserve">18.04% </w:t>
      </w:r>
      <w:r w:rsidR="00CE40F7">
        <w:rPr>
          <w:lang w:val="en-GB"/>
        </w:rPr>
        <w:t xml:space="preserve">for </w:t>
      </w:r>
      <w:r w:rsidR="005447D2">
        <w:rPr>
          <w:lang w:val="en-GB"/>
        </w:rPr>
        <w:t>gaskets.</w:t>
      </w:r>
    </w:p>
    <w:p w14:paraId="5D078168" w14:textId="53801796" w:rsidR="005546DF" w:rsidRDefault="00D51A36" w:rsidP="005546DF">
      <w:pPr>
        <w:widowControl w:val="0"/>
      </w:pPr>
      <w:r>
        <w:rPr>
          <w:lang w:val="en-GB"/>
        </w:rPr>
        <w:t>Comparing</w:t>
      </w:r>
      <w:r w:rsidR="001159B7">
        <w:rPr>
          <w:lang w:val="en-GB"/>
        </w:rPr>
        <w:t xml:space="preserve"> </w:t>
      </w:r>
      <w:r>
        <w:rPr>
          <w:lang w:val="en-GB"/>
        </w:rPr>
        <w:t>environmental and</w:t>
      </w:r>
      <w:r w:rsidR="001159B7">
        <w:rPr>
          <w:lang w:val="en-GB"/>
        </w:rPr>
        <w:t xml:space="preserve"> </w:t>
      </w:r>
      <w:r w:rsidR="008236BB">
        <w:rPr>
          <w:lang w:val="en-GB"/>
        </w:rPr>
        <w:t xml:space="preserve">economic impacts, </w:t>
      </w:r>
      <w:r w:rsidR="00FC711B">
        <w:rPr>
          <w:rFonts w:eastAsia="TimesLTStd-Roman"/>
        </w:rPr>
        <w:t xml:space="preserve">Figure 1 </w:t>
      </w:r>
      <w:r w:rsidR="00701CE1">
        <w:rPr>
          <w:rFonts w:eastAsia="TimesLTStd-Roman"/>
        </w:rPr>
        <w:t xml:space="preserve">shows </w:t>
      </w:r>
      <w:r w:rsidR="00FC711B">
        <w:rPr>
          <w:rFonts w:eastAsia="TimesLTStd-Roman"/>
        </w:rPr>
        <w:t>that</w:t>
      </w:r>
      <w:r w:rsidR="00725C93">
        <w:rPr>
          <w:rFonts w:eastAsia="TimesLTStd-Roman"/>
        </w:rPr>
        <w:t>,</w:t>
      </w:r>
      <w:r w:rsidR="002F79E4">
        <w:rPr>
          <w:rFonts w:eastAsia="TimesLTStd-Roman"/>
        </w:rPr>
        <w:t xml:space="preserve"> while the hotspots are similar for MEA and bipolar plates </w:t>
      </w:r>
      <w:r w:rsidR="003F1C08">
        <w:rPr>
          <w:rFonts w:eastAsia="TimesLTStd-Roman"/>
        </w:rPr>
        <w:t>among</w:t>
      </w:r>
      <w:r w:rsidR="00A4710C">
        <w:rPr>
          <w:rFonts w:eastAsia="TimesLTStd-Roman"/>
        </w:rPr>
        <w:t xml:space="preserve"> the ELCC and GWP and CED scores, differences exist i</w:t>
      </w:r>
      <w:r w:rsidR="002F79E4">
        <w:rPr>
          <w:rFonts w:eastAsia="TimesLTStd-Roman"/>
        </w:rPr>
        <w:t>n other components and impact categories</w:t>
      </w:r>
      <w:r w:rsidR="00FC711B">
        <w:rPr>
          <w:rFonts w:eastAsia="TimesLTStd-Roman"/>
        </w:rPr>
        <w:t xml:space="preserve">. For example, while the </w:t>
      </w:r>
      <w:r w:rsidR="00910AD0">
        <w:rPr>
          <w:rFonts w:eastAsia="TimesLTStd-Roman"/>
        </w:rPr>
        <w:t>frame</w:t>
      </w:r>
      <w:r w:rsidR="00FC711B">
        <w:rPr>
          <w:rFonts w:eastAsia="TimesLTStd-Roman"/>
        </w:rPr>
        <w:t xml:space="preserve"> contributes approximately </w:t>
      </w:r>
      <w:r w:rsidR="00F61296">
        <w:rPr>
          <w:rFonts w:eastAsia="TimesLTStd-Roman"/>
        </w:rPr>
        <w:t>less than 2% in all impact categories</w:t>
      </w:r>
      <w:r w:rsidR="00FC711B">
        <w:rPr>
          <w:rFonts w:eastAsia="TimesLTStd-Roman"/>
        </w:rPr>
        <w:t xml:space="preserve">, </w:t>
      </w:r>
      <w:r w:rsidR="00F61296">
        <w:rPr>
          <w:rFonts w:eastAsia="TimesLTStd-Roman"/>
        </w:rPr>
        <w:t>its cost</w:t>
      </w:r>
      <w:r w:rsidR="00FC711B">
        <w:rPr>
          <w:rFonts w:eastAsia="TimesLTStd-Roman"/>
        </w:rPr>
        <w:t xml:space="preserve"> has a much </w:t>
      </w:r>
      <w:r w:rsidR="00AE2A28">
        <w:rPr>
          <w:rFonts w:eastAsia="TimesLTStd-Roman"/>
        </w:rPr>
        <w:t>more significant</w:t>
      </w:r>
      <w:r w:rsidR="00FC711B">
        <w:rPr>
          <w:rFonts w:eastAsia="TimesLTStd-Roman"/>
        </w:rPr>
        <w:t xml:space="preserve"> economic</w:t>
      </w:r>
      <w:r w:rsidR="00B65027">
        <w:rPr>
          <w:rFonts w:eastAsia="TimesLTStd-Roman"/>
        </w:rPr>
        <w:t xml:space="preserve"> impact</w:t>
      </w:r>
      <w:r w:rsidR="004233DA">
        <w:rPr>
          <w:rFonts w:eastAsia="TimesLTStd-Roman"/>
        </w:rPr>
        <w:t xml:space="preserve"> (2</w:t>
      </w:r>
      <w:r w:rsidR="008C52CE">
        <w:rPr>
          <w:rFonts w:eastAsia="TimesLTStd-Roman"/>
        </w:rPr>
        <w:t>0.54</w:t>
      </w:r>
      <w:r w:rsidR="004233DA">
        <w:rPr>
          <w:rFonts w:eastAsia="TimesLTStd-Roman"/>
        </w:rPr>
        <w:t>% of ELCC)</w:t>
      </w:r>
      <w:r w:rsidR="00FC711B">
        <w:rPr>
          <w:rFonts w:eastAsia="TimesLTStd-Roman"/>
        </w:rPr>
        <w:t xml:space="preserve">. The contrary is for </w:t>
      </w:r>
      <w:r w:rsidR="00E95DC4">
        <w:rPr>
          <w:rFonts w:eastAsia="TimesLTStd-Roman"/>
        </w:rPr>
        <w:t>gaskets</w:t>
      </w:r>
      <w:r w:rsidR="00701CE1">
        <w:rPr>
          <w:rFonts w:eastAsia="TimesLTStd-Roman"/>
        </w:rPr>
        <w:t xml:space="preserve">: </w:t>
      </w:r>
      <w:r w:rsidR="00FC711B">
        <w:rPr>
          <w:rFonts w:eastAsia="TimesLTStd-Roman"/>
        </w:rPr>
        <w:t xml:space="preserve">the cost has a </w:t>
      </w:r>
      <w:r w:rsidR="00E95DC4">
        <w:rPr>
          <w:rFonts w:eastAsia="TimesLTStd-Roman"/>
        </w:rPr>
        <w:t xml:space="preserve">minor </w:t>
      </w:r>
      <w:r w:rsidR="009476A2">
        <w:rPr>
          <w:rFonts w:eastAsia="TimesLTStd-Roman"/>
        </w:rPr>
        <w:t>significant</w:t>
      </w:r>
      <w:r w:rsidR="00FC711B">
        <w:rPr>
          <w:rFonts w:eastAsia="TimesLTStd-Roman"/>
        </w:rPr>
        <w:t xml:space="preserve"> percentage </w:t>
      </w:r>
      <w:r w:rsidR="00DE4658">
        <w:rPr>
          <w:rFonts w:eastAsia="TimesLTStd-Roman"/>
        </w:rPr>
        <w:t xml:space="preserve">(0.05%) </w:t>
      </w:r>
      <w:r w:rsidR="00FC711B">
        <w:rPr>
          <w:rFonts w:eastAsia="TimesLTStd-Roman"/>
        </w:rPr>
        <w:t xml:space="preserve">than the </w:t>
      </w:r>
      <w:r w:rsidR="006C4F99">
        <w:rPr>
          <w:rFonts w:eastAsia="TimesLTStd-Roman"/>
        </w:rPr>
        <w:t>GWP</w:t>
      </w:r>
      <w:r w:rsidR="00FC711B">
        <w:rPr>
          <w:rFonts w:eastAsia="TimesLTStd-Roman"/>
        </w:rPr>
        <w:t xml:space="preserve"> score</w:t>
      </w:r>
      <w:r w:rsidR="00A35299">
        <w:rPr>
          <w:rFonts w:eastAsia="TimesLTStd-Roman"/>
        </w:rPr>
        <w:t xml:space="preserve"> (6.72%)</w:t>
      </w:r>
      <w:r w:rsidR="00FC711B">
        <w:rPr>
          <w:rFonts w:eastAsia="TimesLTStd-Roman"/>
        </w:rPr>
        <w:t xml:space="preserve">. </w:t>
      </w:r>
      <w:r w:rsidR="00F851C0">
        <w:rPr>
          <w:rFonts w:eastAsia="TimesLTStd-Roman"/>
        </w:rPr>
        <w:t xml:space="preserve">The highest discrepancies could be associated </w:t>
      </w:r>
      <w:r w:rsidR="00E832DC">
        <w:rPr>
          <w:rFonts w:eastAsia="TimesLTStd-Roman"/>
        </w:rPr>
        <w:t>with</w:t>
      </w:r>
      <w:r w:rsidR="00F851C0">
        <w:rPr>
          <w:rFonts w:eastAsia="TimesLTStd-Roman"/>
        </w:rPr>
        <w:t xml:space="preserve"> the fact that </w:t>
      </w:r>
      <w:r w:rsidR="00E67BFC">
        <w:rPr>
          <w:rFonts w:eastAsia="TimesLTStd-Roman"/>
        </w:rPr>
        <w:t>the technologies are not still commercialized</w:t>
      </w:r>
      <w:r w:rsidR="00D5231A">
        <w:rPr>
          <w:rFonts w:eastAsia="TimesLTStd-Roman"/>
        </w:rPr>
        <w:t>,</w:t>
      </w:r>
      <w:r w:rsidR="00E67BFC">
        <w:rPr>
          <w:rFonts w:eastAsia="TimesLTStd-Roman"/>
        </w:rPr>
        <w:t xml:space="preserve"> and the </w:t>
      </w:r>
      <w:proofErr w:type="gramStart"/>
      <w:r w:rsidR="00E67BFC">
        <w:rPr>
          <w:rFonts w:eastAsia="TimesLTStd-Roman"/>
        </w:rPr>
        <w:t>particular shapes</w:t>
      </w:r>
      <w:proofErr w:type="gramEnd"/>
      <w:r w:rsidR="00E67BFC">
        <w:rPr>
          <w:rFonts w:eastAsia="TimesLTStd-Roman"/>
        </w:rPr>
        <w:t xml:space="preserve"> </w:t>
      </w:r>
      <w:r w:rsidR="00D5231A">
        <w:rPr>
          <w:rFonts w:eastAsia="TimesLTStd-Roman"/>
        </w:rPr>
        <w:t>required for</w:t>
      </w:r>
      <w:r w:rsidR="00E67BFC">
        <w:rPr>
          <w:rFonts w:eastAsia="TimesLTStd-Roman"/>
        </w:rPr>
        <w:t xml:space="preserve"> some components </w:t>
      </w:r>
      <w:r w:rsidR="00D5231A">
        <w:rPr>
          <w:rFonts w:eastAsia="TimesLTStd-Roman"/>
        </w:rPr>
        <w:t>are</w:t>
      </w:r>
      <w:r w:rsidR="002066FC">
        <w:rPr>
          <w:rFonts w:eastAsia="TimesLTStd-Roman"/>
        </w:rPr>
        <w:t xml:space="preserve"> affected by treatment </w:t>
      </w:r>
      <w:r w:rsidR="00D5231A">
        <w:rPr>
          <w:rFonts w:eastAsia="TimesLTStd-Roman"/>
        </w:rPr>
        <w:t>and machinery prices</w:t>
      </w:r>
      <w:r w:rsidR="005D30E2">
        <w:rPr>
          <w:rFonts w:eastAsia="TimesLTStd-Roman"/>
        </w:rPr>
        <w:t xml:space="preserve">. However, </w:t>
      </w:r>
      <w:r w:rsidR="00701CE1">
        <w:rPr>
          <w:rFonts w:eastAsia="TimesLTStd-Roman"/>
        </w:rPr>
        <w:t xml:space="preserve">in this preliminary study, </w:t>
      </w:r>
      <w:r w:rsidR="005D30E2">
        <w:rPr>
          <w:rFonts w:eastAsia="TimesLTStd-Roman"/>
        </w:rPr>
        <w:t>considering that th</w:t>
      </w:r>
      <w:r w:rsidR="0081399C">
        <w:rPr>
          <w:rFonts w:eastAsia="TimesLTStd-Roman"/>
        </w:rPr>
        <w:t xml:space="preserve">ird </w:t>
      </w:r>
      <w:r w:rsidR="0076360C">
        <w:rPr>
          <w:rFonts w:eastAsia="TimesLTStd-Roman"/>
        </w:rPr>
        <w:t>organizations</w:t>
      </w:r>
      <w:r w:rsidR="00701CE1">
        <w:rPr>
          <w:rFonts w:eastAsia="TimesLTStd-Roman"/>
        </w:rPr>
        <w:t xml:space="preserve"> </w:t>
      </w:r>
      <w:r w:rsidR="0081399C">
        <w:rPr>
          <w:rFonts w:eastAsia="TimesLTStd-Roman"/>
        </w:rPr>
        <w:t>provide the componen</w:t>
      </w:r>
      <w:r w:rsidR="005D30E2">
        <w:rPr>
          <w:rFonts w:eastAsia="TimesLTStd-Roman"/>
        </w:rPr>
        <w:t>ts</w:t>
      </w:r>
      <w:r w:rsidR="004A4229">
        <w:rPr>
          <w:rFonts w:eastAsia="TimesLTStd-Roman"/>
        </w:rPr>
        <w:t xml:space="preserve">, </w:t>
      </w:r>
      <w:r w:rsidR="00701CE1">
        <w:rPr>
          <w:rFonts w:eastAsia="TimesLTStd-Roman"/>
        </w:rPr>
        <w:t xml:space="preserve">it was impossible </w:t>
      </w:r>
      <w:r w:rsidR="006C4F99">
        <w:rPr>
          <w:rFonts w:eastAsia="TimesLTStd-Roman"/>
        </w:rPr>
        <w:t xml:space="preserve">providing an </w:t>
      </w:r>
      <w:r w:rsidR="003253C5">
        <w:rPr>
          <w:rFonts w:eastAsia="TimesLTStd-Roman"/>
        </w:rPr>
        <w:t>estimati</w:t>
      </w:r>
      <w:r w:rsidR="006C4F99">
        <w:rPr>
          <w:rFonts w:eastAsia="TimesLTStd-Roman"/>
        </w:rPr>
        <w:t>on of</w:t>
      </w:r>
      <w:r w:rsidR="003253C5">
        <w:rPr>
          <w:rFonts w:eastAsia="TimesLTStd-Roman"/>
        </w:rPr>
        <w:t xml:space="preserve"> the </w:t>
      </w:r>
      <w:r w:rsidR="00AA54B6">
        <w:rPr>
          <w:rFonts w:eastAsia="TimesLTStd-Roman"/>
        </w:rPr>
        <w:t>influential</w:t>
      </w:r>
      <w:r w:rsidR="003253C5">
        <w:rPr>
          <w:rFonts w:eastAsia="TimesLTStd-Roman"/>
        </w:rPr>
        <w:t xml:space="preserve"> contributions for each </w:t>
      </w:r>
      <w:r w:rsidR="006C4F99">
        <w:rPr>
          <w:rFonts w:eastAsia="TimesLTStd-Roman"/>
        </w:rPr>
        <w:t>material</w:t>
      </w:r>
      <w:r w:rsidR="003253C5">
        <w:rPr>
          <w:rFonts w:eastAsia="TimesLTStd-Roman"/>
        </w:rPr>
        <w:t xml:space="preserve">, energy, and </w:t>
      </w:r>
      <w:r w:rsidR="00E05CC0">
        <w:rPr>
          <w:rFonts w:eastAsia="TimesLTStd-Roman"/>
        </w:rPr>
        <w:t>operat</w:t>
      </w:r>
      <w:r w:rsidR="003253C5">
        <w:rPr>
          <w:rFonts w:eastAsia="TimesLTStd-Roman"/>
        </w:rPr>
        <w:t>ing cost</w:t>
      </w:r>
      <w:r w:rsidR="005114FC">
        <w:rPr>
          <w:rFonts w:eastAsia="TimesLTStd-Roman"/>
        </w:rPr>
        <w:t xml:space="preserve"> </w:t>
      </w:r>
      <w:r w:rsidR="00701CE1">
        <w:rPr>
          <w:rFonts w:eastAsia="TimesLTStd-Roman"/>
        </w:rPr>
        <w:t>due to</w:t>
      </w:r>
      <w:r w:rsidR="00B23997">
        <w:rPr>
          <w:rFonts w:eastAsia="TimesLTStd-Roman"/>
        </w:rPr>
        <w:t xml:space="preserve"> missing data for both </w:t>
      </w:r>
      <w:r w:rsidR="00E26967">
        <w:rPr>
          <w:rFonts w:eastAsia="TimesLTStd-Roman"/>
        </w:rPr>
        <w:t>LCA and ELCC</w:t>
      </w:r>
      <w:r w:rsidR="00DB12E3">
        <w:rPr>
          <w:rFonts w:eastAsia="TimesLTStd-Roman"/>
        </w:rPr>
        <w:t>, e</w:t>
      </w:r>
      <w:r w:rsidR="001053D4">
        <w:rPr>
          <w:rFonts w:eastAsia="TimesLTStd-Roman"/>
        </w:rPr>
        <w:t>s</w:t>
      </w:r>
      <w:r w:rsidR="00DB12E3">
        <w:rPr>
          <w:rFonts w:eastAsia="TimesLTStd-Roman"/>
        </w:rPr>
        <w:t>pecially on crucial and critical elemen</w:t>
      </w:r>
      <w:r w:rsidR="001053D4">
        <w:rPr>
          <w:rFonts w:eastAsia="TimesLTStd-Roman"/>
        </w:rPr>
        <w:t>t</w:t>
      </w:r>
      <w:r w:rsidR="00DB12E3">
        <w:rPr>
          <w:rFonts w:eastAsia="TimesLTStd-Roman"/>
        </w:rPr>
        <w:t xml:space="preserve">s such as </w:t>
      </w:r>
      <w:r w:rsidR="001053D4">
        <w:rPr>
          <w:rFonts w:eastAsia="TimesLTStd-Roman"/>
        </w:rPr>
        <w:t>catalysts</w:t>
      </w:r>
      <w:r w:rsidR="0081399C">
        <w:rPr>
          <w:rFonts w:eastAsia="TimesLTStd-Roman"/>
        </w:rPr>
        <w:t>.</w:t>
      </w:r>
    </w:p>
    <w:p w14:paraId="261283AF" w14:textId="729BC5FD" w:rsidR="00FC711B" w:rsidRDefault="00FC711B" w:rsidP="000B363E">
      <w:pPr>
        <w:pStyle w:val="Titolo1"/>
        <w:keepNext w:val="0"/>
        <w:widowControl w:val="0"/>
      </w:pPr>
      <w:r>
        <w:t>Conclusions</w:t>
      </w:r>
    </w:p>
    <w:p w14:paraId="3D1A50D1" w14:textId="6BC31566" w:rsidR="00011D00" w:rsidRPr="00713969" w:rsidRDefault="00A4637A" w:rsidP="00002AFE">
      <w:pPr>
        <w:widowControl w:val="0"/>
      </w:pPr>
      <w:r>
        <w:t>T</w:t>
      </w:r>
      <w:r w:rsidR="00CF7FD0" w:rsidRPr="00713969">
        <w:t>his paper aim</w:t>
      </w:r>
      <w:r w:rsidR="00011D00">
        <w:t>ed</w:t>
      </w:r>
      <w:r w:rsidR="00CF7FD0" w:rsidRPr="00713969">
        <w:t xml:space="preserve"> </w:t>
      </w:r>
      <w:r w:rsidR="00011D00">
        <w:t>to evaluate the environmental and economic impacts of a PEM-URFC stack</w:t>
      </w:r>
      <w:r>
        <w:t xml:space="preserve"> </w:t>
      </w:r>
      <w:proofErr w:type="gramStart"/>
      <w:r w:rsidR="00FD03B2">
        <w:t>in order to</w:t>
      </w:r>
      <w:proofErr w:type="gramEnd"/>
      <w:r w:rsidR="00FD03B2">
        <w:t xml:space="preserve"> </w:t>
      </w:r>
      <w:r w:rsidR="00011D00">
        <w:t xml:space="preserve">identify </w:t>
      </w:r>
      <w:r w:rsidR="00A87C12">
        <w:t xml:space="preserve">its </w:t>
      </w:r>
      <w:r w:rsidR="00011D00">
        <w:t xml:space="preserve">main hotspots. </w:t>
      </w:r>
      <w:r w:rsidR="007A6858">
        <w:t>The</w:t>
      </w:r>
      <w:r w:rsidR="00CC5544" w:rsidRPr="00713969">
        <w:t xml:space="preserve"> LCA </w:t>
      </w:r>
      <w:r w:rsidR="007A6858">
        <w:t xml:space="preserve">and ELCC </w:t>
      </w:r>
      <w:r w:rsidR="00CC5544" w:rsidRPr="00713969">
        <w:t>of a small PEM-URFC stack w</w:t>
      </w:r>
      <w:r w:rsidR="007A6858">
        <w:t>ere</w:t>
      </w:r>
      <w:r w:rsidR="00CC5544" w:rsidRPr="00713969">
        <w:t xml:space="preserve"> carried out to reach the study</w:t>
      </w:r>
      <w:r w:rsidR="00C40CC0">
        <w:t>'</w:t>
      </w:r>
      <w:r w:rsidR="00CC5544" w:rsidRPr="00713969">
        <w:t xml:space="preserve">s scope, and </w:t>
      </w:r>
      <w:r w:rsidR="00F074A1">
        <w:t>a contribution analysis was conducted</w:t>
      </w:r>
      <w:r w:rsidR="00885F68">
        <w:t xml:space="preserve"> to </w:t>
      </w:r>
      <w:r w:rsidR="0099234D">
        <w:t xml:space="preserve">identify critical </w:t>
      </w:r>
      <w:r w:rsidR="00A40301">
        <w:t>issues</w:t>
      </w:r>
      <w:r w:rsidR="00CC5544" w:rsidRPr="00713969">
        <w:t xml:space="preserve">. The </w:t>
      </w:r>
      <w:r w:rsidR="00E014EC">
        <w:t>life cycle</w:t>
      </w:r>
      <w:r w:rsidR="00CC5544" w:rsidRPr="00713969">
        <w:t xml:space="preserve"> study included primary data on </w:t>
      </w:r>
      <w:r w:rsidR="003C3A79">
        <w:t>each stack component</w:t>
      </w:r>
      <w:r w:rsidR="00C40CC0">
        <w:t>'</w:t>
      </w:r>
      <w:r w:rsidR="003C3A79">
        <w:t>s weight, materials,</w:t>
      </w:r>
      <w:r w:rsidR="00FA0905">
        <w:t xml:space="preserve"> and costs</w:t>
      </w:r>
      <w:r w:rsidR="00CC5544" w:rsidRPr="00713969">
        <w:t xml:space="preserve">. </w:t>
      </w:r>
      <w:r w:rsidR="001B2DE0">
        <w:t xml:space="preserve">Instead, </w:t>
      </w:r>
      <w:r w:rsidR="00A70CD1">
        <w:t xml:space="preserve">the working processes </w:t>
      </w:r>
      <w:r w:rsidR="00DD595E">
        <w:t>proxies</w:t>
      </w:r>
      <w:r w:rsidR="00E26967">
        <w:t>,</w:t>
      </w:r>
      <w:r w:rsidR="00A70CD1">
        <w:t xml:space="preserve"> materials production</w:t>
      </w:r>
      <w:r w:rsidR="00DD595E">
        <w:t xml:space="preserve"> datasets</w:t>
      </w:r>
      <w:r w:rsidR="00FC5E45">
        <w:t xml:space="preserve"> </w:t>
      </w:r>
      <w:r w:rsidR="00E26967">
        <w:t xml:space="preserve">and environmental </w:t>
      </w:r>
      <w:r w:rsidR="00F10B05">
        <w:t xml:space="preserve">prices </w:t>
      </w:r>
      <w:r w:rsidR="00DD595E">
        <w:t>are</w:t>
      </w:r>
      <w:r w:rsidR="00C0193D">
        <w:t xml:space="preserve"> taken from </w:t>
      </w:r>
      <w:r w:rsidR="00DD595E">
        <w:t xml:space="preserve">the </w:t>
      </w:r>
      <w:r w:rsidR="00C0193D">
        <w:t xml:space="preserve">Ecoinvent </w:t>
      </w:r>
      <w:r w:rsidR="00DD595E">
        <w:t>database</w:t>
      </w:r>
      <w:r w:rsidR="00F10B05">
        <w:t xml:space="preserve"> and literature studies</w:t>
      </w:r>
      <w:r w:rsidR="00DD595E">
        <w:t>.</w:t>
      </w:r>
      <w:r w:rsidR="001B2DE0">
        <w:t xml:space="preserve"> </w:t>
      </w:r>
      <w:r w:rsidR="00CC5544" w:rsidRPr="00713969">
        <w:t xml:space="preserve">The analysis shows that the highest potential impacts are associated with </w:t>
      </w:r>
      <w:r w:rsidR="00F30559">
        <w:t>MEA</w:t>
      </w:r>
      <w:r w:rsidR="00BE5ACC">
        <w:t>,</w:t>
      </w:r>
      <w:r w:rsidR="00F30559">
        <w:t xml:space="preserve"> </w:t>
      </w:r>
      <w:r w:rsidR="00BE5ACC">
        <w:t>which</w:t>
      </w:r>
      <w:r w:rsidR="00F30559">
        <w:t xml:space="preserve"> includes catalysts and materials </w:t>
      </w:r>
      <w:r w:rsidR="00BE5ACC">
        <w:t>(</w:t>
      </w:r>
      <w:r w:rsidR="00BE5ACC" w:rsidRPr="00713969">
        <w:t xml:space="preserve">such as </w:t>
      </w:r>
      <w:r w:rsidR="000040E6">
        <w:t>Palladium</w:t>
      </w:r>
      <w:r w:rsidR="00BE5ACC" w:rsidRPr="00713969">
        <w:t xml:space="preserve">, </w:t>
      </w:r>
      <w:r w:rsidR="000040E6">
        <w:t>P</w:t>
      </w:r>
      <w:r w:rsidR="000040E6" w:rsidRPr="00713969">
        <w:t>latinum</w:t>
      </w:r>
      <w:r w:rsidR="00BE5ACC" w:rsidRPr="00713969">
        <w:t xml:space="preserve">, </w:t>
      </w:r>
      <w:r w:rsidR="000040E6">
        <w:t>T</w:t>
      </w:r>
      <w:r w:rsidR="000040E6" w:rsidRPr="00713969">
        <w:t>itanium</w:t>
      </w:r>
      <w:r w:rsidR="00BE5ACC" w:rsidRPr="00713969">
        <w:t xml:space="preserve">, </w:t>
      </w:r>
      <w:r w:rsidR="00BE5ACC">
        <w:t xml:space="preserve">and </w:t>
      </w:r>
      <w:r w:rsidR="00BE5ACC" w:rsidRPr="00713969">
        <w:t>Nafion</w:t>
      </w:r>
      <w:r w:rsidR="00BE5ACC">
        <w:t xml:space="preserve">) </w:t>
      </w:r>
      <w:r w:rsidR="00B95627">
        <w:lastRenderedPageBreak/>
        <w:t xml:space="preserve">characterized by </w:t>
      </w:r>
      <w:r w:rsidR="00BE5ACC">
        <w:t xml:space="preserve">a </w:t>
      </w:r>
      <w:r w:rsidR="00CC5544" w:rsidRPr="00713969">
        <w:t>high</w:t>
      </w:r>
      <w:r w:rsidR="00BE5ACC">
        <w:t xml:space="preserve"> or medium</w:t>
      </w:r>
      <w:r w:rsidR="00CC5544" w:rsidRPr="00713969">
        <w:t xml:space="preserve"> </w:t>
      </w:r>
      <w:r w:rsidR="00B95627">
        <w:t>cri</w:t>
      </w:r>
      <w:r w:rsidR="00CE24CB">
        <w:t xml:space="preserve">tical supply chain that affects both </w:t>
      </w:r>
      <w:r w:rsidR="00FF6A95">
        <w:t xml:space="preserve">the </w:t>
      </w:r>
      <w:r w:rsidR="00CE24CB">
        <w:t xml:space="preserve">economic (LCC) and </w:t>
      </w:r>
      <w:r w:rsidR="00BE5ACC">
        <w:t>environmental (LCA) pillars of sustainability</w:t>
      </w:r>
      <w:r w:rsidR="00CC5544" w:rsidRPr="00713969">
        <w:t xml:space="preserve">. </w:t>
      </w:r>
      <w:r w:rsidR="00473EE3">
        <w:t>Despite the similarities between LCA and ELCC hotspo</w:t>
      </w:r>
      <w:r w:rsidR="00DD5A75">
        <w:t>ts</w:t>
      </w:r>
      <w:r w:rsidR="00CC5544" w:rsidRPr="00713969">
        <w:t xml:space="preserve">, </w:t>
      </w:r>
      <w:r w:rsidR="00473EE3">
        <w:t>some discr</w:t>
      </w:r>
      <w:r w:rsidR="001C6F86">
        <w:t>e</w:t>
      </w:r>
      <w:r w:rsidR="00473EE3">
        <w:t xml:space="preserve">pancies were noticed </w:t>
      </w:r>
      <w:r w:rsidR="001C6F86">
        <w:t>for frame and gasket</w:t>
      </w:r>
      <w:r w:rsidR="009F4ADD">
        <w:t xml:space="preserve"> components. However, considering that most of the data </w:t>
      </w:r>
      <w:r w:rsidR="003F22E7">
        <w:t>refer</w:t>
      </w:r>
      <w:r w:rsidR="009F4ADD">
        <w:t xml:space="preserve"> to </w:t>
      </w:r>
      <w:r w:rsidR="003C6C78">
        <w:t>emerging technolog</w:t>
      </w:r>
      <w:r w:rsidR="00DD5A75">
        <w:t>y</w:t>
      </w:r>
      <w:r w:rsidR="003C6C78">
        <w:t xml:space="preserve"> at </w:t>
      </w:r>
      <w:proofErr w:type="gramStart"/>
      <w:r w:rsidR="003C6C78">
        <w:t>early stage</w:t>
      </w:r>
      <w:proofErr w:type="gramEnd"/>
      <w:r w:rsidR="003C6C78">
        <w:t xml:space="preserve"> design and labor</w:t>
      </w:r>
      <w:r w:rsidR="00D33695">
        <w:t>ator</w:t>
      </w:r>
      <w:r w:rsidR="003C6C78">
        <w:t xml:space="preserve">y scale, </w:t>
      </w:r>
      <w:r w:rsidR="00BD3DB5">
        <w:t xml:space="preserve">the sustainability of </w:t>
      </w:r>
      <w:r w:rsidR="00DD5A75">
        <w:t>the device</w:t>
      </w:r>
      <w:r w:rsidR="00BD3DB5">
        <w:t xml:space="preserve"> </w:t>
      </w:r>
      <w:r w:rsidR="008E5A82">
        <w:t>ha</w:t>
      </w:r>
      <w:r w:rsidR="00DD5A75">
        <w:t>s</w:t>
      </w:r>
      <w:r w:rsidR="008E5A82">
        <w:t xml:space="preserve"> to be evalu</w:t>
      </w:r>
      <w:r w:rsidR="00DD5A75">
        <w:t>a</w:t>
      </w:r>
      <w:r w:rsidR="008E5A82">
        <w:t>te</w:t>
      </w:r>
      <w:r w:rsidR="00DD5A75">
        <w:t>d considering</w:t>
      </w:r>
      <w:r w:rsidR="008E5A82">
        <w:t xml:space="preserve"> </w:t>
      </w:r>
      <w:r w:rsidR="00DD5A75">
        <w:t xml:space="preserve">different </w:t>
      </w:r>
      <w:r w:rsidR="003F70A8">
        <w:t>parameters for both economic and environmental models</w:t>
      </w:r>
      <w:r w:rsidR="003F22E7">
        <w:t xml:space="preserve"> </w:t>
      </w:r>
      <w:r w:rsidR="00FB201D">
        <w:t>and market scenarios</w:t>
      </w:r>
      <w:r w:rsidR="008F5BFB">
        <w:t xml:space="preserve">. </w:t>
      </w:r>
      <w:r w:rsidR="00DD5A75">
        <w:t>In addition</w:t>
      </w:r>
      <w:r w:rsidR="00CC5544" w:rsidRPr="00713969">
        <w:t xml:space="preserve">, </w:t>
      </w:r>
      <w:r w:rsidR="008F5BFB">
        <w:t xml:space="preserve">future studies </w:t>
      </w:r>
      <w:r w:rsidR="00DD5A75">
        <w:t>may be focused on evaluating, e.g., the whole life cycle of URFC systems from manufacturing to end-of-life, calculating the uncertainty linked to catalysts production processes and the relative effects on results and estimating the potential benefits of technologies if compared with alternative energy storages.</w:t>
      </w:r>
    </w:p>
    <w:p w14:paraId="4083CEAF" w14:textId="77777777" w:rsidR="003D50CE" w:rsidRPr="00713969" w:rsidRDefault="003D50CE" w:rsidP="000B363E">
      <w:pPr>
        <w:pStyle w:val="Titolo1"/>
        <w:keepNext w:val="0"/>
        <w:widowControl w:val="0"/>
        <w:numPr>
          <w:ilvl w:val="0"/>
          <w:numId w:val="0"/>
        </w:numPr>
        <w:ind w:left="360" w:hanging="360"/>
        <w:rPr>
          <w:lang w:val="en-GB"/>
        </w:rPr>
      </w:pPr>
      <w:r w:rsidRPr="00713969">
        <w:rPr>
          <w:lang w:val="en-GB"/>
        </w:rPr>
        <w:t>Funding</w:t>
      </w:r>
    </w:p>
    <w:p w14:paraId="1B9CE5BF" w14:textId="77777777" w:rsidR="003D50CE" w:rsidRPr="00713969" w:rsidRDefault="003D50CE" w:rsidP="000B363E">
      <w:pPr>
        <w:widowControl w:val="0"/>
        <w:rPr>
          <w:sz w:val="16"/>
          <w:szCs w:val="16"/>
          <w:lang w:val="en-GB"/>
        </w:rPr>
      </w:pPr>
      <w:r w:rsidRPr="00713969">
        <w:rPr>
          <w:lang w:val="en-GB"/>
        </w:rPr>
        <w:t>This research has been carried out as part of the project “ELETTRORIGENERA” (PO FESR SICILIA 2014-2020 AVVISO 1.1.5 - PROGETTO ELETTRORIGENERA N. 08ME2899200216)</w:t>
      </w:r>
    </w:p>
    <w:p w14:paraId="2F2D8A80" w14:textId="1E51CF70" w:rsidR="00A642FF" w:rsidRDefault="00A642FF" w:rsidP="000B363E">
      <w:pPr>
        <w:pStyle w:val="Titolo1"/>
        <w:keepNext w:val="0"/>
        <w:widowControl w:val="0"/>
        <w:numPr>
          <w:ilvl w:val="0"/>
          <w:numId w:val="0"/>
        </w:numPr>
      </w:pPr>
      <w:r>
        <w:t>References</w:t>
      </w:r>
    </w:p>
    <w:p w14:paraId="431F0385" w14:textId="40DE6531" w:rsidR="00425854" w:rsidRPr="00425854" w:rsidRDefault="006065F0" w:rsidP="00425854">
      <w:pPr>
        <w:widowControl w:val="0"/>
        <w:autoSpaceDE w:val="0"/>
        <w:autoSpaceDN w:val="0"/>
        <w:adjustRightInd w:val="0"/>
        <w:spacing w:line="240" w:lineRule="auto"/>
        <w:ind w:left="480" w:hanging="480"/>
        <w:rPr>
          <w:noProof/>
          <w:szCs w:val="24"/>
        </w:rPr>
      </w:pPr>
      <w:r>
        <w:fldChar w:fldCharType="begin" w:fldLock="1"/>
      </w:r>
      <w:r>
        <w:instrText xml:space="preserve">ADDIN Mendeley Bibliography CSL_BIBLIOGRAPHY </w:instrText>
      </w:r>
      <w:r>
        <w:fldChar w:fldCharType="separate"/>
      </w:r>
      <w:r w:rsidR="00425854" w:rsidRPr="00425854">
        <w:rPr>
          <w:noProof/>
          <w:szCs w:val="24"/>
        </w:rPr>
        <w:t xml:space="preserve">CML - Department of Industrial Ecology. (2016). </w:t>
      </w:r>
      <w:r w:rsidR="00425854" w:rsidRPr="00425854">
        <w:rPr>
          <w:i/>
          <w:iCs/>
          <w:noProof/>
          <w:szCs w:val="24"/>
        </w:rPr>
        <w:t>CML-IA Characterisation Factors</w:t>
      </w:r>
      <w:r w:rsidR="00425854" w:rsidRPr="00425854">
        <w:rPr>
          <w:noProof/>
          <w:szCs w:val="24"/>
        </w:rPr>
        <w:t>. https://www.universiteitleiden.nl/en/research/research-output/science/cml-ia-characterisation-factors</w:t>
      </w:r>
    </w:p>
    <w:p w14:paraId="17D6E6A7" w14:textId="77777777" w:rsidR="00425854" w:rsidRPr="00425854" w:rsidRDefault="00425854" w:rsidP="00425854">
      <w:pPr>
        <w:widowControl w:val="0"/>
        <w:autoSpaceDE w:val="0"/>
        <w:autoSpaceDN w:val="0"/>
        <w:adjustRightInd w:val="0"/>
        <w:spacing w:line="240" w:lineRule="auto"/>
        <w:ind w:left="480" w:hanging="480"/>
        <w:rPr>
          <w:noProof/>
          <w:szCs w:val="24"/>
        </w:rPr>
      </w:pPr>
      <w:r w:rsidRPr="00425854">
        <w:rPr>
          <w:noProof/>
          <w:szCs w:val="24"/>
        </w:rPr>
        <w:t xml:space="preserve">De Bruyn, S., Bijleveld, M., De Graaff, L., Schep, E., Schroten, A., Vergeer, R., &amp; Ahdour, S. (2018). </w:t>
      </w:r>
      <w:r w:rsidRPr="00425854">
        <w:rPr>
          <w:i/>
          <w:iCs/>
          <w:noProof/>
          <w:szCs w:val="24"/>
        </w:rPr>
        <w:t>Environmental Prices Handbook EU28 versionN54-Environmental Prices Handbook Environmental Prices Handbook EU28 version</w:t>
      </w:r>
      <w:r w:rsidRPr="00425854">
        <w:rPr>
          <w:noProof/>
          <w:szCs w:val="24"/>
        </w:rPr>
        <w:t>.</w:t>
      </w:r>
    </w:p>
    <w:p w14:paraId="2A5B4646" w14:textId="77777777" w:rsidR="00425854" w:rsidRPr="00425854" w:rsidRDefault="00425854" w:rsidP="00425854">
      <w:pPr>
        <w:widowControl w:val="0"/>
        <w:autoSpaceDE w:val="0"/>
        <w:autoSpaceDN w:val="0"/>
        <w:adjustRightInd w:val="0"/>
        <w:spacing w:line="240" w:lineRule="auto"/>
        <w:ind w:left="480" w:hanging="480"/>
        <w:rPr>
          <w:noProof/>
          <w:szCs w:val="24"/>
        </w:rPr>
      </w:pPr>
      <w:r w:rsidRPr="00425854">
        <w:rPr>
          <w:noProof/>
          <w:szCs w:val="24"/>
        </w:rPr>
        <w:t xml:space="preserve">EC-COM. (2019). </w:t>
      </w:r>
      <w:r w:rsidRPr="00425854">
        <w:rPr>
          <w:i/>
          <w:iCs/>
          <w:noProof/>
          <w:szCs w:val="24"/>
        </w:rPr>
        <w:t>The European Green Deal (COM (2019) 640 final).</w:t>
      </w:r>
      <w:r w:rsidRPr="00425854">
        <w:rPr>
          <w:noProof/>
          <w:szCs w:val="24"/>
        </w:rPr>
        <w:t xml:space="preserve"> https://eur-lex.europa.eu/resource.html?uri=cellar:b828d165-1c22-11ea-8c1f-01aa75ed71a1.0002.02/DOC_1&amp;format=PDF</w:t>
      </w:r>
    </w:p>
    <w:p w14:paraId="0AA3A85A" w14:textId="77777777" w:rsidR="00425854" w:rsidRPr="00425854" w:rsidRDefault="00425854" w:rsidP="00425854">
      <w:pPr>
        <w:widowControl w:val="0"/>
        <w:autoSpaceDE w:val="0"/>
        <w:autoSpaceDN w:val="0"/>
        <w:adjustRightInd w:val="0"/>
        <w:spacing w:line="240" w:lineRule="auto"/>
        <w:ind w:left="480" w:hanging="480"/>
        <w:rPr>
          <w:noProof/>
          <w:szCs w:val="24"/>
        </w:rPr>
      </w:pPr>
      <w:r w:rsidRPr="004777A8">
        <w:rPr>
          <w:noProof/>
          <w:szCs w:val="24"/>
          <w:lang w:val="it-IT"/>
        </w:rPr>
        <w:t xml:space="preserve">Evangelisti, S., Tagliaferri, C., Brett, D., &amp; Lettieri, P. (2017). </w:t>
      </w:r>
      <w:r w:rsidRPr="00425854">
        <w:rPr>
          <w:noProof/>
          <w:szCs w:val="24"/>
        </w:rPr>
        <w:t xml:space="preserve">Life cycle assessment of a polymer electrolyte membrane fuel cell system for passenger vehicles. </w:t>
      </w:r>
      <w:r w:rsidRPr="00425854">
        <w:rPr>
          <w:i/>
          <w:iCs/>
          <w:noProof/>
          <w:szCs w:val="24"/>
        </w:rPr>
        <w:t>Journal of Cleaner Production</w:t>
      </w:r>
      <w:r w:rsidRPr="00425854">
        <w:rPr>
          <w:noProof/>
          <w:szCs w:val="24"/>
        </w:rPr>
        <w:t xml:space="preserve">, </w:t>
      </w:r>
      <w:r w:rsidRPr="00425854">
        <w:rPr>
          <w:i/>
          <w:iCs/>
          <w:noProof/>
          <w:szCs w:val="24"/>
        </w:rPr>
        <w:t>142</w:t>
      </w:r>
      <w:r w:rsidRPr="00425854">
        <w:rPr>
          <w:noProof/>
          <w:szCs w:val="24"/>
        </w:rPr>
        <w:t>, 4339–4355. https://doi.org/10.1016/j.jclepro.2016.11.159</w:t>
      </w:r>
    </w:p>
    <w:p w14:paraId="437E2BA8" w14:textId="77777777" w:rsidR="00425854" w:rsidRPr="00425854" w:rsidRDefault="00425854" w:rsidP="00425854">
      <w:pPr>
        <w:widowControl w:val="0"/>
        <w:autoSpaceDE w:val="0"/>
        <w:autoSpaceDN w:val="0"/>
        <w:adjustRightInd w:val="0"/>
        <w:spacing w:line="240" w:lineRule="auto"/>
        <w:ind w:left="480" w:hanging="480"/>
        <w:rPr>
          <w:noProof/>
          <w:szCs w:val="24"/>
        </w:rPr>
      </w:pPr>
      <w:r w:rsidRPr="00425854">
        <w:rPr>
          <w:noProof/>
          <w:szCs w:val="24"/>
        </w:rPr>
        <w:t xml:space="preserve">Frischknecht, R., Wyss, F., Büsser Knöpfel, S., Lützkendorf, T., &amp; Balouktsi, M. (2015). Cumulative energy demand in LCA: the energy harvested approach. </w:t>
      </w:r>
      <w:r w:rsidRPr="00425854">
        <w:rPr>
          <w:i/>
          <w:iCs/>
          <w:noProof/>
          <w:szCs w:val="24"/>
        </w:rPr>
        <w:t>International Journal of Life Cycle Assessment</w:t>
      </w:r>
      <w:r w:rsidRPr="00425854">
        <w:rPr>
          <w:noProof/>
          <w:szCs w:val="24"/>
        </w:rPr>
        <w:t xml:space="preserve">, </w:t>
      </w:r>
      <w:r w:rsidRPr="00425854">
        <w:rPr>
          <w:i/>
          <w:iCs/>
          <w:noProof/>
          <w:szCs w:val="24"/>
        </w:rPr>
        <w:lastRenderedPageBreak/>
        <w:t>20</w:t>
      </w:r>
      <w:r w:rsidRPr="00425854">
        <w:rPr>
          <w:noProof/>
          <w:szCs w:val="24"/>
        </w:rPr>
        <w:t>(7), 957–969. https://doi.org/10.1007/s11367-015-0897-4</w:t>
      </w:r>
    </w:p>
    <w:p w14:paraId="5A5DB741" w14:textId="77777777" w:rsidR="00425854" w:rsidRPr="00425854" w:rsidRDefault="00425854" w:rsidP="00425854">
      <w:pPr>
        <w:widowControl w:val="0"/>
        <w:autoSpaceDE w:val="0"/>
        <w:autoSpaceDN w:val="0"/>
        <w:adjustRightInd w:val="0"/>
        <w:spacing w:line="240" w:lineRule="auto"/>
        <w:ind w:left="480" w:hanging="480"/>
        <w:rPr>
          <w:noProof/>
          <w:szCs w:val="24"/>
        </w:rPr>
      </w:pPr>
      <w:r w:rsidRPr="004777A8">
        <w:rPr>
          <w:noProof/>
          <w:szCs w:val="24"/>
          <w:lang w:val="it-IT"/>
        </w:rPr>
        <w:t xml:space="preserve">Gabbasa, M., Sopian, K., Fudholi, A., &amp; Asim, N. (2014). </w:t>
      </w:r>
      <w:r w:rsidRPr="00425854">
        <w:rPr>
          <w:noProof/>
          <w:szCs w:val="24"/>
        </w:rPr>
        <w:t xml:space="preserve">A review of unitized regenerative fuel cell stack: Material, design and research achievements. </w:t>
      </w:r>
      <w:r w:rsidRPr="00425854">
        <w:rPr>
          <w:i/>
          <w:iCs/>
          <w:noProof/>
          <w:szCs w:val="24"/>
        </w:rPr>
        <w:t>International Journal of Hydrogen Energy</w:t>
      </w:r>
      <w:r w:rsidRPr="00425854">
        <w:rPr>
          <w:noProof/>
          <w:szCs w:val="24"/>
        </w:rPr>
        <w:t xml:space="preserve">, </w:t>
      </w:r>
      <w:r w:rsidRPr="00425854">
        <w:rPr>
          <w:i/>
          <w:iCs/>
          <w:noProof/>
          <w:szCs w:val="24"/>
        </w:rPr>
        <w:t>39</w:t>
      </w:r>
      <w:r w:rsidRPr="00425854">
        <w:rPr>
          <w:noProof/>
          <w:szCs w:val="24"/>
        </w:rPr>
        <w:t>(31), 17765–17778. https://doi.org/10.1016/j.ijhydene.2014.08.121</w:t>
      </w:r>
    </w:p>
    <w:p w14:paraId="584C0FAE" w14:textId="77777777" w:rsidR="00425854" w:rsidRPr="00425854" w:rsidRDefault="00425854" w:rsidP="00425854">
      <w:pPr>
        <w:widowControl w:val="0"/>
        <w:autoSpaceDE w:val="0"/>
        <w:autoSpaceDN w:val="0"/>
        <w:adjustRightInd w:val="0"/>
        <w:spacing w:line="240" w:lineRule="auto"/>
        <w:ind w:left="480" w:hanging="480"/>
        <w:rPr>
          <w:noProof/>
          <w:szCs w:val="24"/>
        </w:rPr>
      </w:pPr>
      <w:r w:rsidRPr="00425854">
        <w:rPr>
          <w:noProof/>
          <w:szCs w:val="24"/>
        </w:rPr>
        <w:t xml:space="preserve">Hunkeler, D., Lichtenvort, K., &amp; Rebitzer, G. (2008). </w:t>
      </w:r>
      <w:r w:rsidRPr="00425854">
        <w:rPr>
          <w:i/>
          <w:iCs/>
          <w:noProof/>
          <w:szCs w:val="24"/>
        </w:rPr>
        <w:t>Environmental life cycle costing</w:t>
      </w:r>
      <w:r w:rsidRPr="00425854">
        <w:rPr>
          <w:noProof/>
          <w:szCs w:val="24"/>
        </w:rPr>
        <w:t>. Crc press.</w:t>
      </w:r>
    </w:p>
    <w:p w14:paraId="79026298" w14:textId="0E7D53C1" w:rsidR="00425854" w:rsidRPr="00425854" w:rsidRDefault="00425854" w:rsidP="00425854">
      <w:pPr>
        <w:widowControl w:val="0"/>
        <w:autoSpaceDE w:val="0"/>
        <w:autoSpaceDN w:val="0"/>
        <w:adjustRightInd w:val="0"/>
        <w:spacing w:line="240" w:lineRule="auto"/>
        <w:ind w:left="480" w:hanging="480"/>
        <w:rPr>
          <w:noProof/>
          <w:szCs w:val="24"/>
        </w:rPr>
      </w:pPr>
      <w:r w:rsidRPr="00425854">
        <w:rPr>
          <w:noProof/>
          <w:szCs w:val="24"/>
        </w:rPr>
        <w:t xml:space="preserve">ISO. (2006a). </w:t>
      </w:r>
      <w:r w:rsidRPr="00425854">
        <w:rPr>
          <w:i/>
          <w:iCs/>
          <w:noProof/>
          <w:szCs w:val="24"/>
        </w:rPr>
        <w:t>ISO 14040:2006 - Environmental management — Life cycle assessment — Principles and framework</w:t>
      </w:r>
      <w:r w:rsidRPr="00425854">
        <w:rPr>
          <w:noProof/>
          <w:szCs w:val="24"/>
        </w:rPr>
        <w:t xml:space="preserve">. </w:t>
      </w:r>
    </w:p>
    <w:p w14:paraId="6B8D5FFF" w14:textId="7902D87E" w:rsidR="00425854" w:rsidRPr="00425854" w:rsidRDefault="00425854" w:rsidP="00425854">
      <w:pPr>
        <w:widowControl w:val="0"/>
        <w:autoSpaceDE w:val="0"/>
        <w:autoSpaceDN w:val="0"/>
        <w:adjustRightInd w:val="0"/>
        <w:spacing w:line="240" w:lineRule="auto"/>
        <w:ind w:left="480" w:hanging="480"/>
        <w:rPr>
          <w:noProof/>
          <w:szCs w:val="24"/>
        </w:rPr>
      </w:pPr>
      <w:r w:rsidRPr="00425854">
        <w:rPr>
          <w:noProof/>
          <w:szCs w:val="24"/>
        </w:rPr>
        <w:t xml:space="preserve">ISO. (2006b). </w:t>
      </w:r>
      <w:r w:rsidRPr="00425854">
        <w:rPr>
          <w:i/>
          <w:iCs/>
          <w:noProof/>
          <w:szCs w:val="24"/>
        </w:rPr>
        <w:t>ISO 14044:2006 Environmental management — Life cycle assessment — Requirements and guidelines</w:t>
      </w:r>
      <w:r w:rsidRPr="00425854">
        <w:rPr>
          <w:noProof/>
          <w:szCs w:val="24"/>
        </w:rPr>
        <w:t xml:space="preserve">. </w:t>
      </w:r>
    </w:p>
    <w:p w14:paraId="29A8A05D" w14:textId="77777777" w:rsidR="00425854" w:rsidRPr="00425854" w:rsidRDefault="00425854" w:rsidP="00425854">
      <w:pPr>
        <w:widowControl w:val="0"/>
        <w:autoSpaceDE w:val="0"/>
        <w:autoSpaceDN w:val="0"/>
        <w:adjustRightInd w:val="0"/>
        <w:spacing w:line="240" w:lineRule="auto"/>
        <w:ind w:left="480" w:hanging="480"/>
        <w:rPr>
          <w:noProof/>
          <w:szCs w:val="24"/>
        </w:rPr>
      </w:pPr>
      <w:r w:rsidRPr="00425854">
        <w:rPr>
          <w:noProof/>
          <w:szCs w:val="24"/>
        </w:rPr>
        <w:t xml:space="preserve">Masoni, P., &amp; Zamagni, A. (2011). </w:t>
      </w:r>
      <w:r w:rsidRPr="00425854">
        <w:rPr>
          <w:i/>
          <w:iCs/>
          <w:noProof/>
          <w:szCs w:val="24"/>
        </w:rPr>
        <w:t>Guidance Document for performing LCAs on Fuel Cells and Hydrogen Technologies (Hyguide)</w:t>
      </w:r>
      <w:r w:rsidRPr="00425854">
        <w:rPr>
          <w:noProof/>
          <w:szCs w:val="24"/>
        </w:rPr>
        <w:t>. 139. http://www.fc-hyguide.eu/documents/10156/d0869ab9-4efe-4bea-9e7a-1fb823f4fcfa</w:t>
      </w:r>
    </w:p>
    <w:p w14:paraId="451CEAD3" w14:textId="77777777" w:rsidR="00425854" w:rsidRPr="00425854" w:rsidRDefault="00425854" w:rsidP="00425854">
      <w:pPr>
        <w:widowControl w:val="0"/>
        <w:autoSpaceDE w:val="0"/>
        <w:autoSpaceDN w:val="0"/>
        <w:adjustRightInd w:val="0"/>
        <w:spacing w:line="240" w:lineRule="auto"/>
        <w:ind w:left="480" w:hanging="480"/>
        <w:rPr>
          <w:noProof/>
          <w:szCs w:val="24"/>
        </w:rPr>
      </w:pPr>
      <w:r w:rsidRPr="00425854">
        <w:rPr>
          <w:noProof/>
          <w:szCs w:val="24"/>
        </w:rPr>
        <w:t xml:space="preserve">Mori, M., &amp; Štern, G. (2016). LCA study of the Fuel Cell based UPS in manufacturing and operational phase. </w:t>
      </w:r>
      <w:r w:rsidRPr="00425854">
        <w:rPr>
          <w:i/>
          <w:iCs/>
          <w:noProof/>
          <w:szCs w:val="24"/>
        </w:rPr>
        <w:t>ECOS 2016 - Proceedings of the 29th International Conference on Efficiency, Cost, Optimisation, Simulation and Environmental Impact of Energy Systems</w:t>
      </w:r>
      <w:r w:rsidRPr="00425854">
        <w:rPr>
          <w:noProof/>
          <w:szCs w:val="24"/>
        </w:rPr>
        <w:t xml:space="preserve">, </w:t>
      </w:r>
      <w:r w:rsidRPr="00425854">
        <w:rPr>
          <w:i/>
          <w:iCs/>
          <w:noProof/>
          <w:szCs w:val="24"/>
        </w:rPr>
        <w:t>29</w:t>
      </w:r>
      <w:r w:rsidRPr="00425854">
        <w:rPr>
          <w:noProof/>
          <w:szCs w:val="24"/>
        </w:rPr>
        <w:t>.</w:t>
      </w:r>
    </w:p>
    <w:p w14:paraId="01696EBB" w14:textId="77777777" w:rsidR="00425854" w:rsidRPr="00425854" w:rsidRDefault="00425854" w:rsidP="00425854">
      <w:pPr>
        <w:widowControl w:val="0"/>
        <w:autoSpaceDE w:val="0"/>
        <w:autoSpaceDN w:val="0"/>
        <w:adjustRightInd w:val="0"/>
        <w:spacing w:line="240" w:lineRule="auto"/>
        <w:ind w:left="480" w:hanging="480"/>
        <w:rPr>
          <w:noProof/>
          <w:szCs w:val="24"/>
        </w:rPr>
      </w:pPr>
      <w:r w:rsidRPr="00425854">
        <w:rPr>
          <w:noProof/>
          <w:szCs w:val="24"/>
        </w:rPr>
        <w:t xml:space="preserve">PRé Sustainability. (2022). </w:t>
      </w:r>
      <w:r w:rsidRPr="00425854">
        <w:rPr>
          <w:i/>
          <w:iCs/>
          <w:noProof/>
          <w:szCs w:val="24"/>
        </w:rPr>
        <w:t>SimaPro LCA software for informed change-makers</w:t>
      </w:r>
      <w:r w:rsidRPr="00425854">
        <w:rPr>
          <w:noProof/>
          <w:szCs w:val="24"/>
        </w:rPr>
        <w:t>. https://simapro.com/</w:t>
      </w:r>
    </w:p>
    <w:p w14:paraId="44C9B9C0" w14:textId="77777777" w:rsidR="00425854" w:rsidRPr="00425854" w:rsidRDefault="00425854" w:rsidP="00425854">
      <w:pPr>
        <w:widowControl w:val="0"/>
        <w:autoSpaceDE w:val="0"/>
        <w:autoSpaceDN w:val="0"/>
        <w:adjustRightInd w:val="0"/>
        <w:spacing w:line="240" w:lineRule="auto"/>
        <w:ind w:left="480" w:hanging="480"/>
        <w:rPr>
          <w:noProof/>
          <w:szCs w:val="24"/>
        </w:rPr>
      </w:pPr>
      <w:r w:rsidRPr="00425854">
        <w:rPr>
          <w:noProof/>
          <w:szCs w:val="24"/>
        </w:rPr>
        <w:t xml:space="preserve">Regmi, Y. N., Peng, X., Fornaciari, J. C., Wei, M., Myers, D. J., Weber, A. Z., &amp; Danilovic, N. (2020). A low temperature unitized regenerative fuel cell realizing 60% round trip efficiency and 10 000 cycles of durability for energy storage applications. </w:t>
      </w:r>
      <w:r w:rsidRPr="00425854">
        <w:rPr>
          <w:i/>
          <w:iCs/>
          <w:noProof/>
          <w:szCs w:val="24"/>
        </w:rPr>
        <w:t>Energy &amp; Environmental Science</w:t>
      </w:r>
      <w:r w:rsidRPr="00425854">
        <w:rPr>
          <w:noProof/>
          <w:szCs w:val="24"/>
        </w:rPr>
        <w:t xml:space="preserve">, </w:t>
      </w:r>
      <w:r w:rsidRPr="00425854">
        <w:rPr>
          <w:i/>
          <w:iCs/>
          <w:noProof/>
          <w:szCs w:val="24"/>
        </w:rPr>
        <w:t>13</w:t>
      </w:r>
      <w:r w:rsidRPr="00425854">
        <w:rPr>
          <w:noProof/>
          <w:szCs w:val="24"/>
        </w:rPr>
        <w:t>(7), 2096–2105. https://doi.org/10.1039/C9EE03626A</w:t>
      </w:r>
    </w:p>
    <w:p w14:paraId="09E7CEF9" w14:textId="77777777" w:rsidR="00425854" w:rsidRPr="00425854" w:rsidRDefault="00425854" w:rsidP="00425854">
      <w:pPr>
        <w:widowControl w:val="0"/>
        <w:autoSpaceDE w:val="0"/>
        <w:autoSpaceDN w:val="0"/>
        <w:adjustRightInd w:val="0"/>
        <w:spacing w:line="240" w:lineRule="auto"/>
        <w:ind w:left="480" w:hanging="480"/>
        <w:rPr>
          <w:noProof/>
          <w:szCs w:val="24"/>
        </w:rPr>
      </w:pPr>
      <w:r w:rsidRPr="00425854">
        <w:rPr>
          <w:noProof/>
          <w:szCs w:val="24"/>
        </w:rPr>
        <w:t xml:space="preserve">Simons, A., &amp; Bauer, C. (2015). A life-cycle perspective on automotive fuel cells. </w:t>
      </w:r>
      <w:r w:rsidRPr="00425854">
        <w:rPr>
          <w:i/>
          <w:iCs/>
          <w:noProof/>
          <w:szCs w:val="24"/>
        </w:rPr>
        <w:t>Applied Energy</w:t>
      </w:r>
      <w:r w:rsidRPr="00425854">
        <w:rPr>
          <w:noProof/>
          <w:szCs w:val="24"/>
        </w:rPr>
        <w:t xml:space="preserve">, </w:t>
      </w:r>
      <w:r w:rsidRPr="00425854">
        <w:rPr>
          <w:i/>
          <w:iCs/>
          <w:noProof/>
          <w:szCs w:val="24"/>
        </w:rPr>
        <w:t>157</w:t>
      </w:r>
      <w:r w:rsidRPr="00425854">
        <w:rPr>
          <w:noProof/>
          <w:szCs w:val="24"/>
        </w:rPr>
        <w:t>, 884–896. https://doi.org/https://doi.org/10.1016/j.apenergy.2015.02.049</w:t>
      </w:r>
    </w:p>
    <w:p w14:paraId="1CFBEBB1" w14:textId="77777777" w:rsidR="00425854" w:rsidRPr="00425854" w:rsidRDefault="00425854" w:rsidP="00425854">
      <w:pPr>
        <w:widowControl w:val="0"/>
        <w:autoSpaceDE w:val="0"/>
        <w:autoSpaceDN w:val="0"/>
        <w:adjustRightInd w:val="0"/>
        <w:spacing w:line="240" w:lineRule="auto"/>
        <w:ind w:left="480" w:hanging="480"/>
        <w:rPr>
          <w:noProof/>
        </w:rPr>
      </w:pPr>
      <w:r w:rsidRPr="00425854">
        <w:rPr>
          <w:noProof/>
          <w:szCs w:val="24"/>
        </w:rPr>
        <w:t xml:space="preserve">Wernet, G., Bauer, C., Steubing, B., Reinhard, J., Moreno-Ruiz, E., &amp; Weidema, B. (2016). The ecoinvent database version 3 (part I): overview and methodology. </w:t>
      </w:r>
      <w:r w:rsidRPr="00425854">
        <w:rPr>
          <w:i/>
          <w:iCs/>
          <w:noProof/>
          <w:szCs w:val="24"/>
        </w:rPr>
        <w:t>International Journal of Life Cycle Assessment</w:t>
      </w:r>
      <w:r w:rsidRPr="00425854">
        <w:rPr>
          <w:noProof/>
          <w:szCs w:val="24"/>
        </w:rPr>
        <w:t xml:space="preserve">, </w:t>
      </w:r>
      <w:r w:rsidRPr="00425854">
        <w:rPr>
          <w:i/>
          <w:iCs/>
          <w:noProof/>
          <w:szCs w:val="24"/>
        </w:rPr>
        <w:t>21</w:t>
      </w:r>
      <w:r w:rsidRPr="00425854">
        <w:rPr>
          <w:noProof/>
          <w:szCs w:val="24"/>
        </w:rPr>
        <w:t>(9), 1218–1230. https://doi.org/10.1007/s11367-016-1087-8</w:t>
      </w:r>
    </w:p>
    <w:p w14:paraId="438FC5B7" w14:textId="4B2E0A52" w:rsidR="003F1CC6" w:rsidRPr="003F1CC6" w:rsidRDefault="006065F0" w:rsidP="000B363E">
      <w:pPr>
        <w:widowControl w:val="0"/>
      </w:pPr>
      <w:r>
        <w:fldChar w:fldCharType="end"/>
      </w:r>
    </w:p>
    <w:sectPr w:rsidR="003F1CC6" w:rsidRPr="003F1CC6" w:rsidSect="00E43F28">
      <w:headerReference w:type="even" r:id="rId10"/>
      <w:headerReference w:type="default" r:id="rId11"/>
      <w:headerReference w:type="first" r:id="rId12"/>
      <w:footerReference w:type="first" r:id="rId13"/>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B178" w14:textId="77777777" w:rsidR="00D56331" w:rsidRDefault="00D56331" w:rsidP="005F0B33">
      <w:r>
        <w:separator/>
      </w:r>
    </w:p>
    <w:p w14:paraId="62FA2009" w14:textId="77777777" w:rsidR="00D56331" w:rsidRDefault="00D56331"/>
  </w:endnote>
  <w:endnote w:type="continuationSeparator" w:id="0">
    <w:p w14:paraId="4AA94C86" w14:textId="77777777" w:rsidR="00D56331" w:rsidRDefault="00D56331" w:rsidP="005F0B33">
      <w:r>
        <w:continuationSeparator/>
      </w:r>
    </w:p>
    <w:p w14:paraId="5BE99947" w14:textId="77777777" w:rsidR="00D56331" w:rsidRDefault="00D56331"/>
  </w:endnote>
  <w:endnote w:type="continuationNotice" w:id="1">
    <w:p w14:paraId="39E0FCC3" w14:textId="77777777" w:rsidR="00D56331" w:rsidRDefault="00D563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LTStd-Roman">
    <w:altName w:val="Yu Gothic"/>
    <w:panose1 w:val="00000000000000000000"/>
    <w:charset w:val="80"/>
    <w:family w:val="roman"/>
    <w:notTrueType/>
    <w:pitch w:val="default"/>
    <w:sig w:usb0="00000003" w:usb1="08070000" w:usb2="00000010" w:usb3="00000000" w:csb0="0002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rsidP="00AC0556">
    <w:pPr>
      <w:jc w:val="cente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p w14:paraId="0B4FF7A0" w14:textId="77777777" w:rsidR="00FD2A01" w:rsidRDefault="00FD2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6CD6" w14:textId="77777777" w:rsidR="00D56331" w:rsidRDefault="00D56331" w:rsidP="005F0B33">
      <w:r>
        <w:separator/>
      </w:r>
    </w:p>
    <w:p w14:paraId="65541632" w14:textId="77777777" w:rsidR="00D56331" w:rsidRDefault="00D56331"/>
  </w:footnote>
  <w:footnote w:type="continuationSeparator" w:id="0">
    <w:p w14:paraId="077BAB3B" w14:textId="77777777" w:rsidR="00D56331" w:rsidRDefault="00D56331" w:rsidP="005F0B33">
      <w:r>
        <w:continuationSeparator/>
      </w:r>
    </w:p>
    <w:p w14:paraId="2E64BA78" w14:textId="77777777" w:rsidR="00D56331" w:rsidRDefault="00D56331"/>
  </w:footnote>
  <w:footnote w:type="continuationNotice" w:id="1">
    <w:p w14:paraId="18EF63A8" w14:textId="77777777" w:rsidR="00D56331" w:rsidRDefault="00D56331">
      <w:pPr>
        <w:spacing w:line="240" w:lineRule="auto"/>
      </w:pPr>
    </w:p>
  </w:footnote>
  <w:footnote w:id="2">
    <w:p w14:paraId="5B8F71CA" w14:textId="7244494C" w:rsidR="00781607" w:rsidRDefault="00781607" w:rsidP="00781607">
      <w:pPr>
        <w:pStyle w:val="Testonotaapidipagina"/>
      </w:pPr>
      <w:r w:rsidRPr="004777A8">
        <w:rPr>
          <w:rStyle w:val="Rimandonotaapidipagina"/>
        </w:rPr>
        <w:footnoteRef/>
      </w:r>
      <w:r>
        <w:t xml:space="preserve"> </w:t>
      </w:r>
      <w:r w:rsidRPr="009806C8">
        <w:t>These choices were performed according Masoni &amp; Zamagni</w:t>
      </w:r>
      <w:r w:rsidR="0033676C" w:rsidRPr="0033676C">
        <w:t xml:space="preserve"> </w:t>
      </w:r>
      <w:r w:rsidR="0033676C" w:rsidRPr="009806C8">
        <w:t>(</w:t>
      </w:r>
      <w:r w:rsidRPr="009806C8">
        <w:t xml:space="preserve"> 2011), </w:t>
      </w:r>
      <w:r w:rsidR="0033676C">
        <w:t>where</w:t>
      </w:r>
      <w:r w:rsidRPr="009806C8">
        <w:t xml:space="preserve"> these impact categories are considered</w:t>
      </w:r>
      <w:r w:rsidR="00325180">
        <w:t xml:space="preserve"> </w:t>
      </w:r>
      <w:r w:rsidRPr="009806C8">
        <w:t>essential in LCA stud</w:t>
      </w:r>
      <w:r>
        <w:t>ies</w:t>
      </w:r>
      <w:r w:rsidRPr="009806C8">
        <w:t xml:space="preserve"> of fuel cells and electrolysers.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136" w14:textId="622FCABA" w:rsidR="00FD2A01" w:rsidRPr="00002AFE" w:rsidRDefault="00566851" w:rsidP="00823C4B">
    <w:pPr>
      <w:pStyle w:val="affiliazione"/>
      <w:tabs>
        <w:tab w:val="left" w:pos="1080"/>
      </w:tabs>
      <w:ind w:right="630"/>
      <w:rPr>
        <w:noProof/>
        <w:sz w:val="18"/>
        <w:lang w:val="it-IT" w:eastAsia="en-SG"/>
      </w:rPr>
    </w:pPr>
    <w:r w:rsidRPr="00823C4B">
      <w:rPr>
        <w:noProof/>
        <w:sz w:val="18"/>
        <w:lang w:val="en-SG" w:eastAsia="en-SG"/>
      </w:rPr>
      <mc:AlternateContent>
        <mc:Choice Requires="wpg">
          <w:drawing>
            <wp:anchor distT="0" distB="0" distL="114300" distR="114300" simplePos="0" relativeHeight="251658241"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8088F65" id="Group 21" o:spid="_x0000_s1026" style="position:absolute;margin-left:0;margin-top:0;width:546.45pt;height:756.95pt;z-index:251658241;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C64RF7rgMAALoYAAAOAAAAAAAAAAAAAAAAAC4CAABkcnMvZTJvRG9jLnhtbFBL&#10;AQItABQABgAIAAAAIQAGBSHK3gAAAAcBAAAPAAAAAAAAAAAAAAAAAAgGAABkcnMvZG93bnJldi54&#10;bWxQSwUGAAAAAAQABADzAAAAE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823C4B">
      <w:rPr>
        <w:noProof/>
        <w:lang w:val="en-SG" w:eastAsia="en-SG"/>
      </w:rPr>
      <w:fldChar w:fldCharType="begin"/>
    </w:r>
    <w:r w:rsidR="00A56CDE" w:rsidRPr="00002AFE">
      <w:rPr>
        <w:noProof/>
        <w:lang w:val="it-IT" w:eastAsia="en-SG"/>
      </w:rPr>
      <w:instrText xml:space="preserve">PAGE  </w:instrText>
    </w:r>
    <w:r w:rsidR="00A56CDE" w:rsidRPr="00823C4B">
      <w:rPr>
        <w:noProof/>
        <w:lang w:val="en-SG" w:eastAsia="en-SG"/>
      </w:rPr>
      <w:fldChar w:fldCharType="separate"/>
    </w:r>
    <w:r w:rsidR="00214440" w:rsidRPr="00002AFE">
      <w:rPr>
        <w:lang w:val="it-IT" w:eastAsia="en-SG"/>
      </w:rPr>
      <w:t>4</w:t>
    </w:r>
    <w:r w:rsidR="00A56CDE" w:rsidRPr="00823C4B">
      <w:rPr>
        <w:noProof/>
        <w:lang w:val="en-SG" w:eastAsia="en-SG"/>
      </w:rPr>
      <w:fldChar w:fldCharType="end"/>
    </w:r>
    <w:r w:rsidR="00E314BE" w:rsidRPr="00002AFE">
      <w:rPr>
        <w:noProof/>
        <w:lang w:val="it-IT" w:eastAsia="en-SG"/>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FE33" w14:textId="209F3A67" w:rsidR="00FD2A01" w:rsidRDefault="00CE01ED" w:rsidP="00CE01ED">
    <w:pPr>
      <w:pStyle w:val="affiliazione"/>
      <w:tabs>
        <w:tab w:val="left" w:pos="6840"/>
      </w:tabs>
      <w:jc w:val="both"/>
    </w:pPr>
    <w:r w:rsidRPr="00CE01ED">
      <w:rPr>
        <w:noProof/>
        <w:sz w:val="18"/>
        <w:lang w:val="en-SG" w:eastAsia="en-SG"/>
      </w:rPr>
      <w:t>Life Cycle Assessment and Life Cycle Costing of an unitized regenerative fuel cell stack: a preliminary study</w:t>
    </w:r>
    <w:r w:rsidR="00566851">
      <w:rPr>
        <w:noProof/>
        <w:lang w:val="it-IT" w:eastAsia="it-IT"/>
      </w:rPr>
      <mc:AlternateContent>
        <mc:Choice Requires="wpg">
          <w:drawing>
            <wp:anchor distT="0" distB="0" distL="114300" distR="114300" simplePos="0" relativeHeight="25165824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97E3B02" id="Group 21" o:spid="_x0000_s1026" style="position:absolute;margin-left:0;margin-top:0;width:546.45pt;height:756.95pt;z-index:25165824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OxsE1+tAwAAu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655D6F">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rsidP="005F0B33">
    <w:pPr>
      <w:pStyle w:val="Intestazione"/>
    </w:pPr>
    <w:r>
      <w:rPr>
        <w:noProof/>
        <w:lang w:val="it-IT" w:eastAsia="it-IT"/>
      </w:rPr>
      <mc:AlternateContent>
        <mc:Choice Requires="wpg">
          <w:drawing>
            <wp:anchor distT="0" distB="0" distL="114300" distR="114300" simplePos="0" relativeHeight="251658240"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F9DE013" id="Group 21" o:spid="_x0000_s1026" style="position:absolute;margin-left:0;margin-top:0;width:546.45pt;height:756.95pt;z-index:251658240;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Pqt7TatAwAAs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p w14:paraId="194545A7" w14:textId="77777777" w:rsidR="00FD2A01" w:rsidRDefault="00FD2A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65224472"/>
    <w:lvl w:ilvl="0">
      <w:start w:val="1"/>
      <w:numFmt w:val="decimal"/>
      <w:lvlText w:val="%1"/>
      <w:lvlJc w:val="left"/>
      <w:pPr>
        <w:ind w:left="360" w:hanging="360"/>
      </w:pPr>
      <w:rPr>
        <w:rFonts w:hint="default"/>
      </w:rPr>
    </w:lvl>
    <w:lvl w:ilvl="1">
      <w:start w:val="1"/>
      <w:numFmt w:val="decimal"/>
      <w:pStyle w:val="Titolo1"/>
      <w:lvlText w:val="%1.%2"/>
      <w:lvlJc w:val="left"/>
      <w:pPr>
        <w:ind w:left="360" w:hanging="360"/>
      </w:pPr>
      <w:rPr>
        <w:rFonts w:hint="default"/>
      </w:rPr>
    </w:lvl>
    <w:lvl w:ilvl="2">
      <w:start w:val="1"/>
      <w:numFmt w:val="decimal"/>
      <w:pStyle w:val="Titolo2"/>
      <w:lvlText w:val="%1.%2.%3"/>
      <w:lvlJc w:val="left"/>
      <w:pPr>
        <w:ind w:left="720" w:hanging="720"/>
      </w:pPr>
      <w:rPr>
        <w:rFonts w:hint="default"/>
      </w:rPr>
    </w:lvl>
    <w:lvl w:ilvl="3">
      <w:start w:val="1"/>
      <w:numFmt w:val="decimal"/>
      <w:pStyle w:val="Titolo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40D31"/>
    <w:multiLevelType w:val="multilevel"/>
    <w:tmpl w:val="72967C0C"/>
    <w:styleLink w:val="Elencocorrente1"/>
    <w:lvl w:ilvl="0">
      <w:start w:val="1"/>
      <w:numFmt w:val="bullet"/>
      <w:lvlText w:val=""/>
      <w:lvlJc w:val="left"/>
      <w:pPr>
        <w:ind w:left="634" w:hanging="360"/>
      </w:pPr>
      <w:rPr>
        <w:rFonts w:ascii="Symbol" w:hAnsi="Symbol" w:hint="default"/>
      </w:rPr>
    </w:lvl>
    <w:lvl w:ilvl="1">
      <w:start w:val="1"/>
      <w:numFmt w:val="bullet"/>
      <w:lvlText w:val="o"/>
      <w:lvlJc w:val="left"/>
      <w:pPr>
        <w:ind w:left="1354" w:hanging="360"/>
      </w:pPr>
      <w:rPr>
        <w:rFonts w:ascii="Courier New" w:hAnsi="Courier New" w:cs="Courier New" w:hint="default"/>
      </w:rPr>
    </w:lvl>
    <w:lvl w:ilvl="2">
      <w:start w:val="1"/>
      <w:numFmt w:val="bullet"/>
      <w:lvlText w:val=""/>
      <w:lvlJc w:val="left"/>
      <w:pPr>
        <w:ind w:left="2074" w:hanging="360"/>
      </w:pPr>
      <w:rPr>
        <w:rFonts w:ascii="Wingdings" w:hAnsi="Wingdings" w:hint="default"/>
      </w:rPr>
    </w:lvl>
    <w:lvl w:ilvl="3">
      <w:start w:val="1"/>
      <w:numFmt w:val="bullet"/>
      <w:lvlText w:val=""/>
      <w:lvlJc w:val="left"/>
      <w:pPr>
        <w:ind w:left="2794" w:hanging="360"/>
      </w:pPr>
      <w:rPr>
        <w:rFonts w:ascii="Symbol" w:hAnsi="Symbol" w:hint="default"/>
      </w:rPr>
    </w:lvl>
    <w:lvl w:ilvl="4">
      <w:start w:val="1"/>
      <w:numFmt w:val="bullet"/>
      <w:lvlText w:val="o"/>
      <w:lvlJc w:val="left"/>
      <w:pPr>
        <w:ind w:left="3514" w:hanging="360"/>
      </w:pPr>
      <w:rPr>
        <w:rFonts w:ascii="Courier New" w:hAnsi="Courier New" w:cs="Courier New" w:hint="default"/>
      </w:rPr>
    </w:lvl>
    <w:lvl w:ilvl="5">
      <w:start w:val="1"/>
      <w:numFmt w:val="bullet"/>
      <w:lvlText w:val=""/>
      <w:lvlJc w:val="left"/>
      <w:pPr>
        <w:ind w:left="4234" w:hanging="360"/>
      </w:pPr>
      <w:rPr>
        <w:rFonts w:ascii="Wingdings" w:hAnsi="Wingdings" w:hint="default"/>
      </w:rPr>
    </w:lvl>
    <w:lvl w:ilvl="6">
      <w:start w:val="1"/>
      <w:numFmt w:val="bullet"/>
      <w:lvlText w:val=""/>
      <w:lvlJc w:val="left"/>
      <w:pPr>
        <w:ind w:left="4954" w:hanging="360"/>
      </w:pPr>
      <w:rPr>
        <w:rFonts w:ascii="Symbol" w:hAnsi="Symbol" w:hint="default"/>
      </w:rPr>
    </w:lvl>
    <w:lvl w:ilvl="7">
      <w:start w:val="1"/>
      <w:numFmt w:val="bullet"/>
      <w:lvlText w:val="o"/>
      <w:lvlJc w:val="left"/>
      <w:pPr>
        <w:ind w:left="5674" w:hanging="360"/>
      </w:pPr>
      <w:rPr>
        <w:rFonts w:ascii="Courier New" w:hAnsi="Courier New" w:cs="Courier New" w:hint="default"/>
      </w:rPr>
    </w:lvl>
    <w:lvl w:ilvl="8">
      <w:start w:val="1"/>
      <w:numFmt w:val="bullet"/>
      <w:lvlText w:val=""/>
      <w:lvlJc w:val="left"/>
      <w:pPr>
        <w:ind w:left="6394"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204187B"/>
    <w:multiLevelType w:val="hybridMultilevel"/>
    <w:tmpl w:val="E08042EA"/>
    <w:lvl w:ilvl="0" w:tplc="2EA4C9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3" w15:restartNumberingAfterBreak="0">
    <w:nsid w:val="73DA43E0"/>
    <w:multiLevelType w:val="hybridMultilevel"/>
    <w:tmpl w:val="72967C0C"/>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4"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2"/>
  </w:num>
  <w:num w:numId="2" w16cid:durableId="1154563820">
    <w:abstractNumId w:val="19"/>
  </w:num>
  <w:num w:numId="3" w16cid:durableId="1604875926">
    <w:abstractNumId w:val="17"/>
  </w:num>
  <w:num w:numId="4" w16cid:durableId="49157816">
    <w:abstractNumId w:val="9"/>
  </w:num>
  <w:num w:numId="5" w16cid:durableId="1591309000">
    <w:abstractNumId w:val="24"/>
  </w:num>
  <w:num w:numId="6" w16cid:durableId="1349022348">
    <w:abstractNumId w:val="10"/>
  </w:num>
  <w:num w:numId="7" w16cid:durableId="1804498611">
    <w:abstractNumId w:val="5"/>
  </w:num>
  <w:num w:numId="8" w16cid:durableId="346055658">
    <w:abstractNumId w:val="11"/>
  </w:num>
  <w:num w:numId="9" w16cid:durableId="992559295">
    <w:abstractNumId w:val="13"/>
  </w:num>
  <w:num w:numId="10" w16cid:durableId="420763820">
    <w:abstractNumId w:val="1"/>
  </w:num>
  <w:num w:numId="11" w16cid:durableId="880214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4"/>
  </w:num>
  <w:num w:numId="14" w16cid:durableId="934049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20"/>
  </w:num>
  <w:num w:numId="20" w16cid:durableId="1830903244">
    <w:abstractNumId w:val="20"/>
  </w:num>
  <w:num w:numId="21" w16cid:durableId="373581445">
    <w:abstractNumId w:val="20"/>
  </w:num>
  <w:num w:numId="22" w16cid:durableId="1488940817">
    <w:abstractNumId w:val="10"/>
  </w:num>
  <w:num w:numId="23" w16cid:durableId="740298123">
    <w:abstractNumId w:val="10"/>
  </w:num>
  <w:num w:numId="24" w16cid:durableId="616567799">
    <w:abstractNumId w:val="0"/>
  </w:num>
  <w:num w:numId="25" w16cid:durableId="1992981592">
    <w:abstractNumId w:val="6"/>
  </w:num>
  <w:num w:numId="26" w16cid:durableId="1831822808">
    <w:abstractNumId w:val="3"/>
  </w:num>
  <w:num w:numId="27" w16cid:durableId="2101444383">
    <w:abstractNumId w:val="15"/>
  </w:num>
  <w:num w:numId="28" w16cid:durableId="434328944">
    <w:abstractNumId w:val="2"/>
  </w:num>
  <w:num w:numId="29" w16cid:durableId="311301568">
    <w:abstractNumId w:val="8"/>
  </w:num>
  <w:num w:numId="30" w16cid:durableId="1936404977">
    <w:abstractNumId w:val="10"/>
  </w:num>
  <w:num w:numId="31" w16cid:durableId="47920111">
    <w:abstractNumId w:val="10"/>
  </w:num>
  <w:num w:numId="32" w16cid:durableId="1782650537">
    <w:abstractNumId w:val="10"/>
  </w:num>
  <w:num w:numId="33" w16cid:durableId="497309139">
    <w:abstractNumId w:val="10"/>
  </w:num>
  <w:num w:numId="34" w16cid:durableId="1232734524">
    <w:abstractNumId w:val="10"/>
  </w:num>
  <w:num w:numId="35" w16cid:durableId="2052344652">
    <w:abstractNumId w:val="10"/>
  </w:num>
  <w:num w:numId="36" w16cid:durableId="227034539">
    <w:abstractNumId w:val="10"/>
  </w:num>
  <w:num w:numId="37" w16cid:durableId="1790934310">
    <w:abstractNumId w:val="10"/>
  </w:num>
  <w:num w:numId="38" w16cid:durableId="209810597">
    <w:abstractNumId w:val="10"/>
    <w:lvlOverride w:ilvl="0">
      <w:startOverride w:val="1"/>
    </w:lvlOverride>
  </w:num>
  <w:num w:numId="39" w16cid:durableId="1325159432">
    <w:abstractNumId w:val="7"/>
  </w:num>
  <w:num w:numId="40" w16cid:durableId="1979257215">
    <w:abstractNumId w:val="10"/>
  </w:num>
  <w:num w:numId="41" w16cid:durableId="1150750676">
    <w:abstractNumId w:val="10"/>
  </w:num>
  <w:num w:numId="42" w16cid:durableId="1071849616">
    <w:abstractNumId w:val="10"/>
  </w:num>
  <w:num w:numId="43" w16cid:durableId="717440809">
    <w:abstractNumId w:val="18"/>
  </w:num>
  <w:num w:numId="44" w16cid:durableId="307058129">
    <w:abstractNumId w:val="23"/>
  </w:num>
  <w:num w:numId="45" w16cid:durableId="132940229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NTc3NzI1NTAyNrNU0lEKTi0uzszPAymwrAUABdhQziwAAAA="/>
  </w:docVars>
  <w:rsids>
    <w:rsidRoot w:val="00566851"/>
    <w:rsid w:val="00002565"/>
    <w:rsid w:val="00002AFE"/>
    <w:rsid w:val="00003A41"/>
    <w:rsid w:val="000040E6"/>
    <w:rsid w:val="00004D40"/>
    <w:rsid w:val="00006F22"/>
    <w:rsid w:val="0001115D"/>
    <w:rsid w:val="00011663"/>
    <w:rsid w:val="00011D00"/>
    <w:rsid w:val="0001243A"/>
    <w:rsid w:val="000127C7"/>
    <w:rsid w:val="00013FAC"/>
    <w:rsid w:val="000152B0"/>
    <w:rsid w:val="000155A1"/>
    <w:rsid w:val="000207D2"/>
    <w:rsid w:val="00020B3C"/>
    <w:rsid w:val="000264B7"/>
    <w:rsid w:val="00032DDE"/>
    <w:rsid w:val="00034334"/>
    <w:rsid w:val="000343A6"/>
    <w:rsid w:val="00034651"/>
    <w:rsid w:val="000358C0"/>
    <w:rsid w:val="00035D19"/>
    <w:rsid w:val="0003646D"/>
    <w:rsid w:val="00036F92"/>
    <w:rsid w:val="000415EB"/>
    <w:rsid w:val="00041C51"/>
    <w:rsid w:val="000421EC"/>
    <w:rsid w:val="00046C00"/>
    <w:rsid w:val="00047E11"/>
    <w:rsid w:val="000549EF"/>
    <w:rsid w:val="00054AFD"/>
    <w:rsid w:val="00054B55"/>
    <w:rsid w:val="00055617"/>
    <w:rsid w:val="000559D5"/>
    <w:rsid w:val="000560A5"/>
    <w:rsid w:val="00060F4F"/>
    <w:rsid w:val="0006240E"/>
    <w:rsid w:val="00062998"/>
    <w:rsid w:val="000632C0"/>
    <w:rsid w:val="000650A4"/>
    <w:rsid w:val="000673D6"/>
    <w:rsid w:val="00070268"/>
    <w:rsid w:val="00073561"/>
    <w:rsid w:val="0007387C"/>
    <w:rsid w:val="00073F40"/>
    <w:rsid w:val="0007584D"/>
    <w:rsid w:val="000771BE"/>
    <w:rsid w:val="00080C40"/>
    <w:rsid w:val="0008385C"/>
    <w:rsid w:val="00083E32"/>
    <w:rsid w:val="00084D28"/>
    <w:rsid w:val="0009285F"/>
    <w:rsid w:val="00093C0B"/>
    <w:rsid w:val="00096B47"/>
    <w:rsid w:val="000A0084"/>
    <w:rsid w:val="000A1462"/>
    <w:rsid w:val="000A14B0"/>
    <w:rsid w:val="000A18FF"/>
    <w:rsid w:val="000A37F0"/>
    <w:rsid w:val="000A4EFF"/>
    <w:rsid w:val="000A596C"/>
    <w:rsid w:val="000A5C35"/>
    <w:rsid w:val="000A6484"/>
    <w:rsid w:val="000A75A6"/>
    <w:rsid w:val="000B0770"/>
    <w:rsid w:val="000B0932"/>
    <w:rsid w:val="000B1733"/>
    <w:rsid w:val="000B363E"/>
    <w:rsid w:val="000B55D6"/>
    <w:rsid w:val="000C09DD"/>
    <w:rsid w:val="000C12FE"/>
    <w:rsid w:val="000C13B9"/>
    <w:rsid w:val="000C2EB8"/>
    <w:rsid w:val="000C3CB8"/>
    <w:rsid w:val="000C5759"/>
    <w:rsid w:val="000D0DB2"/>
    <w:rsid w:val="000D110F"/>
    <w:rsid w:val="000D4196"/>
    <w:rsid w:val="000D4CC2"/>
    <w:rsid w:val="000D5C93"/>
    <w:rsid w:val="000D64A8"/>
    <w:rsid w:val="000D68B1"/>
    <w:rsid w:val="000D695C"/>
    <w:rsid w:val="000E1A61"/>
    <w:rsid w:val="000E1B6C"/>
    <w:rsid w:val="000E2F27"/>
    <w:rsid w:val="000E4ABC"/>
    <w:rsid w:val="000E6A13"/>
    <w:rsid w:val="000E71B1"/>
    <w:rsid w:val="000F11A5"/>
    <w:rsid w:val="000F14D2"/>
    <w:rsid w:val="000F254D"/>
    <w:rsid w:val="000F409D"/>
    <w:rsid w:val="000F5341"/>
    <w:rsid w:val="001002D8"/>
    <w:rsid w:val="00100F06"/>
    <w:rsid w:val="00101DD3"/>
    <w:rsid w:val="00102373"/>
    <w:rsid w:val="00104653"/>
    <w:rsid w:val="001053D4"/>
    <w:rsid w:val="00105726"/>
    <w:rsid w:val="00105C89"/>
    <w:rsid w:val="00106C95"/>
    <w:rsid w:val="00107A8A"/>
    <w:rsid w:val="00113412"/>
    <w:rsid w:val="00113A47"/>
    <w:rsid w:val="001159B7"/>
    <w:rsid w:val="00115B90"/>
    <w:rsid w:val="00115D84"/>
    <w:rsid w:val="0011773A"/>
    <w:rsid w:val="00117EF5"/>
    <w:rsid w:val="00120DB1"/>
    <w:rsid w:val="00121B59"/>
    <w:rsid w:val="001228DE"/>
    <w:rsid w:val="00122983"/>
    <w:rsid w:val="001229DA"/>
    <w:rsid w:val="0012310C"/>
    <w:rsid w:val="00123BBD"/>
    <w:rsid w:val="00125DB4"/>
    <w:rsid w:val="00126F19"/>
    <w:rsid w:val="00132754"/>
    <w:rsid w:val="001329A4"/>
    <w:rsid w:val="001334DD"/>
    <w:rsid w:val="00136416"/>
    <w:rsid w:val="0014173E"/>
    <w:rsid w:val="00142818"/>
    <w:rsid w:val="001429F4"/>
    <w:rsid w:val="00143BCD"/>
    <w:rsid w:val="001449B8"/>
    <w:rsid w:val="00150198"/>
    <w:rsid w:val="0015041D"/>
    <w:rsid w:val="00151DC5"/>
    <w:rsid w:val="001540CF"/>
    <w:rsid w:val="00154A25"/>
    <w:rsid w:val="0015686B"/>
    <w:rsid w:val="0016162C"/>
    <w:rsid w:val="001637E3"/>
    <w:rsid w:val="00163B42"/>
    <w:rsid w:val="001646F6"/>
    <w:rsid w:val="001746EE"/>
    <w:rsid w:val="00180BB3"/>
    <w:rsid w:val="00180E73"/>
    <w:rsid w:val="0018172A"/>
    <w:rsid w:val="00182335"/>
    <w:rsid w:val="00183EF0"/>
    <w:rsid w:val="00194854"/>
    <w:rsid w:val="00194BF3"/>
    <w:rsid w:val="0019523B"/>
    <w:rsid w:val="00195B18"/>
    <w:rsid w:val="00196917"/>
    <w:rsid w:val="00197107"/>
    <w:rsid w:val="00197312"/>
    <w:rsid w:val="00197446"/>
    <w:rsid w:val="00197D79"/>
    <w:rsid w:val="001A52A5"/>
    <w:rsid w:val="001B0801"/>
    <w:rsid w:val="001B1B69"/>
    <w:rsid w:val="001B2DE0"/>
    <w:rsid w:val="001B43AB"/>
    <w:rsid w:val="001B61F2"/>
    <w:rsid w:val="001B6B28"/>
    <w:rsid w:val="001B7108"/>
    <w:rsid w:val="001C41D2"/>
    <w:rsid w:val="001C4A8C"/>
    <w:rsid w:val="001C6016"/>
    <w:rsid w:val="001C642A"/>
    <w:rsid w:val="001C6F86"/>
    <w:rsid w:val="001D184B"/>
    <w:rsid w:val="001D1FD9"/>
    <w:rsid w:val="001D21F5"/>
    <w:rsid w:val="001D343E"/>
    <w:rsid w:val="001D3632"/>
    <w:rsid w:val="001D480B"/>
    <w:rsid w:val="001E3594"/>
    <w:rsid w:val="001E38A2"/>
    <w:rsid w:val="001E44C7"/>
    <w:rsid w:val="001E677B"/>
    <w:rsid w:val="00200467"/>
    <w:rsid w:val="00201FCF"/>
    <w:rsid w:val="002056F2"/>
    <w:rsid w:val="002058B0"/>
    <w:rsid w:val="00205C1E"/>
    <w:rsid w:val="002066FC"/>
    <w:rsid w:val="0020681C"/>
    <w:rsid w:val="002108B6"/>
    <w:rsid w:val="00214440"/>
    <w:rsid w:val="00215D25"/>
    <w:rsid w:val="00217E2F"/>
    <w:rsid w:val="0022705B"/>
    <w:rsid w:val="00227916"/>
    <w:rsid w:val="00227D45"/>
    <w:rsid w:val="00231470"/>
    <w:rsid w:val="00231AF3"/>
    <w:rsid w:val="00231D6B"/>
    <w:rsid w:val="00232D3E"/>
    <w:rsid w:val="00233F16"/>
    <w:rsid w:val="00235CFC"/>
    <w:rsid w:val="00236B0D"/>
    <w:rsid w:val="00236E18"/>
    <w:rsid w:val="002415C4"/>
    <w:rsid w:val="00241BE4"/>
    <w:rsid w:val="00243104"/>
    <w:rsid w:val="00247384"/>
    <w:rsid w:val="00250C1B"/>
    <w:rsid w:val="00251C05"/>
    <w:rsid w:val="002524D4"/>
    <w:rsid w:val="00252E05"/>
    <w:rsid w:val="00256E13"/>
    <w:rsid w:val="002576B7"/>
    <w:rsid w:val="0026025E"/>
    <w:rsid w:val="00260E32"/>
    <w:rsid w:val="0026219F"/>
    <w:rsid w:val="0026253F"/>
    <w:rsid w:val="00262AF3"/>
    <w:rsid w:val="0026349E"/>
    <w:rsid w:val="00265B71"/>
    <w:rsid w:val="00265E46"/>
    <w:rsid w:val="002660BC"/>
    <w:rsid w:val="002675F5"/>
    <w:rsid w:val="00271425"/>
    <w:rsid w:val="00273467"/>
    <w:rsid w:val="00273C6C"/>
    <w:rsid w:val="00276C2E"/>
    <w:rsid w:val="002807E5"/>
    <w:rsid w:val="00281505"/>
    <w:rsid w:val="00281F6D"/>
    <w:rsid w:val="00282157"/>
    <w:rsid w:val="00282188"/>
    <w:rsid w:val="00282A40"/>
    <w:rsid w:val="00283C7B"/>
    <w:rsid w:val="00284E5A"/>
    <w:rsid w:val="00285D4D"/>
    <w:rsid w:val="00286E63"/>
    <w:rsid w:val="0028750F"/>
    <w:rsid w:val="00287F3D"/>
    <w:rsid w:val="0029357A"/>
    <w:rsid w:val="002946A4"/>
    <w:rsid w:val="00296ECD"/>
    <w:rsid w:val="00297232"/>
    <w:rsid w:val="002A068D"/>
    <w:rsid w:val="002A24F6"/>
    <w:rsid w:val="002A2910"/>
    <w:rsid w:val="002A4395"/>
    <w:rsid w:val="002A45C3"/>
    <w:rsid w:val="002A6402"/>
    <w:rsid w:val="002A73AE"/>
    <w:rsid w:val="002B0146"/>
    <w:rsid w:val="002B0282"/>
    <w:rsid w:val="002B106B"/>
    <w:rsid w:val="002B1A55"/>
    <w:rsid w:val="002B1E0B"/>
    <w:rsid w:val="002B2447"/>
    <w:rsid w:val="002B3E0E"/>
    <w:rsid w:val="002B6AB2"/>
    <w:rsid w:val="002B6D93"/>
    <w:rsid w:val="002C0676"/>
    <w:rsid w:val="002C06E7"/>
    <w:rsid w:val="002C0AAA"/>
    <w:rsid w:val="002C1C9F"/>
    <w:rsid w:val="002C3CED"/>
    <w:rsid w:val="002C5CB4"/>
    <w:rsid w:val="002C7B0C"/>
    <w:rsid w:val="002D07EA"/>
    <w:rsid w:val="002D0BA0"/>
    <w:rsid w:val="002D0FC0"/>
    <w:rsid w:val="002D29FD"/>
    <w:rsid w:val="002D3231"/>
    <w:rsid w:val="002D32BB"/>
    <w:rsid w:val="002D414C"/>
    <w:rsid w:val="002D7371"/>
    <w:rsid w:val="002E1E70"/>
    <w:rsid w:val="002E4DAC"/>
    <w:rsid w:val="002E579C"/>
    <w:rsid w:val="002E6684"/>
    <w:rsid w:val="002F01ED"/>
    <w:rsid w:val="002F02C2"/>
    <w:rsid w:val="002F2830"/>
    <w:rsid w:val="002F7330"/>
    <w:rsid w:val="002F79E4"/>
    <w:rsid w:val="00300EAB"/>
    <w:rsid w:val="00304896"/>
    <w:rsid w:val="003069D3"/>
    <w:rsid w:val="003111B2"/>
    <w:rsid w:val="00311E25"/>
    <w:rsid w:val="00313B55"/>
    <w:rsid w:val="0031596A"/>
    <w:rsid w:val="00320062"/>
    <w:rsid w:val="00323789"/>
    <w:rsid w:val="00324DA4"/>
    <w:rsid w:val="00325180"/>
    <w:rsid w:val="003253C5"/>
    <w:rsid w:val="0032601C"/>
    <w:rsid w:val="0033032F"/>
    <w:rsid w:val="00332921"/>
    <w:rsid w:val="00335873"/>
    <w:rsid w:val="00335F68"/>
    <w:rsid w:val="003360BF"/>
    <w:rsid w:val="0033631D"/>
    <w:rsid w:val="0033676C"/>
    <w:rsid w:val="00341D1E"/>
    <w:rsid w:val="0034311C"/>
    <w:rsid w:val="003436C5"/>
    <w:rsid w:val="0034426E"/>
    <w:rsid w:val="00345D2A"/>
    <w:rsid w:val="003466EF"/>
    <w:rsid w:val="00352D4F"/>
    <w:rsid w:val="00354949"/>
    <w:rsid w:val="00355B1C"/>
    <w:rsid w:val="003562E8"/>
    <w:rsid w:val="003609D7"/>
    <w:rsid w:val="00361A89"/>
    <w:rsid w:val="00361FE5"/>
    <w:rsid w:val="0036253A"/>
    <w:rsid w:val="00362D5B"/>
    <w:rsid w:val="00362DC1"/>
    <w:rsid w:val="00364272"/>
    <w:rsid w:val="0036715E"/>
    <w:rsid w:val="003719E6"/>
    <w:rsid w:val="00372272"/>
    <w:rsid w:val="003725B2"/>
    <w:rsid w:val="003727C7"/>
    <w:rsid w:val="00373C13"/>
    <w:rsid w:val="00375818"/>
    <w:rsid w:val="0037747C"/>
    <w:rsid w:val="003812D5"/>
    <w:rsid w:val="0038280F"/>
    <w:rsid w:val="003828C5"/>
    <w:rsid w:val="0038487E"/>
    <w:rsid w:val="0038600C"/>
    <w:rsid w:val="00391F72"/>
    <w:rsid w:val="003A0707"/>
    <w:rsid w:val="003A0713"/>
    <w:rsid w:val="003A0E14"/>
    <w:rsid w:val="003A3E5F"/>
    <w:rsid w:val="003A4089"/>
    <w:rsid w:val="003A6BC5"/>
    <w:rsid w:val="003B0630"/>
    <w:rsid w:val="003B2BC3"/>
    <w:rsid w:val="003B392B"/>
    <w:rsid w:val="003B5BEA"/>
    <w:rsid w:val="003B743B"/>
    <w:rsid w:val="003C0B17"/>
    <w:rsid w:val="003C3A79"/>
    <w:rsid w:val="003C4368"/>
    <w:rsid w:val="003C5EB0"/>
    <w:rsid w:val="003C6C78"/>
    <w:rsid w:val="003C6F90"/>
    <w:rsid w:val="003C7B7C"/>
    <w:rsid w:val="003D0894"/>
    <w:rsid w:val="003D0896"/>
    <w:rsid w:val="003D21C5"/>
    <w:rsid w:val="003D2716"/>
    <w:rsid w:val="003D50CE"/>
    <w:rsid w:val="003E059A"/>
    <w:rsid w:val="003E156F"/>
    <w:rsid w:val="003E2AD7"/>
    <w:rsid w:val="003E6A12"/>
    <w:rsid w:val="003E79F2"/>
    <w:rsid w:val="003F0D25"/>
    <w:rsid w:val="003F1C08"/>
    <w:rsid w:val="003F1CC6"/>
    <w:rsid w:val="003F21E5"/>
    <w:rsid w:val="003F22E7"/>
    <w:rsid w:val="003F2D4F"/>
    <w:rsid w:val="003F5E96"/>
    <w:rsid w:val="003F70A8"/>
    <w:rsid w:val="00400544"/>
    <w:rsid w:val="00400729"/>
    <w:rsid w:val="00401148"/>
    <w:rsid w:val="00402E4D"/>
    <w:rsid w:val="00411EE2"/>
    <w:rsid w:val="00412D22"/>
    <w:rsid w:val="004136C5"/>
    <w:rsid w:val="004153EC"/>
    <w:rsid w:val="00416BA3"/>
    <w:rsid w:val="00417671"/>
    <w:rsid w:val="004178FA"/>
    <w:rsid w:val="00417DA2"/>
    <w:rsid w:val="004204D9"/>
    <w:rsid w:val="00422533"/>
    <w:rsid w:val="004225DE"/>
    <w:rsid w:val="004226E9"/>
    <w:rsid w:val="004233DA"/>
    <w:rsid w:val="004244DA"/>
    <w:rsid w:val="004245A7"/>
    <w:rsid w:val="00425854"/>
    <w:rsid w:val="00425A66"/>
    <w:rsid w:val="00430738"/>
    <w:rsid w:val="00433D84"/>
    <w:rsid w:val="00435C37"/>
    <w:rsid w:val="004419A6"/>
    <w:rsid w:val="00445735"/>
    <w:rsid w:val="00445B52"/>
    <w:rsid w:val="00446363"/>
    <w:rsid w:val="004479AA"/>
    <w:rsid w:val="00451CE4"/>
    <w:rsid w:val="00452834"/>
    <w:rsid w:val="00452C58"/>
    <w:rsid w:val="00452DE7"/>
    <w:rsid w:val="00453F74"/>
    <w:rsid w:val="004554B8"/>
    <w:rsid w:val="00460DBD"/>
    <w:rsid w:val="00462AB5"/>
    <w:rsid w:val="00462CBA"/>
    <w:rsid w:val="00464BF3"/>
    <w:rsid w:val="00465BC5"/>
    <w:rsid w:val="00466742"/>
    <w:rsid w:val="0047341B"/>
    <w:rsid w:val="00473EE3"/>
    <w:rsid w:val="00474C6A"/>
    <w:rsid w:val="004762B2"/>
    <w:rsid w:val="004763A4"/>
    <w:rsid w:val="00476E8C"/>
    <w:rsid w:val="004777A8"/>
    <w:rsid w:val="004817F5"/>
    <w:rsid w:val="00484D1B"/>
    <w:rsid w:val="00485D65"/>
    <w:rsid w:val="00485F1C"/>
    <w:rsid w:val="0048706B"/>
    <w:rsid w:val="004919EF"/>
    <w:rsid w:val="00496355"/>
    <w:rsid w:val="004973E1"/>
    <w:rsid w:val="004A2932"/>
    <w:rsid w:val="004A2F7B"/>
    <w:rsid w:val="004A3BB9"/>
    <w:rsid w:val="004A4229"/>
    <w:rsid w:val="004A6128"/>
    <w:rsid w:val="004A6ABE"/>
    <w:rsid w:val="004C0B1B"/>
    <w:rsid w:val="004C6FBF"/>
    <w:rsid w:val="004C7AE9"/>
    <w:rsid w:val="004D03EE"/>
    <w:rsid w:val="004D079E"/>
    <w:rsid w:val="004D15B2"/>
    <w:rsid w:val="004D4398"/>
    <w:rsid w:val="004D7CBE"/>
    <w:rsid w:val="004E0FDA"/>
    <w:rsid w:val="004E2F6F"/>
    <w:rsid w:val="004E48DB"/>
    <w:rsid w:val="004E54C3"/>
    <w:rsid w:val="004E5793"/>
    <w:rsid w:val="004E5EC1"/>
    <w:rsid w:val="004E6456"/>
    <w:rsid w:val="004F3F3C"/>
    <w:rsid w:val="004F519A"/>
    <w:rsid w:val="004F6371"/>
    <w:rsid w:val="004F6D99"/>
    <w:rsid w:val="004F77A7"/>
    <w:rsid w:val="00500794"/>
    <w:rsid w:val="00501719"/>
    <w:rsid w:val="005023A8"/>
    <w:rsid w:val="005042A7"/>
    <w:rsid w:val="005052EC"/>
    <w:rsid w:val="0050550F"/>
    <w:rsid w:val="00507F03"/>
    <w:rsid w:val="005114FC"/>
    <w:rsid w:val="0051251D"/>
    <w:rsid w:val="00516571"/>
    <w:rsid w:val="005268BD"/>
    <w:rsid w:val="005275B0"/>
    <w:rsid w:val="005305CB"/>
    <w:rsid w:val="005308EB"/>
    <w:rsid w:val="00530EAD"/>
    <w:rsid w:val="005327E5"/>
    <w:rsid w:val="00536BC2"/>
    <w:rsid w:val="00541F07"/>
    <w:rsid w:val="00542923"/>
    <w:rsid w:val="005447D2"/>
    <w:rsid w:val="005454AF"/>
    <w:rsid w:val="00545A45"/>
    <w:rsid w:val="00545CF7"/>
    <w:rsid w:val="005501B1"/>
    <w:rsid w:val="00550D83"/>
    <w:rsid w:val="00552DA2"/>
    <w:rsid w:val="00553BA1"/>
    <w:rsid w:val="005546DF"/>
    <w:rsid w:val="0055496D"/>
    <w:rsid w:val="005567E0"/>
    <w:rsid w:val="00556CB3"/>
    <w:rsid w:val="00560A04"/>
    <w:rsid w:val="00560F5A"/>
    <w:rsid w:val="0056238C"/>
    <w:rsid w:val="00564996"/>
    <w:rsid w:val="00564A48"/>
    <w:rsid w:val="00564C0D"/>
    <w:rsid w:val="00566851"/>
    <w:rsid w:val="00577316"/>
    <w:rsid w:val="00577462"/>
    <w:rsid w:val="00577E65"/>
    <w:rsid w:val="005803FD"/>
    <w:rsid w:val="005808F2"/>
    <w:rsid w:val="00580FEC"/>
    <w:rsid w:val="00583D16"/>
    <w:rsid w:val="00584743"/>
    <w:rsid w:val="00586667"/>
    <w:rsid w:val="0059255A"/>
    <w:rsid w:val="00594C6B"/>
    <w:rsid w:val="00594E12"/>
    <w:rsid w:val="00594EE9"/>
    <w:rsid w:val="00596504"/>
    <w:rsid w:val="005972AC"/>
    <w:rsid w:val="005A34BD"/>
    <w:rsid w:val="005A45ED"/>
    <w:rsid w:val="005B22D7"/>
    <w:rsid w:val="005B238B"/>
    <w:rsid w:val="005B5F5B"/>
    <w:rsid w:val="005B7822"/>
    <w:rsid w:val="005C00BD"/>
    <w:rsid w:val="005C400D"/>
    <w:rsid w:val="005C4AA9"/>
    <w:rsid w:val="005C503A"/>
    <w:rsid w:val="005C579B"/>
    <w:rsid w:val="005C7CC8"/>
    <w:rsid w:val="005D0FC2"/>
    <w:rsid w:val="005D1A94"/>
    <w:rsid w:val="005D2441"/>
    <w:rsid w:val="005D2BB9"/>
    <w:rsid w:val="005D30E2"/>
    <w:rsid w:val="005D476D"/>
    <w:rsid w:val="005D5D2B"/>
    <w:rsid w:val="005D694D"/>
    <w:rsid w:val="005E02F3"/>
    <w:rsid w:val="005E20BA"/>
    <w:rsid w:val="005E4032"/>
    <w:rsid w:val="005E5497"/>
    <w:rsid w:val="005F0476"/>
    <w:rsid w:val="005F0B33"/>
    <w:rsid w:val="005F12D1"/>
    <w:rsid w:val="005F1DD7"/>
    <w:rsid w:val="005F29EF"/>
    <w:rsid w:val="005F38CF"/>
    <w:rsid w:val="005F3E40"/>
    <w:rsid w:val="0060220F"/>
    <w:rsid w:val="006065F0"/>
    <w:rsid w:val="00607D09"/>
    <w:rsid w:val="00610D1E"/>
    <w:rsid w:val="00613491"/>
    <w:rsid w:val="00616655"/>
    <w:rsid w:val="00616FBE"/>
    <w:rsid w:val="006179E0"/>
    <w:rsid w:val="00617AE9"/>
    <w:rsid w:val="00622050"/>
    <w:rsid w:val="006232D0"/>
    <w:rsid w:val="0062396B"/>
    <w:rsid w:val="00623D30"/>
    <w:rsid w:val="00626616"/>
    <w:rsid w:val="006274AB"/>
    <w:rsid w:val="00630D40"/>
    <w:rsid w:val="00632B25"/>
    <w:rsid w:val="006334AA"/>
    <w:rsid w:val="00633639"/>
    <w:rsid w:val="00637441"/>
    <w:rsid w:val="006378E8"/>
    <w:rsid w:val="00640EE9"/>
    <w:rsid w:val="00640FE3"/>
    <w:rsid w:val="00641750"/>
    <w:rsid w:val="006440BC"/>
    <w:rsid w:val="0064475B"/>
    <w:rsid w:val="00646BC4"/>
    <w:rsid w:val="00647807"/>
    <w:rsid w:val="0065412A"/>
    <w:rsid w:val="0065486B"/>
    <w:rsid w:val="00655D6F"/>
    <w:rsid w:val="006579D6"/>
    <w:rsid w:val="00660C49"/>
    <w:rsid w:val="006632E4"/>
    <w:rsid w:val="00664BA3"/>
    <w:rsid w:val="006665CF"/>
    <w:rsid w:val="00670A4D"/>
    <w:rsid w:val="0067240D"/>
    <w:rsid w:val="0067279E"/>
    <w:rsid w:val="0067414B"/>
    <w:rsid w:val="00674869"/>
    <w:rsid w:val="006757F8"/>
    <w:rsid w:val="00680158"/>
    <w:rsid w:val="00680B83"/>
    <w:rsid w:val="00681BD0"/>
    <w:rsid w:val="00682A7A"/>
    <w:rsid w:val="00683699"/>
    <w:rsid w:val="006841DB"/>
    <w:rsid w:val="0068451A"/>
    <w:rsid w:val="006907F2"/>
    <w:rsid w:val="00690D1C"/>
    <w:rsid w:val="0069102E"/>
    <w:rsid w:val="006913D2"/>
    <w:rsid w:val="006947A5"/>
    <w:rsid w:val="006957D8"/>
    <w:rsid w:val="00696B7A"/>
    <w:rsid w:val="006A117A"/>
    <w:rsid w:val="006A2FA9"/>
    <w:rsid w:val="006A5F51"/>
    <w:rsid w:val="006A7075"/>
    <w:rsid w:val="006A7794"/>
    <w:rsid w:val="006A7B3A"/>
    <w:rsid w:val="006A7D9F"/>
    <w:rsid w:val="006B2664"/>
    <w:rsid w:val="006B2F24"/>
    <w:rsid w:val="006B33A7"/>
    <w:rsid w:val="006B3CE0"/>
    <w:rsid w:val="006B3F46"/>
    <w:rsid w:val="006C07A6"/>
    <w:rsid w:val="006C12C8"/>
    <w:rsid w:val="006C47ED"/>
    <w:rsid w:val="006C4F99"/>
    <w:rsid w:val="006C5DBA"/>
    <w:rsid w:val="006C655D"/>
    <w:rsid w:val="006C79B9"/>
    <w:rsid w:val="006C7CB5"/>
    <w:rsid w:val="006D1589"/>
    <w:rsid w:val="006D1ED4"/>
    <w:rsid w:val="006D476D"/>
    <w:rsid w:val="006D5BDA"/>
    <w:rsid w:val="006D7E12"/>
    <w:rsid w:val="006E4957"/>
    <w:rsid w:val="006E576D"/>
    <w:rsid w:val="006F36CE"/>
    <w:rsid w:val="006F55CA"/>
    <w:rsid w:val="006F628F"/>
    <w:rsid w:val="006F6D9B"/>
    <w:rsid w:val="006F7071"/>
    <w:rsid w:val="006F75B0"/>
    <w:rsid w:val="00701A95"/>
    <w:rsid w:val="00701CE1"/>
    <w:rsid w:val="007028D3"/>
    <w:rsid w:val="00706B35"/>
    <w:rsid w:val="00706FD0"/>
    <w:rsid w:val="007071E0"/>
    <w:rsid w:val="00707D3A"/>
    <w:rsid w:val="007174F7"/>
    <w:rsid w:val="00717EF2"/>
    <w:rsid w:val="00725C93"/>
    <w:rsid w:val="00731FA6"/>
    <w:rsid w:val="00732630"/>
    <w:rsid w:val="00734E09"/>
    <w:rsid w:val="00737959"/>
    <w:rsid w:val="007379B9"/>
    <w:rsid w:val="00740C3C"/>
    <w:rsid w:val="00740E25"/>
    <w:rsid w:val="007410FD"/>
    <w:rsid w:val="0074460A"/>
    <w:rsid w:val="007456FD"/>
    <w:rsid w:val="00745D4D"/>
    <w:rsid w:val="00746831"/>
    <w:rsid w:val="00746EEB"/>
    <w:rsid w:val="007470FD"/>
    <w:rsid w:val="00747943"/>
    <w:rsid w:val="00750A70"/>
    <w:rsid w:val="00751F79"/>
    <w:rsid w:val="0075244F"/>
    <w:rsid w:val="007543F6"/>
    <w:rsid w:val="00757B23"/>
    <w:rsid w:val="007614A9"/>
    <w:rsid w:val="0076287E"/>
    <w:rsid w:val="007630DD"/>
    <w:rsid w:val="0076360C"/>
    <w:rsid w:val="007639DD"/>
    <w:rsid w:val="00770002"/>
    <w:rsid w:val="007733CE"/>
    <w:rsid w:val="007740B5"/>
    <w:rsid w:val="007743D3"/>
    <w:rsid w:val="00776C38"/>
    <w:rsid w:val="00776C9D"/>
    <w:rsid w:val="007772DE"/>
    <w:rsid w:val="007808F3"/>
    <w:rsid w:val="00781607"/>
    <w:rsid w:val="00784F76"/>
    <w:rsid w:val="007854CD"/>
    <w:rsid w:val="0078552D"/>
    <w:rsid w:val="00787225"/>
    <w:rsid w:val="0078738B"/>
    <w:rsid w:val="00791B0C"/>
    <w:rsid w:val="00792264"/>
    <w:rsid w:val="00794A18"/>
    <w:rsid w:val="00795506"/>
    <w:rsid w:val="007960EE"/>
    <w:rsid w:val="007963CF"/>
    <w:rsid w:val="007A0002"/>
    <w:rsid w:val="007A67A2"/>
    <w:rsid w:val="007A6858"/>
    <w:rsid w:val="007A7B82"/>
    <w:rsid w:val="007A7E8D"/>
    <w:rsid w:val="007A7EA0"/>
    <w:rsid w:val="007B0738"/>
    <w:rsid w:val="007B0F4D"/>
    <w:rsid w:val="007B567F"/>
    <w:rsid w:val="007B5699"/>
    <w:rsid w:val="007C39A1"/>
    <w:rsid w:val="007D0859"/>
    <w:rsid w:val="007D0E64"/>
    <w:rsid w:val="007D4C47"/>
    <w:rsid w:val="007D52AE"/>
    <w:rsid w:val="007D555D"/>
    <w:rsid w:val="007D74EB"/>
    <w:rsid w:val="007E0722"/>
    <w:rsid w:val="007E0E0F"/>
    <w:rsid w:val="007E2A4C"/>
    <w:rsid w:val="007E2D84"/>
    <w:rsid w:val="007E38FC"/>
    <w:rsid w:val="007E3FAA"/>
    <w:rsid w:val="007E4B9E"/>
    <w:rsid w:val="007E7236"/>
    <w:rsid w:val="007E7760"/>
    <w:rsid w:val="007E79A2"/>
    <w:rsid w:val="007F0492"/>
    <w:rsid w:val="007F0CD9"/>
    <w:rsid w:val="007F2C96"/>
    <w:rsid w:val="007F33D4"/>
    <w:rsid w:val="007F7623"/>
    <w:rsid w:val="007F7EDC"/>
    <w:rsid w:val="00803433"/>
    <w:rsid w:val="0080464E"/>
    <w:rsid w:val="00810959"/>
    <w:rsid w:val="00811C43"/>
    <w:rsid w:val="00813091"/>
    <w:rsid w:val="008135B5"/>
    <w:rsid w:val="00813818"/>
    <w:rsid w:val="0081399C"/>
    <w:rsid w:val="00814520"/>
    <w:rsid w:val="00814E01"/>
    <w:rsid w:val="00820F66"/>
    <w:rsid w:val="00822A97"/>
    <w:rsid w:val="008232A0"/>
    <w:rsid w:val="008235E8"/>
    <w:rsid w:val="008236BB"/>
    <w:rsid w:val="00823C4B"/>
    <w:rsid w:val="008256EF"/>
    <w:rsid w:val="00827153"/>
    <w:rsid w:val="00830311"/>
    <w:rsid w:val="008349D8"/>
    <w:rsid w:val="00836890"/>
    <w:rsid w:val="0084040C"/>
    <w:rsid w:val="00840DF8"/>
    <w:rsid w:val="008412EA"/>
    <w:rsid w:val="00842480"/>
    <w:rsid w:val="00842A3B"/>
    <w:rsid w:val="00844D87"/>
    <w:rsid w:val="00845600"/>
    <w:rsid w:val="0085092C"/>
    <w:rsid w:val="00853415"/>
    <w:rsid w:val="008551EF"/>
    <w:rsid w:val="00855A7B"/>
    <w:rsid w:val="00855E16"/>
    <w:rsid w:val="00857462"/>
    <w:rsid w:val="00861D5C"/>
    <w:rsid w:val="00863366"/>
    <w:rsid w:val="00864C5F"/>
    <w:rsid w:val="0086557C"/>
    <w:rsid w:val="00867D18"/>
    <w:rsid w:val="00867EB1"/>
    <w:rsid w:val="00870B2F"/>
    <w:rsid w:val="00872AF7"/>
    <w:rsid w:val="008743F1"/>
    <w:rsid w:val="00874E2D"/>
    <w:rsid w:val="00875220"/>
    <w:rsid w:val="00875226"/>
    <w:rsid w:val="008758C6"/>
    <w:rsid w:val="008813E0"/>
    <w:rsid w:val="0088388C"/>
    <w:rsid w:val="00883ADA"/>
    <w:rsid w:val="00883D9D"/>
    <w:rsid w:val="00885E21"/>
    <w:rsid w:val="00885F68"/>
    <w:rsid w:val="00886930"/>
    <w:rsid w:val="00886B61"/>
    <w:rsid w:val="00890039"/>
    <w:rsid w:val="00892504"/>
    <w:rsid w:val="008950D5"/>
    <w:rsid w:val="00895410"/>
    <w:rsid w:val="00897ADB"/>
    <w:rsid w:val="008A1992"/>
    <w:rsid w:val="008A215F"/>
    <w:rsid w:val="008A2610"/>
    <w:rsid w:val="008A3439"/>
    <w:rsid w:val="008A3CBB"/>
    <w:rsid w:val="008A5E18"/>
    <w:rsid w:val="008A6BEC"/>
    <w:rsid w:val="008A70FE"/>
    <w:rsid w:val="008B058F"/>
    <w:rsid w:val="008B0E64"/>
    <w:rsid w:val="008B4D69"/>
    <w:rsid w:val="008B5677"/>
    <w:rsid w:val="008B5AAC"/>
    <w:rsid w:val="008B6A37"/>
    <w:rsid w:val="008C1A0D"/>
    <w:rsid w:val="008C4818"/>
    <w:rsid w:val="008C52CE"/>
    <w:rsid w:val="008C685C"/>
    <w:rsid w:val="008D1A4A"/>
    <w:rsid w:val="008D2993"/>
    <w:rsid w:val="008D2B48"/>
    <w:rsid w:val="008D59D4"/>
    <w:rsid w:val="008D6997"/>
    <w:rsid w:val="008D6E73"/>
    <w:rsid w:val="008E0CA5"/>
    <w:rsid w:val="008E4367"/>
    <w:rsid w:val="008E5A82"/>
    <w:rsid w:val="008E6C5B"/>
    <w:rsid w:val="008F14EF"/>
    <w:rsid w:val="008F1C82"/>
    <w:rsid w:val="008F2AE1"/>
    <w:rsid w:val="008F2D12"/>
    <w:rsid w:val="008F3DB4"/>
    <w:rsid w:val="008F43D1"/>
    <w:rsid w:val="008F5BFB"/>
    <w:rsid w:val="008F5F1F"/>
    <w:rsid w:val="008F6B46"/>
    <w:rsid w:val="00902C99"/>
    <w:rsid w:val="0090461F"/>
    <w:rsid w:val="009059BB"/>
    <w:rsid w:val="00905C62"/>
    <w:rsid w:val="00906A50"/>
    <w:rsid w:val="00907417"/>
    <w:rsid w:val="00910AD0"/>
    <w:rsid w:val="009111C3"/>
    <w:rsid w:val="00912854"/>
    <w:rsid w:val="009128B3"/>
    <w:rsid w:val="00913BEA"/>
    <w:rsid w:val="00922EDF"/>
    <w:rsid w:val="00925C93"/>
    <w:rsid w:val="00926432"/>
    <w:rsid w:val="00927CD0"/>
    <w:rsid w:val="0093044C"/>
    <w:rsid w:val="00930AC2"/>
    <w:rsid w:val="0093138F"/>
    <w:rsid w:val="00932414"/>
    <w:rsid w:val="00932A8F"/>
    <w:rsid w:val="009333D8"/>
    <w:rsid w:val="00933404"/>
    <w:rsid w:val="00933479"/>
    <w:rsid w:val="0093365C"/>
    <w:rsid w:val="0093480C"/>
    <w:rsid w:val="00936693"/>
    <w:rsid w:val="00943340"/>
    <w:rsid w:val="00944472"/>
    <w:rsid w:val="009476A2"/>
    <w:rsid w:val="00947FA5"/>
    <w:rsid w:val="0095003F"/>
    <w:rsid w:val="009544E8"/>
    <w:rsid w:val="00956243"/>
    <w:rsid w:val="009562F3"/>
    <w:rsid w:val="009567B6"/>
    <w:rsid w:val="009600CE"/>
    <w:rsid w:val="00962955"/>
    <w:rsid w:val="00962B36"/>
    <w:rsid w:val="00962F68"/>
    <w:rsid w:val="00963BCC"/>
    <w:rsid w:val="00966484"/>
    <w:rsid w:val="0096745D"/>
    <w:rsid w:val="00971593"/>
    <w:rsid w:val="0097219A"/>
    <w:rsid w:val="009806C8"/>
    <w:rsid w:val="00981950"/>
    <w:rsid w:val="00981F9A"/>
    <w:rsid w:val="00982020"/>
    <w:rsid w:val="00984410"/>
    <w:rsid w:val="009848F2"/>
    <w:rsid w:val="00987705"/>
    <w:rsid w:val="00987709"/>
    <w:rsid w:val="0099106B"/>
    <w:rsid w:val="00991437"/>
    <w:rsid w:val="0099234D"/>
    <w:rsid w:val="00994A05"/>
    <w:rsid w:val="00994A3A"/>
    <w:rsid w:val="00994D6B"/>
    <w:rsid w:val="009951E8"/>
    <w:rsid w:val="009A0D8B"/>
    <w:rsid w:val="009A3BA0"/>
    <w:rsid w:val="009A425C"/>
    <w:rsid w:val="009A42A4"/>
    <w:rsid w:val="009A4835"/>
    <w:rsid w:val="009A4C8D"/>
    <w:rsid w:val="009A6E37"/>
    <w:rsid w:val="009B019D"/>
    <w:rsid w:val="009B02A3"/>
    <w:rsid w:val="009B075E"/>
    <w:rsid w:val="009B1710"/>
    <w:rsid w:val="009B1DEF"/>
    <w:rsid w:val="009B78B4"/>
    <w:rsid w:val="009C4022"/>
    <w:rsid w:val="009C6335"/>
    <w:rsid w:val="009C6B67"/>
    <w:rsid w:val="009C7AB6"/>
    <w:rsid w:val="009D0233"/>
    <w:rsid w:val="009D0521"/>
    <w:rsid w:val="009D09C2"/>
    <w:rsid w:val="009D0D6C"/>
    <w:rsid w:val="009D0E30"/>
    <w:rsid w:val="009D11A9"/>
    <w:rsid w:val="009D1C8B"/>
    <w:rsid w:val="009D1F79"/>
    <w:rsid w:val="009D227B"/>
    <w:rsid w:val="009D3A6F"/>
    <w:rsid w:val="009D479A"/>
    <w:rsid w:val="009D48B9"/>
    <w:rsid w:val="009D6661"/>
    <w:rsid w:val="009D7165"/>
    <w:rsid w:val="009E23F3"/>
    <w:rsid w:val="009E467A"/>
    <w:rsid w:val="009E690F"/>
    <w:rsid w:val="009F02F3"/>
    <w:rsid w:val="009F05DF"/>
    <w:rsid w:val="009F2A89"/>
    <w:rsid w:val="009F38CF"/>
    <w:rsid w:val="009F4ADD"/>
    <w:rsid w:val="009F68F7"/>
    <w:rsid w:val="009F76ED"/>
    <w:rsid w:val="00A03C83"/>
    <w:rsid w:val="00A1065E"/>
    <w:rsid w:val="00A110F9"/>
    <w:rsid w:val="00A1240E"/>
    <w:rsid w:val="00A12967"/>
    <w:rsid w:val="00A138D7"/>
    <w:rsid w:val="00A168C4"/>
    <w:rsid w:val="00A1712C"/>
    <w:rsid w:val="00A17B32"/>
    <w:rsid w:val="00A22AD3"/>
    <w:rsid w:val="00A22B63"/>
    <w:rsid w:val="00A25C46"/>
    <w:rsid w:val="00A3164C"/>
    <w:rsid w:val="00A35299"/>
    <w:rsid w:val="00A36643"/>
    <w:rsid w:val="00A370E2"/>
    <w:rsid w:val="00A37809"/>
    <w:rsid w:val="00A37B29"/>
    <w:rsid w:val="00A40301"/>
    <w:rsid w:val="00A4369A"/>
    <w:rsid w:val="00A43FC1"/>
    <w:rsid w:val="00A45249"/>
    <w:rsid w:val="00A45CB2"/>
    <w:rsid w:val="00A4637A"/>
    <w:rsid w:val="00A465C6"/>
    <w:rsid w:val="00A468DC"/>
    <w:rsid w:val="00A46E86"/>
    <w:rsid w:val="00A4710C"/>
    <w:rsid w:val="00A50C38"/>
    <w:rsid w:val="00A53732"/>
    <w:rsid w:val="00A552C4"/>
    <w:rsid w:val="00A56A33"/>
    <w:rsid w:val="00A56CDE"/>
    <w:rsid w:val="00A61854"/>
    <w:rsid w:val="00A642FF"/>
    <w:rsid w:val="00A65D9E"/>
    <w:rsid w:val="00A667EE"/>
    <w:rsid w:val="00A66900"/>
    <w:rsid w:val="00A70CD1"/>
    <w:rsid w:val="00A74B11"/>
    <w:rsid w:val="00A74D6B"/>
    <w:rsid w:val="00A750B1"/>
    <w:rsid w:val="00A77727"/>
    <w:rsid w:val="00A80BE1"/>
    <w:rsid w:val="00A80F4A"/>
    <w:rsid w:val="00A81D19"/>
    <w:rsid w:val="00A82A93"/>
    <w:rsid w:val="00A835EB"/>
    <w:rsid w:val="00A84A82"/>
    <w:rsid w:val="00A85420"/>
    <w:rsid w:val="00A85DF1"/>
    <w:rsid w:val="00A87C12"/>
    <w:rsid w:val="00A901B1"/>
    <w:rsid w:val="00A9148B"/>
    <w:rsid w:val="00A91DE4"/>
    <w:rsid w:val="00A934DA"/>
    <w:rsid w:val="00A93859"/>
    <w:rsid w:val="00A96186"/>
    <w:rsid w:val="00A96E2B"/>
    <w:rsid w:val="00AA16C0"/>
    <w:rsid w:val="00AA2089"/>
    <w:rsid w:val="00AA24CD"/>
    <w:rsid w:val="00AA2D57"/>
    <w:rsid w:val="00AA43C8"/>
    <w:rsid w:val="00AA44B5"/>
    <w:rsid w:val="00AA54B6"/>
    <w:rsid w:val="00AA5F79"/>
    <w:rsid w:val="00AB18B6"/>
    <w:rsid w:val="00AB1D73"/>
    <w:rsid w:val="00AB28AE"/>
    <w:rsid w:val="00AB2FCE"/>
    <w:rsid w:val="00AB3AE7"/>
    <w:rsid w:val="00AB7E11"/>
    <w:rsid w:val="00AC0556"/>
    <w:rsid w:val="00AC085B"/>
    <w:rsid w:val="00AC29B4"/>
    <w:rsid w:val="00AC4A2F"/>
    <w:rsid w:val="00AC4B77"/>
    <w:rsid w:val="00AC5B7C"/>
    <w:rsid w:val="00AC771C"/>
    <w:rsid w:val="00AD0B0E"/>
    <w:rsid w:val="00AD14DF"/>
    <w:rsid w:val="00AD2AE9"/>
    <w:rsid w:val="00AD3712"/>
    <w:rsid w:val="00AD4471"/>
    <w:rsid w:val="00AD47D2"/>
    <w:rsid w:val="00AD5019"/>
    <w:rsid w:val="00AD6B03"/>
    <w:rsid w:val="00AE05FC"/>
    <w:rsid w:val="00AE122F"/>
    <w:rsid w:val="00AE1F85"/>
    <w:rsid w:val="00AE2A28"/>
    <w:rsid w:val="00AE349E"/>
    <w:rsid w:val="00AE3982"/>
    <w:rsid w:val="00AE5C98"/>
    <w:rsid w:val="00AF1114"/>
    <w:rsid w:val="00AF2AD6"/>
    <w:rsid w:val="00AF2F34"/>
    <w:rsid w:val="00AF3380"/>
    <w:rsid w:val="00AF5460"/>
    <w:rsid w:val="00AF7D8E"/>
    <w:rsid w:val="00B007EC"/>
    <w:rsid w:val="00B033BC"/>
    <w:rsid w:val="00B038F7"/>
    <w:rsid w:val="00B062F0"/>
    <w:rsid w:val="00B0708D"/>
    <w:rsid w:val="00B07318"/>
    <w:rsid w:val="00B07E02"/>
    <w:rsid w:val="00B10CED"/>
    <w:rsid w:val="00B12CF8"/>
    <w:rsid w:val="00B1694F"/>
    <w:rsid w:val="00B214D7"/>
    <w:rsid w:val="00B21909"/>
    <w:rsid w:val="00B23997"/>
    <w:rsid w:val="00B26947"/>
    <w:rsid w:val="00B30738"/>
    <w:rsid w:val="00B3137D"/>
    <w:rsid w:val="00B32702"/>
    <w:rsid w:val="00B35B2A"/>
    <w:rsid w:val="00B35EBD"/>
    <w:rsid w:val="00B42032"/>
    <w:rsid w:val="00B42AB5"/>
    <w:rsid w:val="00B453CE"/>
    <w:rsid w:val="00B469F2"/>
    <w:rsid w:val="00B46A88"/>
    <w:rsid w:val="00B50DB8"/>
    <w:rsid w:val="00B522C2"/>
    <w:rsid w:val="00B53A9E"/>
    <w:rsid w:val="00B548CA"/>
    <w:rsid w:val="00B549D2"/>
    <w:rsid w:val="00B54C1D"/>
    <w:rsid w:val="00B56432"/>
    <w:rsid w:val="00B61F6D"/>
    <w:rsid w:val="00B6419A"/>
    <w:rsid w:val="00B64DFF"/>
    <w:rsid w:val="00B64E33"/>
    <w:rsid w:val="00B64F15"/>
    <w:rsid w:val="00B65027"/>
    <w:rsid w:val="00B75E8F"/>
    <w:rsid w:val="00B80657"/>
    <w:rsid w:val="00B80A72"/>
    <w:rsid w:val="00B817CF"/>
    <w:rsid w:val="00B86B21"/>
    <w:rsid w:val="00B907D5"/>
    <w:rsid w:val="00B91D9C"/>
    <w:rsid w:val="00B92714"/>
    <w:rsid w:val="00B92B7B"/>
    <w:rsid w:val="00B92FD2"/>
    <w:rsid w:val="00B932D2"/>
    <w:rsid w:val="00B93A68"/>
    <w:rsid w:val="00B93A85"/>
    <w:rsid w:val="00B94026"/>
    <w:rsid w:val="00B9477F"/>
    <w:rsid w:val="00B952EB"/>
    <w:rsid w:val="00B95627"/>
    <w:rsid w:val="00B967BC"/>
    <w:rsid w:val="00BA28BA"/>
    <w:rsid w:val="00BA5CC6"/>
    <w:rsid w:val="00BA6CD2"/>
    <w:rsid w:val="00BB0078"/>
    <w:rsid w:val="00BB14A2"/>
    <w:rsid w:val="00BB195F"/>
    <w:rsid w:val="00BB5183"/>
    <w:rsid w:val="00BB7F20"/>
    <w:rsid w:val="00BC1683"/>
    <w:rsid w:val="00BC3E12"/>
    <w:rsid w:val="00BD150E"/>
    <w:rsid w:val="00BD3DB5"/>
    <w:rsid w:val="00BD4DA7"/>
    <w:rsid w:val="00BD5DF7"/>
    <w:rsid w:val="00BD6022"/>
    <w:rsid w:val="00BE2279"/>
    <w:rsid w:val="00BE2C3B"/>
    <w:rsid w:val="00BE5ACC"/>
    <w:rsid w:val="00BE6F1E"/>
    <w:rsid w:val="00BE7278"/>
    <w:rsid w:val="00BE731C"/>
    <w:rsid w:val="00BF0974"/>
    <w:rsid w:val="00BF0A0B"/>
    <w:rsid w:val="00BF11AF"/>
    <w:rsid w:val="00BF1204"/>
    <w:rsid w:val="00BF1316"/>
    <w:rsid w:val="00BF236D"/>
    <w:rsid w:val="00C01753"/>
    <w:rsid w:val="00C0193D"/>
    <w:rsid w:val="00C01D84"/>
    <w:rsid w:val="00C038CE"/>
    <w:rsid w:val="00C05871"/>
    <w:rsid w:val="00C12234"/>
    <w:rsid w:val="00C124DB"/>
    <w:rsid w:val="00C14B00"/>
    <w:rsid w:val="00C1599D"/>
    <w:rsid w:val="00C15C34"/>
    <w:rsid w:val="00C2006F"/>
    <w:rsid w:val="00C22525"/>
    <w:rsid w:val="00C253E6"/>
    <w:rsid w:val="00C25E10"/>
    <w:rsid w:val="00C27B9A"/>
    <w:rsid w:val="00C32A69"/>
    <w:rsid w:val="00C366DE"/>
    <w:rsid w:val="00C40CC0"/>
    <w:rsid w:val="00C41315"/>
    <w:rsid w:val="00C43441"/>
    <w:rsid w:val="00C4499A"/>
    <w:rsid w:val="00C4589C"/>
    <w:rsid w:val="00C46268"/>
    <w:rsid w:val="00C47221"/>
    <w:rsid w:val="00C475CB"/>
    <w:rsid w:val="00C522ED"/>
    <w:rsid w:val="00C5243C"/>
    <w:rsid w:val="00C56538"/>
    <w:rsid w:val="00C5684B"/>
    <w:rsid w:val="00C72DFB"/>
    <w:rsid w:val="00C73931"/>
    <w:rsid w:val="00C762E8"/>
    <w:rsid w:val="00C764D5"/>
    <w:rsid w:val="00C778FD"/>
    <w:rsid w:val="00C821D5"/>
    <w:rsid w:val="00C82890"/>
    <w:rsid w:val="00C84C2F"/>
    <w:rsid w:val="00C85E9F"/>
    <w:rsid w:val="00C8684B"/>
    <w:rsid w:val="00C87367"/>
    <w:rsid w:val="00C90B25"/>
    <w:rsid w:val="00C90BB4"/>
    <w:rsid w:val="00CA001C"/>
    <w:rsid w:val="00CA1199"/>
    <w:rsid w:val="00CA21DA"/>
    <w:rsid w:val="00CA4209"/>
    <w:rsid w:val="00CA7FFA"/>
    <w:rsid w:val="00CB119B"/>
    <w:rsid w:val="00CB4323"/>
    <w:rsid w:val="00CB494B"/>
    <w:rsid w:val="00CB58DC"/>
    <w:rsid w:val="00CC03AA"/>
    <w:rsid w:val="00CC04A2"/>
    <w:rsid w:val="00CC07F8"/>
    <w:rsid w:val="00CC0D97"/>
    <w:rsid w:val="00CC3E0D"/>
    <w:rsid w:val="00CC5544"/>
    <w:rsid w:val="00CD0DFB"/>
    <w:rsid w:val="00CD18DF"/>
    <w:rsid w:val="00CD5605"/>
    <w:rsid w:val="00CD74E8"/>
    <w:rsid w:val="00CE01ED"/>
    <w:rsid w:val="00CE0383"/>
    <w:rsid w:val="00CE142A"/>
    <w:rsid w:val="00CE217F"/>
    <w:rsid w:val="00CE24CB"/>
    <w:rsid w:val="00CE27E5"/>
    <w:rsid w:val="00CE3886"/>
    <w:rsid w:val="00CE40F7"/>
    <w:rsid w:val="00CE45BB"/>
    <w:rsid w:val="00CE5338"/>
    <w:rsid w:val="00CE5653"/>
    <w:rsid w:val="00CE5DFB"/>
    <w:rsid w:val="00CE5ED8"/>
    <w:rsid w:val="00CE6935"/>
    <w:rsid w:val="00CF0E98"/>
    <w:rsid w:val="00CF203E"/>
    <w:rsid w:val="00CF500B"/>
    <w:rsid w:val="00CF6697"/>
    <w:rsid w:val="00CF74EC"/>
    <w:rsid w:val="00CF7712"/>
    <w:rsid w:val="00CF7CEA"/>
    <w:rsid w:val="00CF7FD0"/>
    <w:rsid w:val="00D01CEF"/>
    <w:rsid w:val="00D0219C"/>
    <w:rsid w:val="00D02EA3"/>
    <w:rsid w:val="00D059D1"/>
    <w:rsid w:val="00D063E4"/>
    <w:rsid w:val="00D06D00"/>
    <w:rsid w:val="00D07C01"/>
    <w:rsid w:val="00D10045"/>
    <w:rsid w:val="00D101DF"/>
    <w:rsid w:val="00D12FC3"/>
    <w:rsid w:val="00D14582"/>
    <w:rsid w:val="00D168C0"/>
    <w:rsid w:val="00D16B21"/>
    <w:rsid w:val="00D17E56"/>
    <w:rsid w:val="00D227E7"/>
    <w:rsid w:val="00D22B5A"/>
    <w:rsid w:val="00D23275"/>
    <w:rsid w:val="00D24030"/>
    <w:rsid w:val="00D24CF8"/>
    <w:rsid w:val="00D2589D"/>
    <w:rsid w:val="00D25C3E"/>
    <w:rsid w:val="00D33695"/>
    <w:rsid w:val="00D33858"/>
    <w:rsid w:val="00D40645"/>
    <w:rsid w:val="00D41BF4"/>
    <w:rsid w:val="00D42278"/>
    <w:rsid w:val="00D42803"/>
    <w:rsid w:val="00D45604"/>
    <w:rsid w:val="00D45686"/>
    <w:rsid w:val="00D465BD"/>
    <w:rsid w:val="00D46ADC"/>
    <w:rsid w:val="00D50412"/>
    <w:rsid w:val="00D51026"/>
    <w:rsid w:val="00D51A36"/>
    <w:rsid w:val="00D5231A"/>
    <w:rsid w:val="00D5468B"/>
    <w:rsid w:val="00D551B9"/>
    <w:rsid w:val="00D5596B"/>
    <w:rsid w:val="00D56331"/>
    <w:rsid w:val="00D56539"/>
    <w:rsid w:val="00D566BC"/>
    <w:rsid w:val="00D60187"/>
    <w:rsid w:val="00D617D8"/>
    <w:rsid w:val="00D6390F"/>
    <w:rsid w:val="00D65CAD"/>
    <w:rsid w:val="00D66C5D"/>
    <w:rsid w:val="00D66ED0"/>
    <w:rsid w:val="00D704AB"/>
    <w:rsid w:val="00D731B8"/>
    <w:rsid w:val="00D73D8C"/>
    <w:rsid w:val="00D778FC"/>
    <w:rsid w:val="00D77DCA"/>
    <w:rsid w:val="00D80BDA"/>
    <w:rsid w:val="00D84BE5"/>
    <w:rsid w:val="00D866BF"/>
    <w:rsid w:val="00D90731"/>
    <w:rsid w:val="00D907BD"/>
    <w:rsid w:val="00D93E38"/>
    <w:rsid w:val="00D944E9"/>
    <w:rsid w:val="00D95982"/>
    <w:rsid w:val="00DA0002"/>
    <w:rsid w:val="00DA0507"/>
    <w:rsid w:val="00DA0D18"/>
    <w:rsid w:val="00DA7C6B"/>
    <w:rsid w:val="00DB0C08"/>
    <w:rsid w:val="00DB12E3"/>
    <w:rsid w:val="00DB2FDB"/>
    <w:rsid w:val="00DB4AE0"/>
    <w:rsid w:val="00DB7B7D"/>
    <w:rsid w:val="00DC2226"/>
    <w:rsid w:val="00DC319C"/>
    <w:rsid w:val="00DC373F"/>
    <w:rsid w:val="00DD3D5B"/>
    <w:rsid w:val="00DD4ED3"/>
    <w:rsid w:val="00DD595E"/>
    <w:rsid w:val="00DD5A75"/>
    <w:rsid w:val="00DD5EDE"/>
    <w:rsid w:val="00DD62B6"/>
    <w:rsid w:val="00DD6CC7"/>
    <w:rsid w:val="00DD71BB"/>
    <w:rsid w:val="00DE0953"/>
    <w:rsid w:val="00DE293F"/>
    <w:rsid w:val="00DE401F"/>
    <w:rsid w:val="00DE4658"/>
    <w:rsid w:val="00DE4683"/>
    <w:rsid w:val="00DE6CE1"/>
    <w:rsid w:val="00DF035F"/>
    <w:rsid w:val="00DF0510"/>
    <w:rsid w:val="00DF11EE"/>
    <w:rsid w:val="00DF13A1"/>
    <w:rsid w:val="00DF1E2B"/>
    <w:rsid w:val="00DF1E35"/>
    <w:rsid w:val="00DF2602"/>
    <w:rsid w:val="00DF2FB4"/>
    <w:rsid w:val="00DF517E"/>
    <w:rsid w:val="00DF578F"/>
    <w:rsid w:val="00E014EC"/>
    <w:rsid w:val="00E02792"/>
    <w:rsid w:val="00E041A9"/>
    <w:rsid w:val="00E05CC0"/>
    <w:rsid w:val="00E06509"/>
    <w:rsid w:val="00E06590"/>
    <w:rsid w:val="00E065B1"/>
    <w:rsid w:val="00E11CB3"/>
    <w:rsid w:val="00E12E41"/>
    <w:rsid w:val="00E22DD2"/>
    <w:rsid w:val="00E23375"/>
    <w:rsid w:val="00E25B40"/>
    <w:rsid w:val="00E266C7"/>
    <w:rsid w:val="00E26967"/>
    <w:rsid w:val="00E26F08"/>
    <w:rsid w:val="00E314BE"/>
    <w:rsid w:val="00E364ED"/>
    <w:rsid w:val="00E41E91"/>
    <w:rsid w:val="00E4231A"/>
    <w:rsid w:val="00E43F28"/>
    <w:rsid w:val="00E4414B"/>
    <w:rsid w:val="00E474DC"/>
    <w:rsid w:val="00E47F71"/>
    <w:rsid w:val="00E5025A"/>
    <w:rsid w:val="00E538D8"/>
    <w:rsid w:val="00E53E0E"/>
    <w:rsid w:val="00E54631"/>
    <w:rsid w:val="00E54F97"/>
    <w:rsid w:val="00E55420"/>
    <w:rsid w:val="00E5642A"/>
    <w:rsid w:val="00E57BA4"/>
    <w:rsid w:val="00E647C9"/>
    <w:rsid w:val="00E66C1D"/>
    <w:rsid w:val="00E66E69"/>
    <w:rsid w:val="00E67BFC"/>
    <w:rsid w:val="00E73155"/>
    <w:rsid w:val="00E73C1A"/>
    <w:rsid w:val="00E7535D"/>
    <w:rsid w:val="00E75785"/>
    <w:rsid w:val="00E76524"/>
    <w:rsid w:val="00E806EC"/>
    <w:rsid w:val="00E8137F"/>
    <w:rsid w:val="00E8178A"/>
    <w:rsid w:val="00E831E0"/>
    <w:rsid w:val="00E832DC"/>
    <w:rsid w:val="00E840A6"/>
    <w:rsid w:val="00E849E0"/>
    <w:rsid w:val="00E91340"/>
    <w:rsid w:val="00E91981"/>
    <w:rsid w:val="00E935F1"/>
    <w:rsid w:val="00E9559E"/>
    <w:rsid w:val="00E95DC4"/>
    <w:rsid w:val="00E95F9B"/>
    <w:rsid w:val="00E972A9"/>
    <w:rsid w:val="00EA0D35"/>
    <w:rsid w:val="00EA34CB"/>
    <w:rsid w:val="00EA5EB4"/>
    <w:rsid w:val="00EA6385"/>
    <w:rsid w:val="00EA6997"/>
    <w:rsid w:val="00EB0085"/>
    <w:rsid w:val="00EB2C2C"/>
    <w:rsid w:val="00EB31D3"/>
    <w:rsid w:val="00EB6346"/>
    <w:rsid w:val="00EB66B3"/>
    <w:rsid w:val="00EB6708"/>
    <w:rsid w:val="00EB6EB5"/>
    <w:rsid w:val="00EB7C62"/>
    <w:rsid w:val="00EC0855"/>
    <w:rsid w:val="00EC2DCE"/>
    <w:rsid w:val="00EC5374"/>
    <w:rsid w:val="00ED19EC"/>
    <w:rsid w:val="00ED3556"/>
    <w:rsid w:val="00ED3BDA"/>
    <w:rsid w:val="00ED4A2A"/>
    <w:rsid w:val="00EE1631"/>
    <w:rsid w:val="00EE2213"/>
    <w:rsid w:val="00EE308A"/>
    <w:rsid w:val="00EE3B7E"/>
    <w:rsid w:val="00EE4C86"/>
    <w:rsid w:val="00EE5B49"/>
    <w:rsid w:val="00EE6A5A"/>
    <w:rsid w:val="00EF32B6"/>
    <w:rsid w:val="00EF440E"/>
    <w:rsid w:val="00F01E27"/>
    <w:rsid w:val="00F0394E"/>
    <w:rsid w:val="00F03B3D"/>
    <w:rsid w:val="00F074A1"/>
    <w:rsid w:val="00F102B5"/>
    <w:rsid w:val="00F10B05"/>
    <w:rsid w:val="00F115BF"/>
    <w:rsid w:val="00F12BC6"/>
    <w:rsid w:val="00F176BE"/>
    <w:rsid w:val="00F17874"/>
    <w:rsid w:val="00F21F9F"/>
    <w:rsid w:val="00F23476"/>
    <w:rsid w:val="00F244BF"/>
    <w:rsid w:val="00F26AF8"/>
    <w:rsid w:val="00F26CCF"/>
    <w:rsid w:val="00F27400"/>
    <w:rsid w:val="00F27819"/>
    <w:rsid w:val="00F30559"/>
    <w:rsid w:val="00F31D50"/>
    <w:rsid w:val="00F32081"/>
    <w:rsid w:val="00F32A0E"/>
    <w:rsid w:val="00F407A3"/>
    <w:rsid w:val="00F40A5B"/>
    <w:rsid w:val="00F41BA5"/>
    <w:rsid w:val="00F41F0F"/>
    <w:rsid w:val="00F4222A"/>
    <w:rsid w:val="00F422A2"/>
    <w:rsid w:val="00F429C4"/>
    <w:rsid w:val="00F43024"/>
    <w:rsid w:val="00F4603A"/>
    <w:rsid w:val="00F463C7"/>
    <w:rsid w:val="00F46B6D"/>
    <w:rsid w:val="00F47322"/>
    <w:rsid w:val="00F507C7"/>
    <w:rsid w:val="00F5081D"/>
    <w:rsid w:val="00F5435C"/>
    <w:rsid w:val="00F56075"/>
    <w:rsid w:val="00F605AB"/>
    <w:rsid w:val="00F61060"/>
    <w:rsid w:val="00F61296"/>
    <w:rsid w:val="00F61574"/>
    <w:rsid w:val="00F62103"/>
    <w:rsid w:val="00F645D6"/>
    <w:rsid w:val="00F65659"/>
    <w:rsid w:val="00F73426"/>
    <w:rsid w:val="00F77123"/>
    <w:rsid w:val="00F81538"/>
    <w:rsid w:val="00F835FE"/>
    <w:rsid w:val="00F851C0"/>
    <w:rsid w:val="00F85251"/>
    <w:rsid w:val="00F85519"/>
    <w:rsid w:val="00F86B82"/>
    <w:rsid w:val="00F87A09"/>
    <w:rsid w:val="00F9050E"/>
    <w:rsid w:val="00F933E7"/>
    <w:rsid w:val="00F96001"/>
    <w:rsid w:val="00F97C65"/>
    <w:rsid w:val="00FA03BC"/>
    <w:rsid w:val="00FA0905"/>
    <w:rsid w:val="00FA1006"/>
    <w:rsid w:val="00FA2C61"/>
    <w:rsid w:val="00FA394E"/>
    <w:rsid w:val="00FA5A1A"/>
    <w:rsid w:val="00FA65FE"/>
    <w:rsid w:val="00FA6A4A"/>
    <w:rsid w:val="00FB0257"/>
    <w:rsid w:val="00FB037F"/>
    <w:rsid w:val="00FB126F"/>
    <w:rsid w:val="00FB201D"/>
    <w:rsid w:val="00FB22E3"/>
    <w:rsid w:val="00FB29DB"/>
    <w:rsid w:val="00FB3213"/>
    <w:rsid w:val="00FB55C5"/>
    <w:rsid w:val="00FB6DC9"/>
    <w:rsid w:val="00FB7056"/>
    <w:rsid w:val="00FC07FC"/>
    <w:rsid w:val="00FC3A4D"/>
    <w:rsid w:val="00FC4CDB"/>
    <w:rsid w:val="00FC5DD0"/>
    <w:rsid w:val="00FC5E45"/>
    <w:rsid w:val="00FC711B"/>
    <w:rsid w:val="00FC779B"/>
    <w:rsid w:val="00FC7987"/>
    <w:rsid w:val="00FD03B2"/>
    <w:rsid w:val="00FD2A01"/>
    <w:rsid w:val="00FD738D"/>
    <w:rsid w:val="00FE102B"/>
    <w:rsid w:val="00FE1FE0"/>
    <w:rsid w:val="00FE3306"/>
    <w:rsid w:val="00FE4DF1"/>
    <w:rsid w:val="00FE4E4D"/>
    <w:rsid w:val="00FE562C"/>
    <w:rsid w:val="00FE589C"/>
    <w:rsid w:val="00FF014A"/>
    <w:rsid w:val="00FF1D4C"/>
    <w:rsid w:val="00FF3240"/>
    <w:rsid w:val="00FF3871"/>
    <w:rsid w:val="00FF481C"/>
    <w:rsid w:val="00FF6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0B33"/>
    <w:pPr>
      <w:spacing w:line="276" w:lineRule="auto"/>
      <w:jc w:val="both"/>
    </w:pPr>
    <w:rPr>
      <w:sz w:val="24"/>
    </w:rPr>
  </w:style>
  <w:style w:type="paragraph" w:styleId="Titolo1">
    <w:name w:val="heading 1"/>
    <w:basedOn w:val="Normale"/>
    <w:next w:val="Normale"/>
    <w:link w:val="Titolo1Carattere"/>
    <w:qFormat/>
    <w:rsid w:val="004153EC"/>
    <w:pPr>
      <w:keepNext/>
      <w:numPr>
        <w:ilvl w:val="1"/>
        <w:numId w:val="39"/>
      </w:numPr>
      <w:spacing w:before="120"/>
      <w:outlineLvl w:val="0"/>
    </w:pPr>
    <w:rPr>
      <w:rFonts w:cs="Arial"/>
      <w:b/>
      <w:bCs/>
      <w:snapToGrid w:val="0"/>
      <w:kern w:val="32"/>
      <w:szCs w:val="32"/>
    </w:rPr>
  </w:style>
  <w:style w:type="paragraph" w:styleId="Titolo2">
    <w:name w:val="heading 2"/>
    <w:basedOn w:val="Normale"/>
    <w:next w:val="Normale"/>
    <w:link w:val="Titolo2Carattere"/>
    <w:qFormat/>
    <w:rsid w:val="009A3BA0"/>
    <w:pPr>
      <w:keepNext/>
      <w:numPr>
        <w:ilvl w:val="2"/>
        <w:numId w:val="39"/>
      </w:numPr>
      <w:spacing w:before="120"/>
      <w:ind w:right="720"/>
      <w:contextualSpacing/>
      <w:outlineLvl w:val="1"/>
    </w:pPr>
    <w:rPr>
      <w:rFonts w:cs="Arial"/>
      <w:b/>
      <w:bCs/>
      <w:i/>
      <w:iCs/>
      <w:sz w:val="22"/>
      <w:szCs w:val="24"/>
    </w:rPr>
  </w:style>
  <w:style w:type="paragraph" w:styleId="Titolo3">
    <w:name w:val="heading 3"/>
    <w:basedOn w:val="Normale"/>
    <w:next w:val="Normale"/>
    <w:link w:val="Titolo3Carattere"/>
    <w:qFormat/>
    <w:rsid w:val="00073F40"/>
    <w:pPr>
      <w:numPr>
        <w:ilvl w:val="3"/>
        <w:numId w:val="39"/>
      </w:numPr>
      <w:spacing w:before="120"/>
      <w:contextualSpacing/>
      <w:outlineLvl w:val="2"/>
    </w:pPr>
    <w:rPr>
      <w:i/>
      <w:sz w:val="22"/>
      <w:szCs w:val="22"/>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TableCaption"/>
    <w:next w:val="Normale"/>
    <w:qFormat/>
    <w:rsid w:val="0090461F"/>
    <w:pPr>
      <w:spacing w:after="120" w:line="276" w:lineRule="auto"/>
      <w:ind w:left="1915" w:right="1800"/>
    </w:p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link w:val="TableChar"/>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link w:val="AffiliationChar"/>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4153EC"/>
    <w:rPr>
      <w:rFonts w:cs="Arial"/>
      <w:b/>
      <w:bCs/>
      <w:snapToGrid w:val="0"/>
      <w:kern w:val="32"/>
      <w:sz w:val="24"/>
      <w:szCs w:val="32"/>
    </w:rPr>
  </w:style>
  <w:style w:type="character" w:customStyle="1" w:styleId="Titolo2Carattere">
    <w:name w:val="Titolo 2 Carattere"/>
    <w:link w:val="Titolo2"/>
    <w:rsid w:val="009A3BA0"/>
    <w:rPr>
      <w:rFonts w:cs="Arial"/>
      <w:b/>
      <w:bCs/>
      <w:i/>
      <w:iCs/>
      <w:sz w:val="22"/>
      <w:szCs w:val="24"/>
    </w:rPr>
  </w:style>
  <w:style w:type="character" w:customStyle="1" w:styleId="Titolo3Carattere">
    <w:name w:val="Titolo 3 Carattere"/>
    <w:link w:val="Titolo3"/>
    <w:rsid w:val="00073F40"/>
    <w:rPr>
      <w:i/>
      <w:sz w:val="22"/>
      <w:szCs w:val="22"/>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customStyle="1" w:styleId="affiliazione">
    <w:name w:val="affiliazione"/>
    <w:basedOn w:val="Affiliation"/>
    <w:link w:val="affiliazioneChar"/>
    <w:qFormat/>
    <w:rsid w:val="00CF203E"/>
  </w:style>
  <w:style w:type="character" w:styleId="Rimandocommento">
    <w:name w:val="annotation reference"/>
    <w:basedOn w:val="Carpredefinitoparagrafo"/>
    <w:uiPriority w:val="99"/>
    <w:semiHidden/>
    <w:unhideWhenUsed/>
    <w:rsid w:val="002D07EA"/>
    <w:rPr>
      <w:sz w:val="16"/>
      <w:szCs w:val="16"/>
    </w:rPr>
  </w:style>
  <w:style w:type="character" w:customStyle="1" w:styleId="AffiliationChar">
    <w:name w:val="Affiliation Char"/>
    <w:basedOn w:val="Carpredefinitoparagrafo"/>
    <w:link w:val="Affiliation"/>
    <w:rsid w:val="00CF203E"/>
    <w:rPr>
      <w:i/>
      <w:snapToGrid w:val="0"/>
    </w:rPr>
  </w:style>
  <w:style w:type="character" w:customStyle="1" w:styleId="affiliazioneChar">
    <w:name w:val="affiliazione Char"/>
    <w:basedOn w:val="AffiliationChar"/>
    <w:link w:val="affiliazione"/>
    <w:rsid w:val="00CF203E"/>
    <w:rPr>
      <w:i/>
      <w:snapToGrid w:val="0"/>
    </w:rPr>
  </w:style>
  <w:style w:type="paragraph" w:styleId="Testocommento">
    <w:name w:val="annotation text"/>
    <w:basedOn w:val="Normale"/>
    <w:link w:val="TestocommentoCarattere"/>
    <w:uiPriority w:val="99"/>
    <w:unhideWhenUsed/>
    <w:rsid w:val="002D07EA"/>
    <w:pPr>
      <w:spacing w:line="240" w:lineRule="auto"/>
    </w:pPr>
    <w:rPr>
      <w:sz w:val="20"/>
    </w:rPr>
  </w:style>
  <w:style w:type="character" w:customStyle="1" w:styleId="TestocommentoCarattere">
    <w:name w:val="Testo commento Carattere"/>
    <w:basedOn w:val="Carpredefinitoparagrafo"/>
    <w:link w:val="Testocommento"/>
    <w:uiPriority w:val="99"/>
    <w:rsid w:val="002D07EA"/>
  </w:style>
  <w:style w:type="paragraph" w:styleId="Soggettocommento">
    <w:name w:val="annotation subject"/>
    <w:basedOn w:val="Testocommento"/>
    <w:next w:val="Testocommento"/>
    <w:link w:val="SoggettocommentoCarattere"/>
    <w:uiPriority w:val="99"/>
    <w:semiHidden/>
    <w:unhideWhenUsed/>
    <w:rsid w:val="002D07EA"/>
    <w:rPr>
      <w:b/>
      <w:bCs/>
    </w:rPr>
  </w:style>
  <w:style w:type="character" w:customStyle="1" w:styleId="SoggettocommentoCarattere">
    <w:name w:val="Soggetto commento Carattere"/>
    <w:basedOn w:val="TestocommentoCarattere"/>
    <w:link w:val="Soggettocommento"/>
    <w:uiPriority w:val="99"/>
    <w:semiHidden/>
    <w:rsid w:val="002D07EA"/>
    <w:rPr>
      <w:b/>
      <w:bCs/>
    </w:rPr>
  </w:style>
  <w:style w:type="paragraph" w:customStyle="1" w:styleId="table0">
    <w:name w:val="table"/>
    <w:basedOn w:val="Table"/>
    <w:link w:val="tableChar0"/>
    <w:qFormat/>
    <w:rsid w:val="0037747C"/>
    <w:pPr>
      <w:spacing w:line="276" w:lineRule="auto"/>
      <w:jc w:val="center"/>
    </w:pPr>
  </w:style>
  <w:style w:type="character" w:customStyle="1" w:styleId="TableChar">
    <w:name w:val="Table Char"/>
    <w:basedOn w:val="TextChar"/>
    <w:link w:val="Table"/>
    <w:rsid w:val="0037747C"/>
    <w:rPr>
      <w:sz w:val="18"/>
    </w:rPr>
  </w:style>
  <w:style w:type="character" w:customStyle="1" w:styleId="tableChar0">
    <w:name w:val="table Char"/>
    <w:basedOn w:val="TableChar"/>
    <w:link w:val="table0"/>
    <w:rsid w:val="0037747C"/>
    <w:rPr>
      <w:sz w:val="18"/>
    </w:rPr>
  </w:style>
  <w:style w:type="paragraph" w:styleId="Paragrafoelenco">
    <w:name w:val="List Paragraph"/>
    <w:basedOn w:val="Normale"/>
    <w:uiPriority w:val="34"/>
    <w:qFormat/>
    <w:rsid w:val="000421EC"/>
    <w:pPr>
      <w:ind w:left="720"/>
      <w:contextualSpacing/>
    </w:pPr>
  </w:style>
  <w:style w:type="character" w:styleId="Testosegnaposto">
    <w:name w:val="Placeholder Text"/>
    <w:basedOn w:val="Carpredefinitoparagrafo"/>
    <w:uiPriority w:val="99"/>
    <w:semiHidden/>
    <w:rsid w:val="00101DD3"/>
    <w:rPr>
      <w:color w:val="808080"/>
    </w:rPr>
  </w:style>
  <w:style w:type="paragraph" w:customStyle="1" w:styleId="Paper-Paragraph">
    <w:name w:val="Paper - Paragraph"/>
    <w:basedOn w:val="Normale"/>
    <w:qFormat/>
    <w:rsid w:val="003D0896"/>
    <w:pPr>
      <w:spacing w:before="120" w:after="120" w:line="360" w:lineRule="auto"/>
    </w:pPr>
    <w:rPr>
      <w:rFonts w:eastAsiaTheme="minorHAnsi" w:cstheme="minorBidi"/>
      <w:color w:val="595959" w:themeColor="text1" w:themeTint="A6"/>
      <w:sz w:val="22"/>
      <w:szCs w:val="24"/>
      <w:lang w:val="en-GB"/>
    </w:rPr>
  </w:style>
  <w:style w:type="table" w:styleId="Tabellasemplice-2">
    <w:name w:val="Plain Table 2"/>
    <w:basedOn w:val="Tabellanormale"/>
    <w:uiPriority w:val="42"/>
    <w:rsid w:val="00AC29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e">
    <w:name w:val="Revision"/>
    <w:hidden/>
    <w:uiPriority w:val="99"/>
    <w:semiHidden/>
    <w:rsid w:val="00DD5A75"/>
    <w:rPr>
      <w:sz w:val="24"/>
    </w:rPr>
  </w:style>
  <w:style w:type="numbering" w:customStyle="1" w:styleId="Elencocorrente1">
    <w:name w:val="Elenco corrente1"/>
    <w:uiPriority w:val="99"/>
    <w:rsid w:val="004D15B2"/>
    <w:pPr>
      <w:numPr>
        <w:numId w:val="45"/>
      </w:numPr>
    </w:pPr>
  </w:style>
  <w:style w:type="table" w:styleId="Grigliatabella">
    <w:name w:val="Table Grid"/>
    <w:basedOn w:val="Tabellanormale"/>
    <w:uiPriority w:val="59"/>
    <w:rsid w:val="0042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basedOn w:val="Carpredefinitoparagrafo"/>
    <w:uiPriority w:val="99"/>
    <w:semiHidden/>
    <w:unhideWhenUsed/>
    <w:rsid w:val="00477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019">
      <w:bodyDiv w:val="1"/>
      <w:marLeft w:val="0"/>
      <w:marRight w:val="0"/>
      <w:marTop w:val="0"/>
      <w:marBottom w:val="0"/>
      <w:divBdr>
        <w:top w:val="none" w:sz="0" w:space="0" w:color="auto"/>
        <w:left w:val="none" w:sz="0" w:space="0" w:color="auto"/>
        <w:bottom w:val="none" w:sz="0" w:space="0" w:color="auto"/>
        <w:right w:val="none" w:sz="0" w:space="0" w:color="auto"/>
      </w:divBdr>
    </w:div>
    <w:div w:id="51657730">
      <w:bodyDiv w:val="1"/>
      <w:marLeft w:val="0"/>
      <w:marRight w:val="0"/>
      <w:marTop w:val="0"/>
      <w:marBottom w:val="0"/>
      <w:divBdr>
        <w:top w:val="none" w:sz="0" w:space="0" w:color="auto"/>
        <w:left w:val="none" w:sz="0" w:space="0" w:color="auto"/>
        <w:bottom w:val="none" w:sz="0" w:space="0" w:color="auto"/>
        <w:right w:val="none" w:sz="0" w:space="0" w:color="auto"/>
      </w:divBdr>
    </w:div>
    <w:div w:id="279453281">
      <w:bodyDiv w:val="1"/>
      <w:marLeft w:val="0"/>
      <w:marRight w:val="0"/>
      <w:marTop w:val="0"/>
      <w:marBottom w:val="0"/>
      <w:divBdr>
        <w:top w:val="none" w:sz="0" w:space="0" w:color="auto"/>
        <w:left w:val="none" w:sz="0" w:space="0" w:color="auto"/>
        <w:bottom w:val="none" w:sz="0" w:space="0" w:color="auto"/>
        <w:right w:val="none" w:sz="0" w:space="0" w:color="auto"/>
      </w:divBdr>
    </w:div>
    <w:div w:id="411590469">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443312577">
      <w:bodyDiv w:val="1"/>
      <w:marLeft w:val="0"/>
      <w:marRight w:val="0"/>
      <w:marTop w:val="0"/>
      <w:marBottom w:val="0"/>
      <w:divBdr>
        <w:top w:val="none" w:sz="0" w:space="0" w:color="auto"/>
        <w:left w:val="none" w:sz="0" w:space="0" w:color="auto"/>
        <w:bottom w:val="none" w:sz="0" w:space="0" w:color="auto"/>
        <w:right w:val="none" w:sz="0" w:space="0" w:color="auto"/>
      </w:divBdr>
    </w:div>
    <w:div w:id="450054430">
      <w:bodyDiv w:val="1"/>
      <w:marLeft w:val="0"/>
      <w:marRight w:val="0"/>
      <w:marTop w:val="0"/>
      <w:marBottom w:val="0"/>
      <w:divBdr>
        <w:top w:val="none" w:sz="0" w:space="0" w:color="auto"/>
        <w:left w:val="none" w:sz="0" w:space="0" w:color="auto"/>
        <w:bottom w:val="none" w:sz="0" w:space="0" w:color="auto"/>
        <w:right w:val="none" w:sz="0" w:space="0" w:color="auto"/>
      </w:divBdr>
    </w:div>
    <w:div w:id="746999339">
      <w:bodyDiv w:val="1"/>
      <w:marLeft w:val="0"/>
      <w:marRight w:val="0"/>
      <w:marTop w:val="0"/>
      <w:marBottom w:val="0"/>
      <w:divBdr>
        <w:top w:val="none" w:sz="0" w:space="0" w:color="auto"/>
        <w:left w:val="none" w:sz="0" w:space="0" w:color="auto"/>
        <w:bottom w:val="none" w:sz="0" w:space="0" w:color="auto"/>
        <w:right w:val="none" w:sz="0" w:space="0" w:color="auto"/>
      </w:divBdr>
    </w:div>
    <w:div w:id="1282566700">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5712109">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1923">
      <w:bodyDiv w:val="1"/>
      <w:marLeft w:val="0"/>
      <w:marRight w:val="0"/>
      <w:marTop w:val="0"/>
      <w:marBottom w:val="0"/>
      <w:divBdr>
        <w:top w:val="none" w:sz="0" w:space="0" w:color="auto"/>
        <w:left w:val="none" w:sz="0" w:space="0" w:color="auto"/>
        <w:bottom w:val="none" w:sz="0" w:space="0" w:color="auto"/>
        <w:right w:val="none" w:sz="0" w:space="0" w:color="auto"/>
      </w:divBdr>
    </w:div>
    <w:div w:id="1594195074">
      <w:bodyDiv w:val="1"/>
      <w:marLeft w:val="0"/>
      <w:marRight w:val="0"/>
      <w:marTop w:val="0"/>
      <w:marBottom w:val="0"/>
      <w:divBdr>
        <w:top w:val="none" w:sz="0" w:space="0" w:color="auto"/>
        <w:left w:val="none" w:sz="0" w:space="0" w:color="auto"/>
        <w:bottom w:val="none" w:sz="0" w:space="0" w:color="auto"/>
        <w:right w:val="none" w:sz="0" w:space="0" w:color="auto"/>
      </w:divBdr>
    </w:div>
    <w:div w:id="1728339823">
      <w:bodyDiv w:val="1"/>
      <w:marLeft w:val="0"/>
      <w:marRight w:val="0"/>
      <w:marTop w:val="0"/>
      <w:marBottom w:val="0"/>
      <w:divBdr>
        <w:top w:val="none" w:sz="0" w:space="0" w:color="auto"/>
        <w:left w:val="none" w:sz="0" w:space="0" w:color="auto"/>
        <w:bottom w:val="none" w:sz="0" w:space="0" w:color="auto"/>
        <w:right w:val="none" w:sz="0" w:space="0" w:color="auto"/>
      </w:divBdr>
    </w:div>
    <w:div w:id="1728799556">
      <w:bodyDiv w:val="1"/>
      <w:marLeft w:val="0"/>
      <w:marRight w:val="0"/>
      <w:marTop w:val="0"/>
      <w:marBottom w:val="0"/>
      <w:divBdr>
        <w:top w:val="none" w:sz="0" w:space="0" w:color="auto"/>
        <w:left w:val="none" w:sz="0" w:space="0" w:color="auto"/>
        <w:bottom w:val="none" w:sz="0" w:space="0" w:color="auto"/>
        <w:right w:val="none" w:sz="0" w:space="0" w:color="auto"/>
      </w:divBdr>
    </w:div>
    <w:div w:id="1864590338">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42514600">
      <w:bodyDiv w:val="1"/>
      <w:marLeft w:val="0"/>
      <w:marRight w:val="0"/>
      <w:marTop w:val="0"/>
      <w:marBottom w:val="0"/>
      <w:divBdr>
        <w:top w:val="none" w:sz="0" w:space="0" w:color="auto"/>
        <w:left w:val="none" w:sz="0" w:space="0" w:color="auto"/>
        <w:bottom w:val="none" w:sz="0" w:space="0" w:color="auto"/>
        <w:right w:val="none" w:sz="0" w:space="0" w:color="auto"/>
      </w:divBdr>
    </w:div>
    <w:div w:id="20666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imeit-my.sharepoint.com/personal/tegulotta_unime_it/Documents/Documenti/Assegni%20e%20progetti%20di%20ricerca/Elettrorigenera%20assegno/1_articolo/5_AISME/LCA%20e%20LCC.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53949651642385"/>
          <c:y val="5.0925925925925923E-2"/>
          <c:w val="0.83900646140162716"/>
          <c:h val="0.63509971021834177"/>
        </c:manualLayout>
      </c:layout>
      <c:barChart>
        <c:barDir val="col"/>
        <c:grouping val="percentStacked"/>
        <c:varyColors val="0"/>
        <c:ser>
          <c:idx val="0"/>
          <c:order val="0"/>
          <c:tx>
            <c:strRef>
              <c:f>'LCA risultati'!$A$51</c:f>
              <c:strCache>
                <c:ptCount val="1"/>
              </c:strCache>
            </c:strRef>
          </c:tx>
          <c:spPr>
            <a:pattFill prst="lgConfetti">
              <a:fgClr>
                <a:schemeClr val="tx1">
                  <a:lumMod val="75000"/>
                  <a:lumOff val="25000"/>
                </a:schemeClr>
              </a:fgClr>
              <a:bgClr>
                <a:schemeClr val="bg1"/>
              </a:bgClr>
            </a:pattFill>
            <a:ln>
              <a:solidFill>
                <a:schemeClr val="tx1"/>
              </a:solidFill>
            </a:ln>
            <a:effectLst/>
          </c:spPr>
          <c:invertIfNegative val="0"/>
          <c:cat>
            <c:strRef>
              <c:f>'LCA risultati'!$B$50:$L$50</c:f>
              <c:strCache>
                <c:ptCount val="9"/>
                <c:pt idx="0">
                  <c:v>ADP</c:v>
                </c:pt>
                <c:pt idx="1">
                  <c:v>AP</c:v>
                </c:pt>
                <c:pt idx="2">
                  <c:v>GWP </c:v>
                </c:pt>
                <c:pt idx="3">
                  <c:v>NP</c:v>
                </c:pt>
                <c:pt idx="4">
                  <c:v>POF</c:v>
                </c:pt>
                <c:pt idx="5">
                  <c:v>CED</c:v>
                </c:pt>
                <c:pt idx="6">
                  <c:v>LCC</c:v>
                </c:pt>
                <c:pt idx="7">
                  <c:v>EP</c:v>
                </c:pt>
                <c:pt idx="8">
                  <c:v>ELCC</c:v>
                </c:pt>
              </c:strCache>
              <c:extLst/>
            </c:strRef>
          </c:cat>
          <c:val>
            <c:numRef>
              <c:f>'LCA risultati'!$B$51:$L$51</c:f>
              <c:numCache>
                <c:formatCode>0.00%</c:formatCode>
                <c:ptCount val="9"/>
                <c:pt idx="0">
                  <c:v>0.87488570198360482</c:v>
                </c:pt>
                <c:pt idx="1">
                  <c:v>0.97836570017307278</c:v>
                </c:pt>
                <c:pt idx="2">
                  <c:v>0.76340446604403445</c:v>
                </c:pt>
                <c:pt idx="3">
                  <c:v>0.92862112511427419</c:v>
                </c:pt>
                <c:pt idx="4">
                  <c:v>0.94146831663695174</c:v>
                </c:pt>
                <c:pt idx="5">
                  <c:v>0.83477426436310509</c:v>
                </c:pt>
                <c:pt idx="6">
                  <c:v>0.67621678120782758</c:v>
                </c:pt>
                <c:pt idx="7">
                  <c:v>0.9513800010892004</c:v>
                </c:pt>
                <c:pt idx="8">
                  <c:v>0.68045165590507739</c:v>
                </c:pt>
              </c:numCache>
              <c:extLst/>
            </c:numRef>
          </c:val>
          <c:extLst>
            <c:ext xmlns:c16="http://schemas.microsoft.com/office/drawing/2014/chart" uri="{C3380CC4-5D6E-409C-BE32-E72D297353CC}">
              <c16:uniqueId val="{00000000-501B-4167-AC3A-E16BE416D585}"/>
            </c:ext>
          </c:extLst>
        </c:ser>
        <c:ser>
          <c:idx val="1"/>
          <c:order val="1"/>
          <c:tx>
            <c:strRef>
              <c:f>'LCA risultati'!$A$52</c:f>
              <c:strCache>
                <c:ptCount val="1"/>
              </c:strCache>
            </c:strRef>
          </c:tx>
          <c:spPr>
            <a:pattFill prst="wdDnDiag">
              <a:fgClr>
                <a:schemeClr val="tx1"/>
              </a:fgClr>
              <a:bgClr>
                <a:schemeClr val="bg1"/>
              </a:bgClr>
            </a:pattFill>
            <a:ln>
              <a:solidFill>
                <a:schemeClr val="tx1"/>
              </a:solidFill>
            </a:ln>
            <a:effectLst/>
          </c:spPr>
          <c:invertIfNegative val="0"/>
          <c:cat>
            <c:strRef>
              <c:f>'LCA risultati'!$B$50:$L$50</c:f>
              <c:strCache>
                <c:ptCount val="9"/>
                <c:pt idx="0">
                  <c:v>ADP</c:v>
                </c:pt>
                <c:pt idx="1">
                  <c:v>AP</c:v>
                </c:pt>
                <c:pt idx="2">
                  <c:v>GWP </c:v>
                </c:pt>
                <c:pt idx="3">
                  <c:v>NP</c:v>
                </c:pt>
                <c:pt idx="4">
                  <c:v>POF</c:v>
                </c:pt>
                <c:pt idx="5">
                  <c:v>CED</c:v>
                </c:pt>
                <c:pt idx="6">
                  <c:v>LCC</c:v>
                </c:pt>
                <c:pt idx="7">
                  <c:v>EP</c:v>
                </c:pt>
                <c:pt idx="8">
                  <c:v>ELCC</c:v>
                </c:pt>
              </c:strCache>
              <c:extLst/>
            </c:strRef>
          </c:cat>
          <c:val>
            <c:numRef>
              <c:f>'LCA risultati'!$B$52:$L$52</c:f>
              <c:numCache>
                <c:formatCode>0.00%</c:formatCode>
                <c:ptCount val="9"/>
                <c:pt idx="0">
                  <c:v>2.8899172138949309E-3</c:v>
                </c:pt>
                <c:pt idx="1">
                  <c:v>8.4403463601593265E-4</c:v>
                </c:pt>
                <c:pt idx="2">
                  <c:v>1.1196546214887462E-2</c:v>
                </c:pt>
                <c:pt idx="3">
                  <c:v>2.3958886256137532E-3</c:v>
                </c:pt>
                <c:pt idx="4">
                  <c:v>1.4156549268261353E-3</c:v>
                </c:pt>
                <c:pt idx="5">
                  <c:v>1.9111996926967564E-2</c:v>
                </c:pt>
                <c:pt idx="6">
                  <c:v>0.2085458225691314</c:v>
                </c:pt>
                <c:pt idx="7">
                  <c:v>1.8342807724205309E-3</c:v>
                </c:pt>
                <c:pt idx="8">
                  <c:v>0.20536444724447214</c:v>
                </c:pt>
              </c:numCache>
              <c:extLst/>
            </c:numRef>
          </c:val>
          <c:extLst>
            <c:ext xmlns:c16="http://schemas.microsoft.com/office/drawing/2014/chart" uri="{C3380CC4-5D6E-409C-BE32-E72D297353CC}">
              <c16:uniqueId val="{00000001-501B-4167-AC3A-E16BE416D585}"/>
            </c:ext>
          </c:extLst>
        </c:ser>
        <c:ser>
          <c:idx val="2"/>
          <c:order val="2"/>
          <c:tx>
            <c:strRef>
              <c:f>'LCA risultati'!$A$53</c:f>
              <c:strCache>
                <c:ptCount val="1"/>
              </c:strCache>
            </c:strRef>
          </c:tx>
          <c:spPr>
            <a:pattFill prst="pct90">
              <a:fgClr>
                <a:schemeClr val="bg2">
                  <a:lumMod val="25000"/>
                </a:schemeClr>
              </a:fgClr>
              <a:bgClr>
                <a:schemeClr val="bg1"/>
              </a:bgClr>
            </a:pattFill>
            <a:ln>
              <a:solidFill>
                <a:schemeClr val="tx1"/>
              </a:solidFill>
            </a:ln>
            <a:effectLst/>
          </c:spPr>
          <c:invertIfNegative val="0"/>
          <c:cat>
            <c:strRef>
              <c:f>'LCA risultati'!$B$50:$L$50</c:f>
              <c:strCache>
                <c:ptCount val="9"/>
                <c:pt idx="0">
                  <c:v>ADP</c:v>
                </c:pt>
                <c:pt idx="1">
                  <c:v>AP</c:v>
                </c:pt>
                <c:pt idx="2">
                  <c:v>GWP </c:v>
                </c:pt>
                <c:pt idx="3">
                  <c:v>NP</c:v>
                </c:pt>
                <c:pt idx="4">
                  <c:v>POF</c:v>
                </c:pt>
                <c:pt idx="5">
                  <c:v>CED</c:v>
                </c:pt>
                <c:pt idx="6">
                  <c:v>LCC</c:v>
                </c:pt>
                <c:pt idx="7">
                  <c:v>EP</c:v>
                </c:pt>
                <c:pt idx="8">
                  <c:v>ELCC</c:v>
                </c:pt>
              </c:strCache>
              <c:extLst/>
            </c:strRef>
          </c:cat>
          <c:val>
            <c:numRef>
              <c:f>'LCA risultati'!$B$53:$L$53</c:f>
              <c:numCache>
                <c:formatCode>0.00%</c:formatCode>
                <c:ptCount val="9"/>
                <c:pt idx="0">
                  <c:v>4.7564288033337338E-3</c:v>
                </c:pt>
                <c:pt idx="1">
                  <c:v>6.4807028845575683E-4</c:v>
                </c:pt>
                <c:pt idx="2">
                  <c:v>6.7202979655939243E-2</c:v>
                </c:pt>
                <c:pt idx="3">
                  <c:v>1.5851750241074635E-3</c:v>
                </c:pt>
                <c:pt idx="4">
                  <c:v>1.3603924424868484E-3</c:v>
                </c:pt>
                <c:pt idx="5">
                  <c:v>5.8801910492239295E-3</c:v>
                </c:pt>
                <c:pt idx="6">
                  <c:v>3.9816326163923316E-4</c:v>
                </c:pt>
                <c:pt idx="7">
                  <c:v>5.6064727958745368E-3</c:v>
                </c:pt>
                <c:pt idx="8">
                  <c:v>4.7832127938407271E-4</c:v>
                </c:pt>
              </c:numCache>
              <c:extLst/>
            </c:numRef>
          </c:val>
          <c:extLst>
            <c:ext xmlns:c16="http://schemas.microsoft.com/office/drawing/2014/chart" uri="{C3380CC4-5D6E-409C-BE32-E72D297353CC}">
              <c16:uniqueId val="{00000002-501B-4167-AC3A-E16BE416D585}"/>
            </c:ext>
          </c:extLst>
        </c:ser>
        <c:ser>
          <c:idx val="3"/>
          <c:order val="3"/>
          <c:tx>
            <c:strRef>
              <c:f>'LCA risultati'!$A$54</c:f>
              <c:strCache>
                <c:ptCount val="1"/>
              </c:strCache>
            </c:strRef>
          </c:tx>
          <c:spPr>
            <a:pattFill prst="pct5">
              <a:fgClr>
                <a:schemeClr val="tx1"/>
              </a:fgClr>
              <a:bgClr>
                <a:schemeClr val="bg1"/>
              </a:bgClr>
            </a:pattFill>
            <a:ln>
              <a:solidFill>
                <a:schemeClr val="tx1"/>
              </a:solidFill>
            </a:ln>
            <a:effectLst/>
          </c:spPr>
          <c:invertIfNegative val="0"/>
          <c:cat>
            <c:strRef>
              <c:f>'LCA risultati'!$B$50:$L$50</c:f>
              <c:strCache>
                <c:ptCount val="9"/>
                <c:pt idx="0">
                  <c:v>ADP</c:v>
                </c:pt>
                <c:pt idx="1">
                  <c:v>AP</c:v>
                </c:pt>
                <c:pt idx="2">
                  <c:v>GWP </c:v>
                </c:pt>
                <c:pt idx="3">
                  <c:v>NP</c:v>
                </c:pt>
                <c:pt idx="4">
                  <c:v>POF</c:v>
                </c:pt>
                <c:pt idx="5">
                  <c:v>CED</c:v>
                </c:pt>
                <c:pt idx="6">
                  <c:v>LCC</c:v>
                </c:pt>
                <c:pt idx="7">
                  <c:v>EP</c:v>
                </c:pt>
                <c:pt idx="8">
                  <c:v>ELCC</c:v>
                </c:pt>
              </c:strCache>
              <c:extLst/>
            </c:strRef>
          </c:cat>
          <c:val>
            <c:numRef>
              <c:f>'LCA risultati'!$B$54:$L$54</c:f>
              <c:numCache>
                <c:formatCode>0.00%</c:formatCode>
                <c:ptCount val="9"/>
                <c:pt idx="0">
                  <c:v>1.3681035852008409E-2</c:v>
                </c:pt>
                <c:pt idx="1">
                  <c:v>1.3297491366170599E-2</c:v>
                </c:pt>
                <c:pt idx="2">
                  <c:v>0.11990249926501058</c:v>
                </c:pt>
                <c:pt idx="3">
                  <c:v>5.1392226451399903E-2</c:v>
                </c:pt>
                <c:pt idx="4">
                  <c:v>4.6019619447347823E-2</c:v>
                </c:pt>
                <c:pt idx="5">
                  <c:v>0.1064818305687058</c:v>
                </c:pt>
                <c:pt idx="6">
                  <c:v>8.341832902765256E-2</c:v>
                </c:pt>
                <c:pt idx="7">
                  <c:v>2.7620359920090341E-2</c:v>
                </c:pt>
                <c:pt idx="8">
                  <c:v>8.2559575420853598E-2</c:v>
                </c:pt>
              </c:numCache>
              <c:extLst/>
            </c:numRef>
          </c:val>
          <c:extLst>
            <c:ext xmlns:c16="http://schemas.microsoft.com/office/drawing/2014/chart" uri="{C3380CC4-5D6E-409C-BE32-E72D297353CC}">
              <c16:uniqueId val="{00000003-501B-4167-AC3A-E16BE416D585}"/>
            </c:ext>
          </c:extLst>
        </c:ser>
        <c:ser>
          <c:idx val="4"/>
          <c:order val="4"/>
          <c:tx>
            <c:strRef>
              <c:f>'LCA risultati'!$A$55</c:f>
              <c:strCache>
                <c:ptCount val="1"/>
              </c:strCache>
            </c:strRef>
          </c:tx>
          <c:spPr>
            <a:solidFill>
              <a:schemeClr val="bg2">
                <a:lumMod val="75000"/>
              </a:schemeClr>
            </a:solidFill>
            <a:ln>
              <a:solidFill>
                <a:schemeClr val="tx1"/>
              </a:solidFill>
            </a:ln>
            <a:effectLst/>
          </c:spPr>
          <c:invertIfNegative val="0"/>
          <c:cat>
            <c:strRef>
              <c:f>'LCA risultati'!$B$50:$L$50</c:f>
              <c:strCache>
                <c:ptCount val="9"/>
                <c:pt idx="0">
                  <c:v>ADP</c:v>
                </c:pt>
                <c:pt idx="1">
                  <c:v>AP</c:v>
                </c:pt>
                <c:pt idx="2">
                  <c:v>GWP </c:v>
                </c:pt>
                <c:pt idx="3">
                  <c:v>NP</c:v>
                </c:pt>
                <c:pt idx="4">
                  <c:v>POF</c:v>
                </c:pt>
                <c:pt idx="5">
                  <c:v>CED</c:v>
                </c:pt>
                <c:pt idx="6">
                  <c:v>LCC</c:v>
                </c:pt>
                <c:pt idx="7">
                  <c:v>EP</c:v>
                </c:pt>
                <c:pt idx="8">
                  <c:v>ELCC</c:v>
                </c:pt>
              </c:strCache>
              <c:extLst/>
            </c:strRef>
          </c:cat>
          <c:val>
            <c:numRef>
              <c:f>'LCA risultati'!$B$55:$L$55</c:f>
              <c:numCache>
                <c:formatCode>0.00%</c:formatCode>
                <c:ptCount val="9"/>
                <c:pt idx="0">
                  <c:v>9.264360023506929E-2</c:v>
                </c:pt>
                <c:pt idx="1">
                  <c:v>2.6546458628802757E-3</c:v>
                </c:pt>
                <c:pt idx="2">
                  <c:v>1.8848827018285886E-3</c:v>
                </c:pt>
                <c:pt idx="3">
                  <c:v>4.8844691767761569E-3</c:v>
                </c:pt>
                <c:pt idx="4">
                  <c:v>2.7855803476051415E-3</c:v>
                </c:pt>
                <c:pt idx="5">
                  <c:v>4.3231011413434979E-3</c:v>
                </c:pt>
                <c:pt idx="6">
                  <c:v>3.4757637094855235E-3</c:v>
                </c:pt>
                <c:pt idx="7">
                  <c:v>5.0141274101137287E-3</c:v>
                </c:pt>
                <c:pt idx="8">
                  <c:v>3.4994397571555813E-3</c:v>
                </c:pt>
              </c:numCache>
              <c:extLst/>
            </c:numRef>
          </c:val>
          <c:extLst>
            <c:ext xmlns:c16="http://schemas.microsoft.com/office/drawing/2014/chart" uri="{C3380CC4-5D6E-409C-BE32-E72D297353CC}">
              <c16:uniqueId val="{00000004-501B-4167-AC3A-E16BE416D585}"/>
            </c:ext>
          </c:extLst>
        </c:ser>
        <c:ser>
          <c:idx val="5"/>
          <c:order val="5"/>
          <c:tx>
            <c:strRef>
              <c:f>'LCA risultati'!$A$56</c:f>
              <c:strCache>
                <c:ptCount val="1"/>
              </c:strCache>
            </c:strRef>
          </c:tx>
          <c:spPr>
            <a:pattFill prst="dkVert">
              <a:fgClr>
                <a:schemeClr val="bg1"/>
              </a:fgClr>
              <a:bgClr>
                <a:schemeClr val="tx1">
                  <a:lumMod val="65000"/>
                  <a:lumOff val="35000"/>
                </a:schemeClr>
              </a:bgClr>
            </a:pattFill>
            <a:ln>
              <a:solidFill>
                <a:schemeClr val="tx1"/>
              </a:solidFill>
            </a:ln>
            <a:effectLst/>
          </c:spPr>
          <c:invertIfNegative val="0"/>
          <c:cat>
            <c:strRef>
              <c:f>'LCA risultati'!$B$50:$L$50</c:f>
              <c:strCache>
                <c:ptCount val="9"/>
                <c:pt idx="0">
                  <c:v>ADP</c:v>
                </c:pt>
                <c:pt idx="1">
                  <c:v>AP</c:v>
                </c:pt>
                <c:pt idx="2">
                  <c:v>GWP </c:v>
                </c:pt>
                <c:pt idx="3">
                  <c:v>NP</c:v>
                </c:pt>
                <c:pt idx="4">
                  <c:v>POF</c:v>
                </c:pt>
                <c:pt idx="5">
                  <c:v>CED</c:v>
                </c:pt>
                <c:pt idx="6">
                  <c:v>LCC</c:v>
                </c:pt>
                <c:pt idx="7">
                  <c:v>EP</c:v>
                </c:pt>
                <c:pt idx="8">
                  <c:v>ELCC</c:v>
                </c:pt>
              </c:strCache>
              <c:extLst/>
            </c:strRef>
          </c:cat>
          <c:val>
            <c:numRef>
              <c:f>'LCA risultati'!$B$56:$L$56</c:f>
              <c:numCache>
                <c:formatCode>0.00%</c:formatCode>
                <c:ptCount val="9"/>
                <c:pt idx="0">
                  <c:v>1.1278422463538582E-4</c:v>
                </c:pt>
                <c:pt idx="1">
                  <c:v>1.2535795493550555E-4</c:v>
                </c:pt>
                <c:pt idx="2">
                  <c:v>1.621831053837119E-3</c:v>
                </c:pt>
                <c:pt idx="3">
                  <c:v>6.1545337671124116E-4</c:v>
                </c:pt>
                <c:pt idx="4">
                  <c:v>4.1830220590842687E-4</c:v>
                </c:pt>
                <c:pt idx="5">
                  <c:v>1.616907760263273E-3</c:v>
                </c:pt>
                <c:pt idx="6">
                  <c:v>6.2563746770739424E-3</c:v>
                </c:pt>
                <c:pt idx="7">
                  <c:v>4.8541013607200932E-4</c:v>
                </c:pt>
                <c:pt idx="8">
                  <c:v>6.1675571682370004E-3</c:v>
                </c:pt>
              </c:numCache>
              <c:extLst/>
            </c:numRef>
          </c:val>
          <c:extLst>
            <c:ext xmlns:c16="http://schemas.microsoft.com/office/drawing/2014/chart" uri="{C3380CC4-5D6E-409C-BE32-E72D297353CC}">
              <c16:uniqueId val="{00000005-501B-4167-AC3A-E16BE416D585}"/>
            </c:ext>
          </c:extLst>
        </c:ser>
        <c:ser>
          <c:idx val="6"/>
          <c:order val="6"/>
          <c:tx>
            <c:strRef>
              <c:f>'LCA risultati'!$A$57</c:f>
              <c:strCache>
                <c:ptCount val="1"/>
              </c:strCache>
            </c:strRef>
          </c:tx>
          <c:spPr>
            <a:solidFill>
              <a:schemeClr val="tx1"/>
            </a:solidFill>
            <a:ln>
              <a:solidFill>
                <a:schemeClr val="tx1"/>
              </a:solidFill>
            </a:ln>
            <a:effectLst/>
          </c:spPr>
          <c:invertIfNegative val="0"/>
          <c:cat>
            <c:strRef>
              <c:f>'LCA risultati'!$B$50:$L$50</c:f>
              <c:strCache>
                <c:ptCount val="9"/>
                <c:pt idx="0">
                  <c:v>ADP</c:v>
                </c:pt>
                <c:pt idx="1">
                  <c:v>AP</c:v>
                </c:pt>
                <c:pt idx="2">
                  <c:v>GWP </c:v>
                </c:pt>
                <c:pt idx="3">
                  <c:v>NP</c:v>
                </c:pt>
                <c:pt idx="4">
                  <c:v>POF</c:v>
                </c:pt>
                <c:pt idx="5">
                  <c:v>CED</c:v>
                </c:pt>
                <c:pt idx="6">
                  <c:v>LCC</c:v>
                </c:pt>
                <c:pt idx="7">
                  <c:v>EP</c:v>
                </c:pt>
                <c:pt idx="8">
                  <c:v>ELCC</c:v>
                </c:pt>
              </c:strCache>
              <c:extLst/>
            </c:strRef>
          </c:cat>
          <c:val>
            <c:numRef>
              <c:f>'LCA risultati'!$B$57:$L$57</c:f>
              <c:numCache>
                <c:formatCode>0.00%</c:formatCode>
                <c:ptCount val="9"/>
                <c:pt idx="0">
                  <c:v>1.1030531687453318E-2</c:v>
                </c:pt>
                <c:pt idx="1">
                  <c:v>4.0646997184690253E-3</c:v>
                </c:pt>
                <c:pt idx="2">
                  <c:v>3.4786795064462202E-2</c:v>
                </c:pt>
                <c:pt idx="3">
                  <c:v>1.0505662231117242E-2</c:v>
                </c:pt>
                <c:pt idx="4">
                  <c:v>6.5321339928737874E-3</c:v>
                </c:pt>
                <c:pt idx="5">
                  <c:v>2.7811708190390867E-2</c:v>
                </c:pt>
                <c:pt idx="6">
                  <c:v>2.1688765547189667E-2</c:v>
                </c:pt>
                <c:pt idx="7">
                  <c:v>8.0593478762286119E-3</c:v>
                </c:pt>
                <c:pt idx="8">
                  <c:v>2.1479003224820103E-2</c:v>
                </c:pt>
              </c:numCache>
              <c:extLst/>
            </c:numRef>
          </c:val>
          <c:extLst>
            <c:ext xmlns:c16="http://schemas.microsoft.com/office/drawing/2014/chart" uri="{C3380CC4-5D6E-409C-BE32-E72D297353CC}">
              <c16:uniqueId val="{00000006-501B-4167-AC3A-E16BE416D585}"/>
            </c:ext>
          </c:extLst>
        </c:ser>
        <c:dLbls>
          <c:showLegendKey val="0"/>
          <c:showVal val="0"/>
          <c:showCatName val="0"/>
          <c:showSerName val="0"/>
          <c:showPercent val="0"/>
          <c:showBubbleSize val="0"/>
        </c:dLbls>
        <c:gapWidth val="55"/>
        <c:overlap val="100"/>
        <c:axId val="654280800"/>
        <c:axId val="654261664"/>
      </c:barChart>
      <c:catAx>
        <c:axId val="65428080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654261664"/>
        <c:crosses val="autoZero"/>
        <c:auto val="1"/>
        <c:lblAlgn val="ctr"/>
        <c:lblOffset val="100"/>
        <c:noMultiLvlLbl val="0"/>
      </c:catAx>
      <c:valAx>
        <c:axId val="654261664"/>
        <c:scaling>
          <c:orientation val="minMax"/>
          <c:max val="1"/>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654280800"/>
        <c:crosses val="autoZero"/>
        <c:crossBetween val="between"/>
        <c:majorUnit val="0.2"/>
      </c:valAx>
      <c:spPr>
        <a:noFill/>
        <a:ln>
          <a:noFill/>
        </a:ln>
        <a:effectLst/>
      </c:spPr>
    </c:plotArea>
    <c:legend>
      <c:legendPos val="b"/>
      <c:layout>
        <c:manualLayout>
          <c:xMode val="edge"/>
          <c:yMode val="edge"/>
          <c:x val="0"/>
          <c:y val="0.76779847883253005"/>
          <c:w val="0.99751266556796681"/>
          <c:h val="0.1192769508462605"/>
        </c:manualLayout>
      </c:layout>
      <c:overlay val="0"/>
      <c:spPr>
        <a:noFill/>
        <a:ln>
          <a:noFill/>
        </a:ln>
        <a:effectLst/>
      </c:spPr>
      <c:txPr>
        <a:bodyPr rot="0" spcFirstLastPara="1" vertOverflow="ellipsis" vert="horz" wrap="square" anchor="ctr" anchorCtr="1"/>
        <a:lstStyle/>
        <a:p>
          <a:pPr>
            <a:defRPr sz="2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no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0.04983</cdr:x>
      <cdr:y>0.88872</cdr:y>
    </cdr:from>
    <cdr:to>
      <cdr:x>0.97695</cdr:x>
      <cdr:y>1</cdr:y>
    </cdr:to>
    <cdr:sp macro="" textlink="">
      <cdr:nvSpPr>
        <cdr:cNvPr id="2" name="Text Box 1"/>
        <cdr:cNvSpPr txBox="1"/>
      </cdr:nvSpPr>
      <cdr:spPr>
        <a:xfrm xmlns:a="http://schemas.openxmlformats.org/drawingml/2006/main">
          <a:off x="228601" y="2386012"/>
          <a:ext cx="4252912" cy="2987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900" b="1" i="0" u="none" strike="noStrike" baseline="0">
              <a:latin typeface="Times New Roman" panose="02020603050405020304" pitchFamily="18" charset="0"/>
              <a:ea typeface="+mn-ea"/>
              <a:cs typeface="Times New Roman" panose="02020603050405020304" pitchFamily="18" charset="0"/>
            </a:rPr>
            <a:t>MEA            Frame         Gasket       Bipolar plate    CCP          Tie rods       Endplates</a:t>
          </a:r>
          <a:r>
            <a:rPr lang="en-US" sz="900" b="0" i="0" u="none" strike="noStrike" baseline="0">
              <a:latin typeface="Times New Roman" panose="02020603050405020304" pitchFamily="18" charset="0"/>
              <a:ea typeface="+mn-ea"/>
              <a:cs typeface="Times New Roman" panose="02020603050405020304" pitchFamily="18" charset="0"/>
            </a:rPr>
            <a:t>	</a:t>
          </a:r>
        </a:p>
        <a:p xmlns:a="http://schemas.openxmlformats.org/drawingml/2006/main">
          <a:endParaRPr lang="en-US" sz="9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4045-44A9-4574-92B5-E3BF391C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7</TotalTime>
  <Pages>8</Pages>
  <Words>7541</Words>
  <Characters>42985</Characters>
  <Application>Microsoft Office Word</Application>
  <DocSecurity>0</DocSecurity>
  <Lines>358</Lines>
  <Paragraphs>100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50426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8</cp:revision>
  <cp:lastPrinted>2015-09-03T03:20:00Z</cp:lastPrinted>
  <dcterms:created xsi:type="dcterms:W3CDTF">2022-06-29T15:53:00Z</dcterms:created>
  <dcterms:modified xsi:type="dcterms:W3CDTF">2022-07-04T08:16:00Z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Recent Style Id 0_1">
    <vt:lpwstr>http://www.zotero.org/styles/apa-no-doi-no-issue</vt:lpwstr>
  </property>
  <property fmtid="{D5CDD505-2E9C-101B-9397-08002B2CF9AE}" pid="5" name="Mendeley Recent Style Name 0_1">
    <vt:lpwstr>American Psychological Association 6th edition (no DOIs, no issue numbers)</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http://www.zotero.org/styles/environmental-impact-assessment-review</vt:lpwstr>
  </property>
  <property fmtid="{D5CDD505-2E9C-101B-9397-08002B2CF9AE}" pid="13" name="Mendeley Recent Style Name 4_1">
    <vt:lpwstr>Environmental Impact Assessment Review</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http://www.zotero.org/styles/resources-conservation-and-recycling</vt:lpwstr>
  </property>
  <property fmtid="{D5CDD505-2E9C-101B-9397-08002B2CF9AE}" pid="21" name="Mendeley Recent Style Name 8_1">
    <vt:lpwstr>Resources, Conservation &amp; Recycling</vt:lpwstr>
  </property>
  <property fmtid="{D5CDD505-2E9C-101B-9397-08002B2CF9AE}" pid="22" name="Mendeley Recent Style Id 9_1">
    <vt:lpwstr>http://www.zotero.org/styles/science-of-the-total-environment</vt:lpwstr>
  </property>
  <property fmtid="{D5CDD505-2E9C-101B-9397-08002B2CF9AE}" pid="23" name="Mendeley Recent Style Name 9_1">
    <vt:lpwstr>Science of the Total Environment</vt:lpwstr>
  </property>
  <property fmtid="{D5CDD505-2E9C-101B-9397-08002B2CF9AE}" pid="24" name="Mendeley Unique User Id_1">
    <vt:lpwstr>a41c93ed-45b4-3375-9ccb-73008f7edaac</vt:lpwstr>
  </property>
  <property fmtid="{D5CDD505-2E9C-101B-9397-08002B2CF9AE}" pid="25" name="Mendeley Citation Style_1">
    <vt:lpwstr>http://www.zotero.org/styles/apa</vt:lpwstr>
  </property>
</Properties>
</file>