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7181088"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Chapter </w:t>
      </w:r>
      <w:r w:rsidR="00406566">
        <w:rPr>
          <w:sz w:val="28"/>
        </w:rPr>
        <w:t>090</w:t>
      </w:r>
    </w:p>
    <w:p w14:paraId="5AD0784A" w14:textId="051DC803" w:rsidR="002F7330" w:rsidRDefault="00530CF7" w:rsidP="009848F2">
      <w:pPr>
        <w:pStyle w:val="ChapterTitle"/>
        <w:tabs>
          <w:tab w:val="left" w:pos="5812"/>
          <w:tab w:val="left" w:pos="5954"/>
          <w:tab w:val="left" w:pos="6096"/>
          <w:tab w:val="left" w:pos="6237"/>
        </w:tabs>
        <w:spacing w:after="0" w:line="240" w:lineRule="auto"/>
        <w:ind w:left="0" w:right="-28"/>
        <w:jc w:val="left"/>
        <w:rPr>
          <w:sz w:val="28"/>
        </w:rPr>
      </w:pPr>
      <w:r w:rsidRPr="00530CF7">
        <w:rPr>
          <w:sz w:val="28"/>
        </w:rPr>
        <w:t>Risk assessment and life cycle approach to optimize the sustainability performance of leather products</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496836C2"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672D4A" w:rsidRPr="00672D4A">
        <w:rPr>
          <w:sz w:val="22"/>
        </w:rPr>
        <w:t>The use of chemicals in tanning companies represents a relevant risk for health and safety (HS) of workers, and the risk assessment (RA) is essential for companies to adopt preventive and protective measures to reduce the risks. At the same time, in market perspective, companies are more and more interested to demonstrate their sustainability through environmental impact reduction: the life cycle (LC) approach permits to consistently quantify the environmental footprint of products. Generally</w:t>
      </w:r>
      <w:r w:rsidR="00672D4A">
        <w:rPr>
          <w:sz w:val="22"/>
        </w:rPr>
        <w:t>,</w:t>
      </w:r>
      <w:r w:rsidR="00672D4A" w:rsidRPr="00672D4A">
        <w:rPr>
          <w:sz w:val="22"/>
        </w:rPr>
        <w:t xml:space="preserve"> RA and LC are not integrated by companies. The research aims to define an ad-hoc methodology that integrates LC and RA </w:t>
      </w:r>
      <w:r w:rsidR="00672D4A">
        <w:rPr>
          <w:sz w:val="22"/>
        </w:rPr>
        <w:t>for the</w:t>
      </w:r>
      <w:r w:rsidR="00672D4A" w:rsidRPr="00672D4A">
        <w:rPr>
          <w:sz w:val="22"/>
        </w:rPr>
        <w:t xml:space="preserve"> quantif</w:t>
      </w:r>
      <w:r w:rsidR="00672D4A">
        <w:rPr>
          <w:sz w:val="22"/>
        </w:rPr>
        <w:t>ication od</w:t>
      </w:r>
      <w:r w:rsidR="00672D4A" w:rsidRPr="00672D4A">
        <w:rPr>
          <w:sz w:val="22"/>
        </w:rPr>
        <w:t xml:space="preserve"> HS risks related </w:t>
      </w:r>
      <w:r w:rsidR="00672D4A">
        <w:rPr>
          <w:sz w:val="22"/>
        </w:rPr>
        <w:t xml:space="preserve">to </w:t>
      </w:r>
      <w:r w:rsidR="00672D4A" w:rsidRPr="00672D4A">
        <w:rPr>
          <w:sz w:val="22"/>
        </w:rPr>
        <w:t xml:space="preserve">processes and products. The methodology is tested </w:t>
      </w:r>
      <w:r w:rsidR="00672D4A">
        <w:rPr>
          <w:sz w:val="22"/>
        </w:rPr>
        <w:t>in</w:t>
      </w:r>
      <w:r w:rsidR="00672D4A" w:rsidRPr="00672D4A">
        <w:rPr>
          <w:sz w:val="22"/>
        </w:rPr>
        <w:t xml:space="preserve"> assess</w:t>
      </w:r>
      <w:r w:rsidR="00672D4A">
        <w:rPr>
          <w:sz w:val="22"/>
        </w:rPr>
        <w:t>ing</w:t>
      </w:r>
      <w:r w:rsidR="00672D4A" w:rsidRPr="00672D4A">
        <w:rPr>
          <w:sz w:val="22"/>
        </w:rPr>
        <w:t xml:space="preserve"> the performances of two leather products realized by an Italian company, through identification and evaluation of HS risks associated to LC steps of production. The results demonstrate that the integrated use of RA and LC is effective both to punctually know the HS risks associated to the production activities, both to compare the performances of different products in terms of dangerousness of substances and processes used.</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67FC5FAF"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9600B3" w:rsidRPr="009600B3">
        <w:rPr>
          <w:snapToGrid/>
          <w:sz w:val="22"/>
        </w:rPr>
        <w:t>Life cycle approach; Risk assessment; Leather products; Dangerous chemicals; Environmental performance; Health and safety performance</w:t>
      </w:r>
      <w:r w:rsidRPr="004225DE">
        <w:rPr>
          <w:snapToGrid/>
          <w:sz w:val="22"/>
        </w:rPr>
        <w: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2E517259" w:rsidR="007B567F" w:rsidRDefault="007B567F" w:rsidP="00D66ED0">
      <w:pPr>
        <w:pStyle w:val="Abstract"/>
        <w:tabs>
          <w:tab w:val="left" w:pos="6379"/>
        </w:tabs>
        <w:spacing w:line="276" w:lineRule="auto"/>
        <w:ind w:left="0" w:right="-30"/>
        <w:rPr>
          <w:snapToGrid/>
          <w:sz w:val="22"/>
        </w:rPr>
      </w:pPr>
    </w:p>
    <w:p w14:paraId="059C9980" w14:textId="77777777" w:rsidR="00293622" w:rsidRDefault="00293622" w:rsidP="00D66ED0">
      <w:pPr>
        <w:pStyle w:val="Abstract"/>
        <w:tabs>
          <w:tab w:val="left" w:pos="6379"/>
        </w:tabs>
        <w:spacing w:line="276" w:lineRule="auto"/>
        <w:ind w:left="0" w:right="-30"/>
        <w:rPr>
          <w:snapToGrid/>
          <w:sz w:val="22"/>
        </w:rPr>
      </w:pPr>
    </w:p>
    <w:p w14:paraId="1CEF54EA" w14:textId="77777777" w:rsidR="000B44D9" w:rsidRDefault="000B44D9" w:rsidP="00C442C9">
      <w:pPr>
        <w:pStyle w:val="Titolo1"/>
        <w:numPr>
          <w:ilvl w:val="1"/>
          <w:numId w:val="12"/>
        </w:numPr>
        <w:spacing w:before="0" w:after="0" w:line="276" w:lineRule="auto"/>
        <w:rPr>
          <w:snapToGrid w:val="0"/>
        </w:rPr>
      </w:pPr>
      <w:r>
        <w:rPr>
          <w:snapToGrid w:val="0"/>
        </w:rPr>
        <w:t>Introduction</w:t>
      </w:r>
    </w:p>
    <w:p w14:paraId="03E9C01E" w14:textId="1501F9FD" w:rsidR="000B44D9" w:rsidRPr="00791B32" w:rsidRDefault="000B44D9" w:rsidP="00564044">
      <w:pPr>
        <w:pStyle w:val="FigureCaption"/>
        <w:spacing w:line="276" w:lineRule="auto"/>
        <w:rPr>
          <w:sz w:val="24"/>
        </w:rPr>
      </w:pPr>
      <w:r w:rsidRPr="000B44D9">
        <w:rPr>
          <w:sz w:val="24"/>
        </w:rPr>
        <w:t xml:space="preserve">In the last decades, companies are more and more interested to reduce the impacts of products with </w:t>
      </w:r>
      <w:r w:rsidR="00564044">
        <w:rPr>
          <w:sz w:val="24"/>
        </w:rPr>
        <w:t xml:space="preserve">the life </w:t>
      </w:r>
      <w:r w:rsidRPr="000B44D9">
        <w:rPr>
          <w:sz w:val="24"/>
        </w:rPr>
        <w:t xml:space="preserve">cycle approach and to prevent accidents </w:t>
      </w:r>
      <w:r w:rsidR="00564044">
        <w:rPr>
          <w:sz w:val="24"/>
        </w:rPr>
        <w:t>through the</w:t>
      </w:r>
      <w:r w:rsidRPr="000B44D9">
        <w:rPr>
          <w:sz w:val="24"/>
        </w:rPr>
        <w:t xml:space="preserve"> risk management.</w:t>
      </w:r>
      <w:r w:rsidR="00905D3C">
        <w:rPr>
          <w:sz w:val="24"/>
        </w:rPr>
        <w:t xml:space="preserve"> </w:t>
      </w:r>
      <w:r>
        <w:rPr>
          <w:sz w:val="24"/>
        </w:rPr>
        <w:t>Life Cycle Assessment (</w:t>
      </w:r>
      <w:r w:rsidRPr="000B44D9">
        <w:rPr>
          <w:sz w:val="24"/>
        </w:rPr>
        <w:t>LCA</w:t>
      </w:r>
      <w:r>
        <w:rPr>
          <w:sz w:val="24"/>
        </w:rPr>
        <w:t>)</w:t>
      </w:r>
      <w:r w:rsidRPr="000B44D9">
        <w:rPr>
          <w:sz w:val="24"/>
        </w:rPr>
        <w:t xml:space="preserve"> and </w:t>
      </w:r>
      <w:r>
        <w:rPr>
          <w:sz w:val="24"/>
        </w:rPr>
        <w:t xml:space="preserve">the </w:t>
      </w:r>
      <w:r w:rsidRPr="00CA7EA1">
        <w:rPr>
          <w:sz w:val="24"/>
        </w:rPr>
        <w:t xml:space="preserve">Risk </w:t>
      </w:r>
      <w:r>
        <w:rPr>
          <w:sz w:val="24"/>
        </w:rPr>
        <w:t>Assessment (</w:t>
      </w:r>
      <w:r w:rsidRPr="000B44D9">
        <w:rPr>
          <w:sz w:val="24"/>
        </w:rPr>
        <w:t>RA</w:t>
      </w:r>
      <w:r>
        <w:rPr>
          <w:sz w:val="24"/>
        </w:rPr>
        <w:t>)</w:t>
      </w:r>
      <w:r w:rsidRPr="000B44D9">
        <w:rPr>
          <w:sz w:val="24"/>
        </w:rPr>
        <w:t xml:space="preserve"> represent the main methodologies to support companies in analyze </w:t>
      </w:r>
      <w:r w:rsidRPr="00791B32">
        <w:rPr>
          <w:sz w:val="24"/>
        </w:rPr>
        <w:t xml:space="preserve">and evaluate respectively the environmental impacts associated to products and </w:t>
      </w:r>
      <w:proofErr w:type="spellStart"/>
      <w:r w:rsidRPr="00791B32">
        <w:rPr>
          <w:sz w:val="24"/>
        </w:rPr>
        <w:t>health</w:t>
      </w:r>
      <w:r w:rsidR="004876FE" w:rsidRPr="00791B32">
        <w:rPr>
          <w:sz w:val="24"/>
        </w:rPr>
        <w:t>&amp;</w:t>
      </w:r>
      <w:r w:rsidRPr="00791B32">
        <w:rPr>
          <w:sz w:val="24"/>
        </w:rPr>
        <w:t>safety</w:t>
      </w:r>
      <w:proofErr w:type="spellEnd"/>
      <w:r w:rsidRPr="00791B32">
        <w:rPr>
          <w:sz w:val="24"/>
        </w:rPr>
        <w:t xml:space="preserve"> risks associated to processes</w:t>
      </w:r>
      <w:r w:rsidR="00AA1A53" w:rsidRPr="00791B32">
        <w:rPr>
          <w:sz w:val="24"/>
        </w:rPr>
        <w:t xml:space="preserve"> (</w:t>
      </w:r>
      <w:proofErr w:type="spellStart"/>
      <w:r w:rsidR="00AA1A53" w:rsidRPr="00791B32">
        <w:rPr>
          <w:sz w:val="24"/>
        </w:rPr>
        <w:t>Karanikas</w:t>
      </w:r>
      <w:proofErr w:type="spellEnd"/>
      <w:r w:rsidR="00AA1A53" w:rsidRPr="00791B32">
        <w:rPr>
          <w:sz w:val="24"/>
        </w:rPr>
        <w:t xml:space="preserve"> et al., 2020)</w:t>
      </w:r>
      <w:r w:rsidRPr="00791B32">
        <w:rPr>
          <w:sz w:val="24"/>
        </w:rPr>
        <w:t>.</w:t>
      </w:r>
      <w:r w:rsidR="00564044">
        <w:rPr>
          <w:sz w:val="24"/>
        </w:rPr>
        <w:t xml:space="preserve"> </w:t>
      </w:r>
      <w:r w:rsidRPr="00791B32">
        <w:rPr>
          <w:sz w:val="24"/>
        </w:rPr>
        <w:t xml:space="preserve">International community has defined </w:t>
      </w:r>
      <w:r w:rsidR="00FB65CF" w:rsidRPr="00791B32">
        <w:rPr>
          <w:sz w:val="24"/>
        </w:rPr>
        <w:t>ad-hoc</w:t>
      </w:r>
      <w:r w:rsidRPr="00791B32">
        <w:rPr>
          <w:sz w:val="24"/>
        </w:rPr>
        <w:t xml:space="preserve"> standards to guide organizations to implement LCA and RA. ISO 14040 define</w:t>
      </w:r>
      <w:r w:rsidR="00564044">
        <w:rPr>
          <w:sz w:val="24"/>
        </w:rPr>
        <w:t>s</w:t>
      </w:r>
      <w:r w:rsidRPr="00791B32">
        <w:rPr>
          <w:sz w:val="24"/>
        </w:rPr>
        <w:t xml:space="preserve"> four steps</w:t>
      </w:r>
      <w:r w:rsidR="00FB65CF" w:rsidRPr="00791B32">
        <w:rPr>
          <w:sz w:val="24"/>
        </w:rPr>
        <w:t xml:space="preserve"> to conduct an LCA study</w:t>
      </w:r>
      <w:r w:rsidRPr="00791B32">
        <w:rPr>
          <w:sz w:val="24"/>
        </w:rPr>
        <w:t xml:space="preserve">: goal and scope, </w:t>
      </w:r>
      <w:r w:rsidR="00564044">
        <w:rPr>
          <w:sz w:val="24"/>
        </w:rPr>
        <w:t xml:space="preserve">life cycle </w:t>
      </w:r>
      <w:r w:rsidRPr="00791B32">
        <w:rPr>
          <w:sz w:val="24"/>
        </w:rPr>
        <w:t xml:space="preserve">inventory, </w:t>
      </w:r>
      <w:r w:rsidR="00564044">
        <w:rPr>
          <w:sz w:val="24"/>
        </w:rPr>
        <w:t xml:space="preserve">life cycle </w:t>
      </w:r>
      <w:r w:rsidRPr="00791B32">
        <w:rPr>
          <w:sz w:val="24"/>
        </w:rPr>
        <w:t>impact assessment, and interpretation</w:t>
      </w:r>
      <w:r w:rsidR="00FB65CF" w:rsidRPr="00791B32">
        <w:rPr>
          <w:sz w:val="24"/>
        </w:rPr>
        <w:t xml:space="preserve"> </w:t>
      </w:r>
      <w:r w:rsidR="00564044">
        <w:rPr>
          <w:sz w:val="24"/>
        </w:rPr>
        <w:t xml:space="preserve">of results </w:t>
      </w:r>
      <w:r w:rsidR="00FB65CF" w:rsidRPr="00791B32">
        <w:rPr>
          <w:sz w:val="24"/>
        </w:rPr>
        <w:t>(ISO, 200</w:t>
      </w:r>
      <w:r w:rsidR="000263F1" w:rsidRPr="00791B32">
        <w:rPr>
          <w:sz w:val="24"/>
        </w:rPr>
        <w:t>6</w:t>
      </w:r>
      <w:r w:rsidR="00FB65CF" w:rsidRPr="00791B32">
        <w:rPr>
          <w:sz w:val="24"/>
        </w:rPr>
        <w:t>)</w:t>
      </w:r>
      <w:r w:rsidRPr="00791B32">
        <w:rPr>
          <w:sz w:val="24"/>
        </w:rPr>
        <w:t xml:space="preserve">. To conduct </w:t>
      </w:r>
      <w:r w:rsidRPr="00791B32">
        <w:rPr>
          <w:sz w:val="24"/>
        </w:rPr>
        <w:lastRenderedPageBreak/>
        <w:t>RA, three steps are defined by the ISO 31000 standard: risk identification, risk analysis, and risk evaluation</w:t>
      </w:r>
      <w:r w:rsidR="00FB65CF" w:rsidRPr="00791B32">
        <w:rPr>
          <w:sz w:val="24"/>
        </w:rPr>
        <w:t xml:space="preserve"> (ISO</w:t>
      </w:r>
      <w:r w:rsidR="004876FE" w:rsidRPr="00791B32">
        <w:rPr>
          <w:sz w:val="24"/>
        </w:rPr>
        <w:t>, 2018</w:t>
      </w:r>
      <w:r w:rsidR="00FB65CF" w:rsidRPr="00791B32">
        <w:rPr>
          <w:sz w:val="24"/>
        </w:rPr>
        <w:t>)</w:t>
      </w:r>
      <w:r w:rsidRPr="00791B32">
        <w:rPr>
          <w:sz w:val="24"/>
        </w:rPr>
        <w:t>.</w:t>
      </w:r>
    </w:p>
    <w:p w14:paraId="0DEA0053" w14:textId="509CB04E" w:rsidR="000B44D9" w:rsidRPr="00791B32" w:rsidRDefault="00564044" w:rsidP="000B44D9">
      <w:pPr>
        <w:pStyle w:val="Abstract"/>
        <w:tabs>
          <w:tab w:val="left" w:pos="6379"/>
        </w:tabs>
        <w:spacing w:line="276" w:lineRule="auto"/>
        <w:ind w:left="0" w:right="-30"/>
        <w:rPr>
          <w:snapToGrid/>
          <w:sz w:val="24"/>
        </w:rPr>
      </w:pPr>
      <w:r>
        <w:rPr>
          <w:snapToGrid/>
          <w:sz w:val="24"/>
        </w:rPr>
        <w:t xml:space="preserve">Even if </w:t>
      </w:r>
      <w:r w:rsidR="00CA7EA1" w:rsidRPr="00791B32">
        <w:rPr>
          <w:snapToGrid/>
          <w:sz w:val="24"/>
        </w:rPr>
        <w:t>LCA and RA refer to different aspects of business management, their integrated use is recommended by standards and scientists to reduce at the same time the environmental</w:t>
      </w:r>
      <w:r w:rsidR="00AA1A53" w:rsidRPr="00791B32">
        <w:rPr>
          <w:snapToGrid/>
          <w:sz w:val="24"/>
        </w:rPr>
        <w:t>,</w:t>
      </w:r>
      <w:r w:rsidR="00CA7EA1" w:rsidRPr="00791B32">
        <w:rPr>
          <w:snapToGrid/>
          <w:sz w:val="24"/>
        </w:rPr>
        <w:t xml:space="preserve"> health</w:t>
      </w:r>
      <w:r w:rsidR="00AA1A53" w:rsidRPr="00791B32">
        <w:rPr>
          <w:snapToGrid/>
          <w:sz w:val="24"/>
        </w:rPr>
        <w:t xml:space="preserve"> and </w:t>
      </w:r>
      <w:r w:rsidR="00CA7EA1" w:rsidRPr="00791B32">
        <w:rPr>
          <w:snapToGrid/>
          <w:sz w:val="24"/>
        </w:rPr>
        <w:t xml:space="preserve">safety </w:t>
      </w:r>
      <w:r w:rsidR="00AA1A53" w:rsidRPr="00791B32">
        <w:rPr>
          <w:snapToGrid/>
          <w:sz w:val="24"/>
        </w:rPr>
        <w:t xml:space="preserve">(EHS) </w:t>
      </w:r>
      <w:r w:rsidR="00CA7EA1" w:rsidRPr="00791B32">
        <w:rPr>
          <w:snapToGrid/>
          <w:sz w:val="24"/>
        </w:rPr>
        <w:t>risks associated to processes (</w:t>
      </w:r>
      <w:r w:rsidR="00AA1A53" w:rsidRPr="00791B32">
        <w:rPr>
          <w:snapToGrid/>
          <w:sz w:val="24"/>
        </w:rPr>
        <w:t>Mazzi et al., 2017</w:t>
      </w:r>
      <w:r w:rsidR="00CA7EA1" w:rsidRPr="00791B32">
        <w:rPr>
          <w:snapToGrid/>
          <w:sz w:val="24"/>
        </w:rPr>
        <w:t xml:space="preserve">). </w:t>
      </w:r>
      <w:r w:rsidR="000263F1" w:rsidRPr="00791B32">
        <w:rPr>
          <w:snapToGrid/>
          <w:sz w:val="24"/>
        </w:rPr>
        <w:t>The</w:t>
      </w:r>
      <w:r w:rsidR="000B44D9" w:rsidRPr="00791B32">
        <w:rPr>
          <w:snapToGrid/>
          <w:sz w:val="24"/>
        </w:rPr>
        <w:t xml:space="preserve"> solutions to integrate LCA with RA</w:t>
      </w:r>
      <w:r w:rsidR="00E81991" w:rsidRPr="00791B32">
        <w:rPr>
          <w:snapToGrid/>
          <w:sz w:val="24"/>
        </w:rPr>
        <w:t xml:space="preserve"> </w:t>
      </w:r>
      <w:r w:rsidR="000263F1" w:rsidRPr="00791B32">
        <w:rPr>
          <w:snapToGrid/>
          <w:sz w:val="24"/>
        </w:rPr>
        <w:t>are the following</w:t>
      </w:r>
      <w:r>
        <w:rPr>
          <w:snapToGrid/>
          <w:sz w:val="24"/>
        </w:rPr>
        <w:t xml:space="preserve"> </w:t>
      </w:r>
      <w:r w:rsidRPr="00791B32">
        <w:rPr>
          <w:snapToGrid/>
          <w:sz w:val="24"/>
        </w:rPr>
        <w:t>(</w:t>
      </w:r>
      <w:proofErr w:type="spellStart"/>
      <w:r w:rsidRPr="00791B32">
        <w:rPr>
          <w:snapToGrid/>
          <w:sz w:val="24"/>
        </w:rPr>
        <w:t>Flemström</w:t>
      </w:r>
      <w:proofErr w:type="spellEnd"/>
      <w:r w:rsidRPr="00791B32">
        <w:rPr>
          <w:snapToGrid/>
          <w:sz w:val="24"/>
        </w:rPr>
        <w:t xml:space="preserve"> et al., 2004; </w:t>
      </w:r>
      <w:proofErr w:type="spellStart"/>
      <w:r w:rsidRPr="00791B32">
        <w:rPr>
          <w:snapToGrid/>
          <w:sz w:val="24"/>
        </w:rPr>
        <w:t>Barberio</w:t>
      </w:r>
      <w:proofErr w:type="spellEnd"/>
      <w:r w:rsidRPr="00791B32">
        <w:rPr>
          <w:snapToGrid/>
          <w:sz w:val="24"/>
        </w:rPr>
        <w:t xml:space="preserve"> et al., 2010)</w:t>
      </w:r>
      <w:r w:rsidR="00FB65CF" w:rsidRPr="00791B32">
        <w:rPr>
          <w:snapToGrid/>
          <w:sz w:val="24"/>
        </w:rPr>
        <w:t>:</w:t>
      </w:r>
    </w:p>
    <w:p w14:paraId="6051C535" w14:textId="4112FDB4" w:rsidR="000B44D9" w:rsidRPr="00791B32" w:rsidRDefault="009F71BB" w:rsidP="00C442C9">
      <w:pPr>
        <w:pStyle w:val="Abstract"/>
        <w:numPr>
          <w:ilvl w:val="0"/>
          <w:numId w:val="13"/>
        </w:numPr>
        <w:tabs>
          <w:tab w:val="left" w:pos="6379"/>
        </w:tabs>
        <w:spacing w:line="276" w:lineRule="auto"/>
        <w:ind w:left="567" w:right="-30" w:hanging="283"/>
        <w:rPr>
          <w:snapToGrid/>
          <w:sz w:val="24"/>
        </w:rPr>
      </w:pPr>
      <w:r w:rsidRPr="00791B32">
        <w:rPr>
          <w:snapToGrid/>
          <w:sz w:val="24"/>
        </w:rPr>
        <w:t xml:space="preserve">RA to support LCA: </w:t>
      </w:r>
      <w:r w:rsidR="000B44D9" w:rsidRPr="00791B32">
        <w:rPr>
          <w:snapToGrid/>
          <w:sz w:val="24"/>
        </w:rPr>
        <w:t xml:space="preserve">RA </w:t>
      </w:r>
      <w:r w:rsidR="00874411">
        <w:rPr>
          <w:snapToGrid/>
          <w:sz w:val="24"/>
        </w:rPr>
        <w:t xml:space="preserve">can be used </w:t>
      </w:r>
      <w:r w:rsidR="000B44D9" w:rsidRPr="00791B32">
        <w:rPr>
          <w:snapToGrid/>
          <w:sz w:val="24"/>
        </w:rPr>
        <w:t>as a subset of LCA, to support inventory or impact assessment step.</w:t>
      </w:r>
    </w:p>
    <w:p w14:paraId="3C0760E4" w14:textId="079D6F49" w:rsidR="000B44D9" w:rsidRPr="00791B32" w:rsidRDefault="009F71BB" w:rsidP="00C442C9">
      <w:pPr>
        <w:pStyle w:val="Abstract"/>
        <w:numPr>
          <w:ilvl w:val="0"/>
          <w:numId w:val="13"/>
        </w:numPr>
        <w:tabs>
          <w:tab w:val="left" w:pos="6379"/>
        </w:tabs>
        <w:spacing w:line="276" w:lineRule="auto"/>
        <w:ind w:left="567" w:right="-30" w:hanging="283"/>
        <w:rPr>
          <w:snapToGrid/>
          <w:sz w:val="24"/>
        </w:rPr>
      </w:pPr>
      <w:r w:rsidRPr="00791B32">
        <w:rPr>
          <w:snapToGrid/>
          <w:sz w:val="24"/>
        </w:rPr>
        <w:t>LCA to support RA: a</w:t>
      </w:r>
      <w:r w:rsidR="00FB65CF" w:rsidRPr="00791B32">
        <w:rPr>
          <w:snapToGrid/>
          <w:sz w:val="24"/>
        </w:rPr>
        <w:t xml:space="preserve">lternatively, </w:t>
      </w:r>
      <w:r w:rsidR="000B44D9" w:rsidRPr="00791B32">
        <w:rPr>
          <w:snapToGrid/>
          <w:sz w:val="24"/>
        </w:rPr>
        <w:t xml:space="preserve">LCA </w:t>
      </w:r>
      <w:r w:rsidR="00FB65CF" w:rsidRPr="00791B32">
        <w:rPr>
          <w:snapToGrid/>
          <w:sz w:val="24"/>
        </w:rPr>
        <w:t>can be</w:t>
      </w:r>
      <w:r w:rsidR="000B44D9" w:rsidRPr="00791B32">
        <w:rPr>
          <w:snapToGrid/>
          <w:sz w:val="24"/>
        </w:rPr>
        <w:t xml:space="preserve"> realized as a subset of RA, to support risk identification or analysis.</w:t>
      </w:r>
    </w:p>
    <w:p w14:paraId="6AC09E21" w14:textId="41916BD5" w:rsidR="00293622" w:rsidRPr="000B44D9" w:rsidRDefault="00874411" w:rsidP="00C442C9">
      <w:pPr>
        <w:pStyle w:val="Abstract"/>
        <w:numPr>
          <w:ilvl w:val="0"/>
          <w:numId w:val="13"/>
        </w:numPr>
        <w:tabs>
          <w:tab w:val="left" w:pos="6379"/>
        </w:tabs>
        <w:spacing w:line="276" w:lineRule="auto"/>
        <w:ind w:left="567" w:right="-30" w:hanging="283"/>
        <w:rPr>
          <w:snapToGrid/>
          <w:sz w:val="24"/>
        </w:rPr>
      </w:pPr>
      <w:r>
        <w:rPr>
          <w:snapToGrid/>
          <w:sz w:val="24"/>
        </w:rPr>
        <w:t>Integrated discussion of results</w:t>
      </w:r>
      <w:r w:rsidR="00293622" w:rsidRPr="00791B32">
        <w:rPr>
          <w:snapToGrid/>
          <w:sz w:val="24"/>
        </w:rPr>
        <w:t>: LCA</w:t>
      </w:r>
      <w:r w:rsidR="00293622" w:rsidRPr="000B44D9">
        <w:rPr>
          <w:snapToGrid/>
          <w:sz w:val="24"/>
        </w:rPr>
        <w:t xml:space="preserve"> and RA are carried out in an independent way, and their results are compared in final discussion.</w:t>
      </w:r>
    </w:p>
    <w:p w14:paraId="257817E1" w14:textId="02E29A42" w:rsidR="003E64EF" w:rsidRDefault="003E64EF" w:rsidP="003E64EF">
      <w:pPr>
        <w:pStyle w:val="Abstract"/>
        <w:tabs>
          <w:tab w:val="left" w:pos="6379"/>
        </w:tabs>
        <w:spacing w:line="276" w:lineRule="auto"/>
        <w:ind w:left="0" w:right="-30"/>
        <w:rPr>
          <w:snapToGrid/>
          <w:sz w:val="24"/>
        </w:rPr>
      </w:pPr>
      <w:r>
        <w:rPr>
          <w:snapToGrid/>
          <w:sz w:val="24"/>
        </w:rPr>
        <w:t>The</w:t>
      </w:r>
      <w:r w:rsidRPr="000B44D9">
        <w:rPr>
          <w:snapToGrid/>
          <w:sz w:val="24"/>
        </w:rPr>
        <w:t xml:space="preserve"> research aims to design and test an innovative methodology to integrate LCA and RA, to obtain evaluation of </w:t>
      </w:r>
      <w:r w:rsidR="00874411">
        <w:rPr>
          <w:snapToGrid/>
          <w:sz w:val="24"/>
        </w:rPr>
        <w:t>E</w:t>
      </w:r>
      <w:r w:rsidRPr="000B44D9">
        <w:rPr>
          <w:snapToGrid/>
          <w:sz w:val="24"/>
        </w:rPr>
        <w:t>HS risks associated with products along LC stages of production.</w:t>
      </w:r>
    </w:p>
    <w:p w14:paraId="10158ABC" w14:textId="77777777" w:rsidR="003E64EF" w:rsidRDefault="003E64EF" w:rsidP="000B44D9">
      <w:pPr>
        <w:pStyle w:val="Abstract"/>
        <w:tabs>
          <w:tab w:val="left" w:pos="6379"/>
        </w:tabs>
        <w:spacing w:line="276" w:lineRule="auto"/>
        <w:ind w:left="0" w:right="-30"/>
        <w:rPr>
          <w:snapToGrid/>
          <w:sz w:val="24"/>
        </w:rPr>
      </w:pPr>
    </w:p>
    <w:p w14:paraId="5B95712C" w14:textId="77777777" w:rsidR="003E64EF" w:rsidRPr="008C685C" w:rsidRDefault="003E64EF" w:rsidP="00C442C9">
      <w:pPr>
        <w:pStyle w:val="Titolo1"/>
        <w:numPr>
          <w:ilvl w:val="1"/>
          <w:numId w:val="12"/>
        </w:numPr>
        <w:tabs>
          <w:tab w:val="num" w:pos="360"/>
        </w:tabs>
        <w:spacing w:before="0" w:after="0" w:line="276" w:lineRule="auto"/>
        <w:rPr>
          <w:snapToGrid w:val="0"/>
        </w:rPr>
      </w:pPr>
      <w:r w:rsidRPr="008C685C">
        <w:rPr>
          <w:snapToGrid w:val="0"/>
        </w:rPr>
        <w:t>Material and methods</w:t>
      </w:r>
    </w:p>
    <w:p w14:paraId="57FCE100" w14:textId="60C5D7AC" w:rsidR="003E64EF" w:rsidRDefault="00874411" w:rsidP="00C442C9">
      <w:pPr>
        <w:pStyle w:val="Titolo2"/>
        <w:numPr>
          <w:ilvl w:val="2"/>
          <w:numId w:val="12"/>
        </w:numPr>
        <w:tabs>
          <w:tab w:val="num" w:pos="360"/>
        </w:tabs>
        <w:spacing w:before="0" w:after="0" w:line="276" w:lineRule="auto"/>
        <w:ind w:left="360" w:hanging="360"/>
      </w:pPr>
      <w:r>
        <w:t xml:space="preserve"> N</w:t>
      </w:r>
      <w:r w:rsidR="003E64EF">
        <w:t xml:space="preserve">ew </w:t>
      </w:r>
      <w:r>
        <w:t>methodology</w:t>
      </w:r>
      <w:r w:rsidR="003E64EF">
        <w:t xml:space="preserve"> to integrate LCA and RA</w:t>
      </w:r>
    </w:p>
    <w:p w14:paraId="021CCE1E" w14:textId="15DCE599" w:rsidR="000B44D9" w:rsidRPr="000B44D9" w:rsidRDefault="000B44D9" w:rsidP="000B44D9">
      <w:pPr>
        <w:pStyle w:val="Abstract"/>
        <w:tabs>
          <w:tab w:val="left" w:pos="6379"/>
        </w:tabs>
        <w:spacing w:line="276" w:lineRule="auto"/>
        <w:ind w:left="0" w:right="-30"/>
        <w:rPr>
          <w:snapToGrid/>
          <w:sz w:val="24"/>
        </w:rPr>
      </w:pPr>
      <w:r w:rsidRPr="000B44D9">
        <w:rPr>
          <w:snapToGrid/>
          <w:sz w:val="24"/>
        </w:rPr>
        <w:t xml:space="preserve">In </w:t>
      </w:r>
      <w:r w:rsidR="00FB65CF">
        <w:rPr>
          <w:snapToGrid/>
          <w:sz w:val="24"/>
        </w:rPr>
        <w:t>this</w:t>
      </w:r>
      <w:r w:rsidRPr="000B44D9">
        <w:rPr>
          <w:snapToGrid/>
          <w:sz w:val="24"/>
        </w:rPr>
        <w:t xml:space="preserve"> research, a new methodology</w:t>
      </w:r>
      <w:r w:rsidR="00FB65CF">
        <w:rPr>
          <w:snapToGrid/>
          <w:sz w:val="24"/>
        </w:rPr>
        <w:t xml:space="preserve"> is designed</w:t>
      </w:r>
      <w:r w:rsidRPr="000B44D9">
        <w:rPr>
          <w:snapToGrid/>
          <w:sz w:val="24"/>
        </w:rPr>
        <w:t xml:space="preserve">, in which the integration between LCA and RA is obtained by an integration of each </w:t>
      </w:r>
      <w:r w:rsidR="00FB65CF">
        <w:rPr>
          <w:snapToGrid/>
          <w:sz w:val="24"/>
        </w:rPr>
        <w:t>LCA phase and RA step</w:t>
      </w:r>
      <w:r w:rsidRPr="000B44D9">
        <w:rPr>
          <w:snapToGrid/>
          <w:sz w:val="24"/>
        </w:rPr>
        <w:t>, though the adoption of LCA as framework and RA as algorithm.</w:t>
      </w:r>
    </w:p>
    <w:p w14:paraId="468E843F" w14:textId="4D09EDCB" w:rsidR="000B44D9" w:rsidRDefault="003E64EF" w:rsidP="000B44D9">
      <w:pPr>
        <w:pStyle w:val="Abstract"/>
        <w:tabs>
          <w:tab w:val="left" w:pos="6379"/>
        </w:tabs>
        <w:spacing w:line="276" w:lineRule="auto"/>
        <w:ind w:left="0" w:right="-30"/>
        <w:rPr>
          <w:snapToGrid/>
          <w:sz w:val="24"/>
        </w:rPr>
      </w:pPr>
      <w:r>
        <w:rPr>
          <w:snapToGrid/>
          <w:sz w:val="24"/>
        </w:rPr>
        <w:t>N</w:t>
      </w:r>
      <w:r w:rsidR="000B44D9">
        <w:rPr>
          <w:snapToGrid/>
          <w:sz w:val="24"/>
        </w:rPr>
        <w:t xml:space="preserve">amed “Life Cycle Risk Assessment” (LC-RA), </w:t>
      </w:r>
      <w:r w:rsidR="00874411">
        <w:rPr>
          <w:snapToGrid/>
          <w:sz w:val="24"/>
        </w:rPr>
        <w:t xml:space="preserve">the methodology </w:t>
      </w:r>
      <w:r w:rsidR="000B44D9">
        <w:rPr>
          <w:snapToGrid/>
          <w:sz w:val="24"/>
        </w:rPr>
        <w:t>integrates the steps of the LCA and RA, in one assessment method, in which RA support LCA and LCA complete</w:t>
      </w:r>
      <w:r w:rsidR="007841C8">
        <w:rPr>
          <w:snapToGrid/>
          <w:sz w:val="24"/>
        </w:rPr>
        <w:t>s</w:t>
      </w:r>
      <w:r w:rsidR="000B44D9">
        <w:rPr>
          <w:snapToGrid/>
          <w:sz w:val="24"/>
        </w:rPr>
        <w:t xml:space="preserve"> RA</w:t>
      </w:r>
      <w:r w:rsidR="00AA1A53">
        <w:rPr>
          <w:snapToGrid/>
          <w:sz w:val="24"/>
        </w:rPr>
        <w:t>, to obtain a complete EHS risk assessment and consequently to improve EHS performance of processes</w:t>
      </w:r>
      <w:r w:rsidR="000B44D9">
        <w:rPr>
          <w:snapToGrid/>
          <w:sz w:val="24"/>
        </w:rPr>
        <w:t>.</w:t>
      </w:r>
    </w:p>
    <w:p w14:paraId="30E53C8A" w14:textId="1303E37E" w:rsidR="000B44D9" w:rsidRPr="000B44D9" w:rsidRDefault="000B44D9" w:rsidP="000B44D9">
      <w:pPr>
        <w:pStyle w:val="Abstract"/>
        <w:tabs>
          <w:tab w:val="left" w:pos="6379"/>
        </w:tabs>
        <w:spacing w:line="276" w:lineRule="auto"/>
        <w:ind w:left="0" w:right="-30"/>
        <w:rPr>
          <w:snapToGrid/>
          <w:sz w:val="24"/>
        </w:rPr>
      </w:pPr>
      <w:r>
        <w:rPr>
          <w:snapToGrid/>
          <w:sz w:val="24"/>
        </w:rPr>
        <w:t xml:space="preserve">LC-RA methodology </w:t>
      </w:r>
      <w:r w:rsidRPr="000B44D9">
        <w:rPr>
          <w:snapToGrid/>
          <w:sz w:val="24"/>
        </w:rPr>
        <w:t>includes 4 steps</w:t>
      </w:r>
      <w:r>
        <w:rPr>
          <w:snapToGrid/>
          <w:sz w:val="24"/>
        </w:rPr>
        <w:t>:</w:t>
      </w:r>
    </w:p>
    <w:p w14:paraId="18932484" w14:textId="5D6A648C" w:rsidR="000B44D9" w:rsidRDefault="000B44D9" w:rsidP="00C442C9">
      <w:pPr>
        <w:pStyle w:val="Arabiclist"/>
        <w:numPr>
          <w:ilvl w:val="0"/>
          <w:numId w:val="10"/>
        </w:numPr>
        <w:spacing w:line="276" w:lineRule="auto"/>
        <w:rPr>
          <w:sz w:val="24"/>
        </w:rPr>
      </w:pPr>
      <w:r w:rsidRPr="000B44D9">
        <w:rPr>
          <w:sz w:val="24"/>
        </w:rPr>
        <w:t xml:space="preserve">the </w:t>
      </w:r>
      <w:r>
        <w:rPr>
          <w:sz w:val="24"/>
        </w:rPr>
        <w:t xml:space="preserve">LC-R </w:t>
      </w:r>
      <w:r w:rsidRPr="000B44D9">
        <w:rPr>
          <w:sz w:val="24"/>
        </w:rPr>
        <w:t xml:space="preserve">goal and scope defines the expected results of </w:t>
      </w:r>
      <w:r w:rsidR="001D64D4">
        <w:rPr>
          <w:sz w:val="24"/>
        </w:rPr>
        <w:t>the</w:t>
      </w:r>
      <w:r w:rsidRPr="000B44D9">
        <w:rPr>
          <w:sz w:val="24"/>
        </w:rPr>
        <w:t xml:space="preserve"> study and the life cycle stages to be included and </w:t>
      </w:r>
      <w:r w:rsidR="00AA1A53">
        <w:rPr>
          <w:sz w:val="24"/>
        </w:rPr>
        <w:t>E</w:t>
      </w:r>
      <w:r w:rsidRPr="000B44D9">
        <w:rPr>
          <w:sz w:val="24"/>
        </w:rPr>
        <w:t>HS risks to be considered</w:t>
      </w:r>
      <w:r w:rsidR="001D64D4">
        <w:rPr>
          <w:sz w:val="24"/>
        </w:rPr>
        <w:t>;</w:t>
      </w:r>
    </w:p>
    <w:p w14:paraId="1EE96607" w14:textId="6F10DC00" w:rsidR="001D64D4" w:rsidRDefault="000B44D9" w:rsidP="00C442C9">
      <w:pPr>
        <w:pStyle w:val="Arabiclist"/>
        <w:numPr>
          <w:ilvl w:val="0"/>
          <w:numId w:val="10"/>
        </w:numPr>
        <w:spacing w:line="276" w:lineRule="auto"/>
        <w:rPr>
          <w:sz w:val="24"/>
        </w:rPr>
      </w:pPr>
      <w:r w:rsidRPr="000B44D9">
        <w:rPr>
          <w:sz w:val="24"/>
        </w:rPr>
        <w:t xml:space="preserve">the </w:t>
      </w:r>
      <w:r w:rsidR="001D64D4">
        <w:rPr>
          <w:sz w:val="24"/>
        </w:rPr>
        <w:t xml:space="preserve">LC-R </w:t>
      </w:r>
      <w:r w:rsidRPr="000B44D9">
        <w:rPr>
          <w:sz w:val="24"/>
        </w:rPr>
        <w:t>identification of risks during the life cycle stages take</w:t>
      </w:r>
      <w:r>
        <w:rPr>
          <w:sz w:val="24"/>
        </w:rPr>
        <w:t>s</w:t>
      </w:r>
      <w:r w:rsidRPr="000B44D9">
        <w:rPr>
          <w:sz w:val="24"/>
        </w:rPr>
        <w:t xml:space="preserve"> inventory potential</w:t>
      </w:r>
      <w:r w:rsidR="00AA1A53">
        <w:rPr>
          <w:sz w:val="24"/>
        </w:rPr>
        <w:t xml:space="preserve"> EHS</w:t>
      </w:r>
      <w:r w:rsidRPr="000B44D9">
        <w:rPr>
          <w:sz w:val="24"/>
        </w:rPr>
        <w:t xml:space="preserve"> risks of raw materials and manufacturing processes</w:t>
      </w:r>
      <w:r w:rsidR="001D64D4">
        <w:rPr>
          <w:sz w:val="24"/>
        </w:rPr>
        <w:t>;</w:t>
      </w:r>
    </w:p>
    <w:p w14:paraId="4B811187" w14:textId="74D4D067" w:rsidR="001D64D4" w:rsidRDefault="001D64D4" w:rsidP="00C442C9">
      <w:pPr>
        <w:pStyle w:val="Arabiclist"/>
        <w:numPr>
          <w:ilvl w:val="0"/>
          <w:numId w:val="10"/>
        </w:numPr>
        <w:spacing w:line="276" w:lineRule="auto"/>
        <w:rPr>
          <w:sz w:val="24"/>
        </w:rPr>
      </w:pPr>
      <w:r w:rsidRPr="001D64D4">
        <w:rPr>
          <w:sz w:val="24"/>
        </w:rPr>
        <w:t>t</w:t>
      </w:r>
      <w:r w:rsidR="000B44D9" w:rsidRPr="001D64D4">
        <w:rPr>
          <w:sz w:val="24"/>
        </w:rPr>
        <w:t xml:space="preserve">he LC-R analysis </w:t>
      </w:r>
      <w:r w:rsidRPr="001D64D4">
        <w:rPr>
          <w:sz w:val="24"/>
        </w:rPr>
        <w:t>consists in quantification of</w:t>
      </w:r>
      <w:r w:rsidR="000B44D9" w:rsidRPr="001D64D4">
        <w:rPr>
          <w:sz w:val="24"/>
        </w:rPr>
        <w:t xml:space="preserve"> effects of </w:t>
      </w:r>
      <w:r w:rsidRPr="001D64D4">
        <w:rPr>
          <w:sz w:val="24"/>
        </w:rPr>
        <w:t xml:space="preserve">each </w:t>
      </w:r>
      <w:r w:rsidR="00AA1A53">
        <w:rPr>
          <w:sz w:val="24"/>
        </w:rPr>
        <w:t>E</w:t>
      </w:r>
      <w:r w:rsidR="000B44D9" w:rsidRPr="001D64D4">
        <w:rPr>
          <w:sz w:val="24"/>
        </w:rPr>
        <w:t>HS risk, through ad-hoc RA equations</w:t>
      </w:r>
      <w:r w:rsidRPr="001D64D4">
        <w:rPr>
          <w:sz w:val="24"/>
        </w:rPr>
        <w:t>;</w:t>
      </w:r>
    </w:p>
    <w:p w14:paraId="22FF48CA" w14:textId="234BE88B" w:rsidR="000B44D9" w:rsidRPr="001D64D4" w:rsidRDefault="001D64D4" w:rsidP="00C442C9">
      <w:pPr>
        <w:pStyle w:val="Arabiclist"/>
        <w:numPr>
          <w:ilvl w:val="0"/>
          <w:numId w:val="10"/>
        </w:numPr>
        <w:spacing w:line="276" w:lineRule="auto"/>
        <w:rPr>
          <w:sz w:val="24"/>
        </w:rPr>
      </w:pPr>
      <w:r>
        <w:rPr>
          <w:sz w:val="24"/>
        </w:rPr>
        <w:lastRenderedPageBreak/>
        <w:t>the</w:t>
      </w:r>
      <w:r w:rsidR="000B44D9" w:rsidRPr="001D64D4">
        <w:rPr>
          <w:sz w:val="24"/>
        </w:rPr>
        <w:t xml:space="preserve"> LC-R performance evaluation concludes </w:t>
      </w:r>
      <w:r>
        <w:rPr>
          <w:sz w:val="24"/>
        </w:rPr>
        <w:t xml:space="preserve">the analysis, through the assignment of the </w:t>
      </w:r>
      <w:r w:rsidR="00AA1A53">
        <w:rPr>
          <w:sz w:val="24"/>
        </w:rPr>
        <w:t>E</w:t>
      </w:r>
      <w:r>
        <w:rPr>
          <w:sz w:val="24"/>
        </w:rPr>
        <w:t xml:space="preserve">HS risk index for </w:t>
      </w:r>
      <w:r w:rsidR="000B44D9" w:rsidRPr="001D64D4">
        <w:rPr>
          <w:sz w:val="24"/>
        </w:rPr>
        <w:t>each LC stage of products.</w:t>
      </w:r>
    </w:p>
    <w:p w14:paraId="64BC7D5E" w14:textId="0E2D6150" w:rsidR="000B44D9" w:rsidRDefault="000B44D9" w:rsidP="000B44D9">
      <w:pPr>
        <w:pStyle w:val="Abstract"/>
        <w:tabs>
          <w:tab w:val="left" w:pos="6379"/>
        </w:tabs>
        <w:spacing w:line="276" w:lineRule="auto"/>
        <w:ind w:left="0" w:right="-30"/>
        <w:rPr>
          <w:snapToGrid/>
          <w:sz w:val="24"/>
        </w:rPr>
      </w:pPr>
    </w:p>
    <w:p w14:paraId="0A6E71D3" w14:textId="02D6D810" w:rsidR="001D64D4" w:rsidRDefault="001D64D4" w:rsidP="00C442C9">
      <w:pPr>
        <w:pStyle w:val="Titolo2"/>
        <w:numPr>
          <w:ilvl w:val="2"/>
          <w:numId w:val="12"/>
        </w:numPr>
        <w:tabs>
          <w:tab w:val="num" w:pos="360"/>
        </w:tabs>
        <w:spacing w:before="0" w:after="0" w:line="276" w:lineRule="auto"/>
        <w:ind w:left="360" w:hanging="360"/>
      </w:pPr>
      <w:r>
        <w:t>Case study</w:t>
      </w:r>
    </w:p>
    <w:p w14:paraId="77AB48D8" w14:textId="3E1DDD8B" w:rsidR="000B44D9" w:rsidRDefault="000B44D9" w:rsidP="000B44D9">
      <w:pPr>
        <w:pStyle w:val="Abstract"/>
        <w:tabs>
          <w:tab w:val="left" w:pos="6379"/>
        </w:tabs>
        <w:spacing w:line="276" w:lineRule="auto"/>
        <w:ind w:left="0" w:right="-30"/>
        <w:rPr>
          <w:snapToGrid/>
          <w:sz w:val="24"/>
        </w:rPr>
      </w:pPr>
      <w:r w:rsidRPr="000B44D9">
        <w:rPr>
          <w:snapToGrid/>
          <w:sz w:val="24"/>
        </w:rPr>
        <w:t>To apply our research, the case study is an Italian tanning company, leader in leather products market.</w:t>
      </w:r>
      <w:r>
        <w:rPr>
          <w:snapToGrid/>
          <w:sz w:val="24"/>
        </w:rPr>
        <w:t xml:space="preserve"> </w:t>
      </w:r>
      <w:r w:rsidR="00AA1A53">
        <w:rPr>
          <w:snapToGrid/>
          <w:sz w:val="24"/>
        </w:rPr>
        <w:t>L</w:t>
      </w:r>
      <w:r w:rsidRPr="000B44D9">
        <w:rPr>
          <w:snapToGrid/>
          <w:sz w:val="24"/>
        </w:rPr>
        <w:t>ocated in the north of Italy, it has 4 production sites, and 90% of its production is destined to export.</w:t>
      </w:r>
      <w:r w:rsidR="00587BE4">
        <w:rPr>
          <w:snapToGrid/>
          <w:sz w:val="24"/>
        </w:rPr>
        <w:t xml:space="preserve"> </w:t>
      </w:r>
      <w:r w:rsidRPr="000B44D9">
        <w:rPr>
          <w:snapToGrid/>
          <w:sz w:val="24"/>
        </w:rPr>
        <w:t xml:space="preserve">The tanning processes recover and transform rotting skin of animals into a hygienic, breathable and resistant product. </w:t>
      </w:r>
    </w:p>
    <w:p w14:paraId="1E4D7C19" w14:textId="29A03D1B" w:rsidR="001D64D4" w:rsidRPr="001D64D4" w:rsidRDefault="001D64D4" w:rsidP="001D64D4">
      <w:pPr>
        <w:pStyle w:val="Abstract"/>
        <w:tabs>
          <w:tab w:val="left" w:pos="6379"/>
        </w:tabs>
        <w:spacing w:line="276" w:lineRule="auto"/>
        <w:ind w:left="0" w:right="-30"/>
        <w:rPr>
          <w:snapToGrid/>
          <w:sz w:val="24"/>
        </w:rPr>
      </w:pPr>
      <w:r w:rsidRPr="001D64D4">
        <w:rPr>
          <w:snapToGrid/>
          <w:sz w:val="24"/>
        </w:rPr>
        <w:t xml:space="preserve">To test the methodology, 2 products </w:t>
      </w:r>
      <w:r w:rsidR="000A046C">
        <w:rPr>
          <w:snapToGrid/>
          <w:sz w:val="24"/>
        </w:rPr>
        <w:t xml:space="preserve">are selected: they’re </w:t>
      </w:r>
      <w:r w:rsidR="00AA1A53">
        <w:rPr>
          <w:snapToGrid/>
          <w:sz w:val="24"/>
        </w:rPr>
        <w:t>top-quality</w:t>
      </w:r>
      <w:r w:rsidR="000A046C">
        <w:rPr>
          <w:snapToGrid/>
          <w:sz w:val="24"/>
        </w:rPr>
        <w:t xml:space="preserve"> leather products, </w:t>
      </w:r>
      <w:r w:rsidRPr="001D64D4">
        <w:rPr>
          <w:snapToGrid/>
          <w:sz w:val="24"/>
        </w:rPr>
        <w:t>realized by the Italian company</w:t>
      </w:r>
      <w:r w:rsidR="000A046C">
        <w:rPr>
          <w:snapToGrid/>
          <w:sz w:val="24"/>
        </w:rPr>
        <w:t xml:space="preserve"> and</w:t>
      </w:r>
      <w:r w:rsidRPr="001D64D4">
        <w:rPr>
          <w:snapToGrid/>
          <w:sz w:val="24"/>
        </w:rPr>
        <w:t xml:space="preserve"> sold to luxury automotive market, processed with two main important tanning procedures.</w:t>
      </w:r>
    </w:p>
    <w:p w14:paraId="1D9E9351" w14:textId="7CA2B30A" w:rsidR="001D64D4" w:rsidRPr="001D64D4" w:rsidRDefault="001D64D4" w:rsidP="00587BE4">
      <w:pPr>
        <w:pStyle w:val="bulletlist"/>
        <w:spacing w:line="276" w:lineRule="auto"/>
        <w:rPr>
          <w:sz w:val="24"/>
        </w:rPr>
      </w:pPr>
      <w:r w:rsidRPr="00220AAC">
        <w:rPr>
          <w:sz w:val="24"/>
        </w:rPr>
        <w:t>Product A</w:t>
      </w:r>
      <w:r w:rsidRPr="001D64D4">
        <w:rPr>
          <w:sz w:val="24"/>
        </w:rPr>
        <w:t xml:space="preserve"> is realized with Wet Blues leather, made from chrome tanning </w:t>
      </w:r>
      <w:r w:rsidR="00874411">
        <w:rPr>
          <w:sz w:val="24"/>
        </w:rPr>
        <w:t>processes</w:t>
      </w:r>
      <w:r w:rsidRPr="001D64D4">
        <w:rPr>
          <w:sz w:val="24"/>
        </w:rPr>
        <w:t>;</w:t>
      </w:r>
    </w:p>
    <w:p w14:paraId="678641CC" w14:textId="7670B0A2" w:rsidR="001D64D4" w:rsidRPr="001D64D4" w:rsidRDefault="001D64D4" w:rsidP="00587BE4">
      <w:pPr>
        <w:pStyle w:val="bulletlist"/>
        <w:spacing w:line="276" w:lineRule="auto"/>
        <w:rPr>
          <w:sz w:val="24"/>
        </w:rPr>
      </w:pPr>
      <w:r w:rsidRPr="00220AAC">
        <w:rPr>
          <w:sz w:val="24"/>
        </w:rPr>
        <w:t>Product B</w:t>
      </w:r>
      <w:r w:rsidRPr="001D64D4">
        <w:rPr>
          <w:sz w:val="24"/>
        </w:rPr>
        <w:t xml:space="preserve"> is realized with Wet White leather, made from vegetable tanning </w:t>
      </w:r>
      <w:r w:rsidR="00874411">
        <w:rPr>
          <w:sz w:val="24"/>
        </w:rPr>
        <w:t>processes</w:t>
      </w:r>
      <w:r w:rsidRPr="001D64D4">
        <w:rPr>
          <w:sz w:val="24"/>
        </w:rPr>
        <w:t>.</w:t>
      </w:r>
    </w:p>
    <w:p w14:paraId="4CCC73DB" w14:textId="26C0E269" w:rsidR="000B44D9" w:rsidRDefault="000B44D9" w:rsidP="000B44D9">
      <w:pPr>
        <w:pStyle w:val="Abstract"/>
        <w:tabs>
          <w:tab w:val="left" w:pos="6379"/>
        </w:tabs>
        <w:spacing w:line="276" w:lineRule="auto"/>
        <w:ind w:left="0" w:right="-30"/>
        <w:rPr>
          <w:snapToGrid/>
          <w:sz w:val="24"/>
        </w:rPr>
      </w:pPr>
    </w:p>
    <w:p w14:paraId="51B7590A" w14:textId="6C5B42BF" w:rsidR="001D64D4" w:rsidRPr="00220AAC" w:rsidRDefault="001D64D4" w:rsidP="00C442C9">
      <w:pPr>
        <w:pStyle w:val="Titolo2"/>
        <w:numPr>
          <w:ilvl w:val="2"/>
          <w:numId w:val="12"/>
        </w:numPr>
        <w:tabs>
          <w:tab w:val="num" w:pos="360"/>
        </w:tabs>
        <w:spacing w:before="0" w:after="0" w:line="276" w:lineRule="auto"/>
        <w:ind w:left="360" w:hanging="360"/>
      </w:pPr>
      <w:r w:rsidRPr="00220AAC">
        <w:t>Application of LC-RA methodology at the case study</w:t>
      </w:r>
    </w:p>
    <w:p w14:paraId="4B82A60B" w14:textId="06D79377" w:rsidR="00D471E4" w:rsidRDefault="00D471E4" w:rsidP="001D64D4">
      <w:pPr>
        <w:pStyle w:val="Abstract"/>
        <w:tabs>
          <w:tab w:val="left" w:pos="6379"/>
        </w:tabs>
        <w:spacing w:line="276" w:lineRule="auto"/>
        <w:ind w:left="0" w:right="-30"/>
        <w:rPr>
          <w:snapToGrid/>
          <w:sz w:val="24"/>
        </w:rPr>
      </w:pPr>
      <w:r>
        <w:rPr>
          <w:snapToGrid/>
          <w:sz w:val="24"/>
        </w:rPr>
        <w:t xml:space="preserve">The </w:t>
      </w:r>
      <w:r w:rsidR="000A046C">
        <w:rPr>
          <w:snapToGrid/>
          <w:sz w:val="24"/>
        </w:rPr>
        <w:t>LC-RA methodology</w:t>
      </w:r>
      <w:r>
        <w:rPr>
          <w:snapToGrid/>
          <w:sz w:val="24"/>
        </w:rPr>
        <w:t xml:space="preserve"> includes the following key-aspects:</w:t>
      </w:r>
    </w:p>
    <w:p w14:paraId="1F70B1B9" w14:textId="03550C8E" w:rsidR="00D471E4" w:rsidRDefault="00D471E4" w:rsidP="00587BE4">
      <w:pPr>
        <w:pStyle w:val="bulletlist"/>
        <w:spacing w:line="276" w:lineRule="auto"/>
        <w:rPr>
          <w:sz w:val="24"/>
        </w:rPr>
      </w:pPr>
      <w:r>
        <w:rPr>
          <w:sz w:val="24"/>
        </w:rPr>
        <w:t>The equivalence of product systems for product A and B is needed, to assure results comparison;</w:t>
      </w:r>
    </w:p>
    <w:p w14:paraId="20C49696" w14:textId="3B947FE5" w:rsidR="00D471E4" w:rsidRDefault="00D471E4" w:rsidP="00587BE4">
      <w:pPr>
        <w:pStyle w:val="bulletlist"/>
        <w:spacing w:line="276" w:lineRule="auto"/>
        <w:rPr>
          <w:sz w:val="24"/>
        </w:rPr>
      </w:pPr>
      <w:r>
        <w:rPr>
          <w:sz w:val="24"/>
        </w:rPr>
        <w:t>Chemical risks associated to internal activities in tanning processes have to be quantified to permit consistent results;</w:t>
      </w:r>
    </w:p>
    <w:p w14:paraId="5B34FEE8" w14:textId="4D19BB89" w:rsidR="00D471E4" w:rsidRDefault="00D471E4" w:rsidP="00587BE4">
      <w:pPr>
        <w:pStyle w:val="bulletlist"/>
        <w:spacing w:line="276" w:lineRule="auto"/>
        <w:rPr>
          <w:sz w:val="24"/>
        </w:rPr>
      </w:pPr>
      <w:r>
        <w:rPr>
          <w:sz w:val="24"/>
        </w:rPr>
        <w:t xml:space="preserve">Legislative requirements and limits must be considered in </w:t>
      </w:r>
      <w:r w:rsidR="00C31855">
        <w:rPr>
          <w:sz w:val="24"/>
        </w:rPr>
        <w:t>EHS risk evaluation through</w:t>
      </w:r>
      <w:r>
        <w:rPr>
          <w:sz w:val="24"/>
        </w:rPr>
        <w:t xml:space="preserve"> cause-effect analysis.</w:t>
      </w:r>
    </w:p>
    <w:p w14:paraId="4F6DE31A" w14:textId="7D508F67" w:rsidR="000B44D9" w:rsidRPr="001D64D4" w:rsidRDefault="0093528B" w:rsidP="00C31855">
      <w:pPr>
        <w:pStyle w:val="Abstract"/>
        <w:tabs>
          <w:tab w:val="left" w:pos="6379"/>
        </w:tabs>
        <w:spacing w:line="276" w:lineRule="auto"/>
        <w:ind w:left="0" w:right="-30"/>
        <w:rPr>
          <w:snapToGrid/>
          <w:sz w:val="24"/>
        </w:rPr>
      </w:pPr>
      <w:r>
        <w:rPr>
          <w:snapToGrid/>
          <w:sz w:val="24"/>
        </w:rPr>
        <w:t xml:space="preserve">The goal of the LC-RA study </w:t>
      </w:r>
      <w:r w:rsidR="00D91BE4">
        <w:rPr>
          <w:snapToGrid/>
          <w:sz w:val="24"/>
        </w:rPr>
        <w:t>is</w:t>
      </w:r>
      <w:r w:rsidR="001D64D4" w:rsidRPr="001D64D4">
        <w:rPr>
          <w:snapToGrid/>
          <w:sz w:val="24"/>
        </w:rPr>
        <w:t xml:space="preserve"> </w:t>
      </w:r>
      <w:r w:rsidR="00D91BE4">
        <w:rPr>
          <w:snapToGrid/>
          <w:sz w:val="24"/>
        </w:rPr>
        <w:t>the</w:t>
      </w:r>
      <w:r w:rsidR="001D64D4" w:rsidRPr="001D64D4">
        <w:rPr>
          <w:snapToGrid/>
          <w:sz w:val="24"/>
        </w:rPr>
        <w:t xml:space="preserve"> compar</w:t>
      </w:r>
      <w:r w:rsidR="00D91BE4">
        <w:rPr>
          <w:snapToGrid/>
          <w:sz w:val="24"/>
        </w:rPr>
        <w:t>ison of</w:t>
      </w:r>
      <w:r w:rsidR="001D64D4" w:rsidRPr="001D64D4">
        <w:rPr>
          <w:snapToGrid/>
          <w:sz w:val="24"/>
        </w:rPr>
        <w:t xml:space="preserve"> LC-R performances of products A and B, </w:t>
      </w:r>
      <w:r w:rsidR="00D91BE4">
        <w:rPr>
          <w:snapToGrid/>
          <w:sz w:val="24"/>
        </w:rPr>
        <w:t>based</w:t>
      </w:r>
      <w:r w:rsidR="001D64D4" w:rsidRPr="001D64D4">
        <w:rPr>
          <w:snapToGrid/>
          <w:sz w:val="24"/>
        </w:rPr>
        <w:t xml:space="preserve"> o</w:t>
      </w:r>
      <w:r w:rsidR="00D91BE4">
        <w:rPr>
          <w:snapToGrid/>
          <w:sz w:val="24"/>
        </w:rPr>
        <w:t>n</w:t>
      </w:r>
      <w:r w:rsidR="001D64D4" w:rsidRPr="001D64D4">
        <w:rPr>
          <w:snapToGrid/>
          <w:sz w:val="24"/>
        </w:rPr>
        <w:t xml:space="preserve"> </w:t>
      </w:r>
      <w:r w:rsidR="00C31855">
        <w:rPr>
          <w:snapToGrid/>
          <w:sz w:val="24"/>
        </w:rPr>
        <w:t>E</w:t>
      </w:r>
      <w:r w:rsidR="001D64D4" w:rsidRPr="001D64D4">
        <w:rPr>
          <w:snapToGrid/>
          <w:sz w:val="24"/>
        </w:rPr>
        <w:t>HS risks associated to internal activities with chemical substances and mixtures.</w:t>
      </w:r>
      <w:r w:rsidR="00C31855">
        <w:rPr>
          <w:snapToGrid/>
          <w:sz w:val="24"/>
        </w:rPr>
        <w:t xml:space="preserve"> </w:t>
      </w:r>
      <w:r w:rsidR="001D64D4" w:rsidRPr="001D64D4">
        <w:rPr>
          <w:snapToGrid/>
          <w:sz w:val="24"/>
        </w:rPr>
        <w:t xml:space="preserve">To assure the equivalence in comparison, the functional unit </w:t>
      </w:r>
      <w:r w:rsidR="00D91BE4">
        <w:rPr>
          <w:snapToGrid/>
          <w:sz w:val="24"/>
        </w:rPr>
        <w:t>is</w:t>
      </w:r>
      <w:r w:rsidR="001D64D4" w:rsidRPr="001D64D4">
        <w:rPr>
          <w:snapToGrid/>
          <w:sz w:val="24"/>
        </w:rPr>
        <w:t xml:space="preserve"> defined as the production of one square meter of finished product in black color.</w:t>
      </w:r>
      <w:r w:rsidR="00C01B17">
        <w:rPr>
          <w:snapToGrid/>
          <w:sz w:val="24"/>
        </w:rPr>
        <w:t xml:space="preserve"> </w:t>
      </w:r>
      <w:r w:rsidR="001D64D4" w:rsidRPr="001D64D4">
        <w:rPr>
          <w:snapToGrid/>
          <w:sz w:val="24"/>
        </w:rPr>
        <w:t xml:space="preserve">Coherently with the goal and functional unit of LC-RA, internal processes using chemicals </w:t>
      </w:r>
      <w:r>
        <w:rPr>
          <w:snapToGrid/>
          <w:sz w:val="24"/>
        </w:rPr>
        <w:t>are</w:t>
      </w:r>
      <w:r w:rsidR="001D64D4" w:rsidRPr="001D64D4">
        <w:rPr>
          <w:snapToGrid/>
          <w:sz w:val="24"/>
        </w:rPr>
        <w:t xml:space="preserve"> considered in LC-RA scope.</w:t>
      </w:r>
      <w:r w:rsidR="00C31855">
        <w:rPr>
          <w:snapToGrid/>
          <w:sz w:val="24"/>
        </w:rPr>
        <w:t xml:space="preserve"> </w:t>
      </w:r>
      <w:r w:rsidR="001D64D4" w:rsidRPr="001D64D4">
        <w:rPr>
          <w:snapToGrid/>
          <w:sz w:val="24"/>
        </w:rPr>
        <w:t xml:space="preserve">To define the boundaries of LC-R study, </w:t>
      </w:r>
      <w:r w:rsidR="00C31855">
        <w:rPr>
          <w:snapToGrid/>
          <w:sz w:val="24"/>
        </w:rPr>
        <w:t>the</w:t>
      </w:r>
      <w:r w:rsidR="001D64D4" w:rsidRPr="001D64D4">
        <w:rPr>
          <w:snapToGrid/>
          <w:sz w:val="24"/>
        </w:rPr>
        <w:t xml:space="preserve"> operations of manufacturing, transformation, transport, and storage of products</w:t>
      </w:r>
      <w:r w:rsidR="00C31855">
        <w:rPr>
          <w:snapToGrid/>
          <w:sz w:val="24"/>
        </w:rPr>
        <w:t xml:space="preserve"> are </w:t>
      </w:r>
      <w:r w:rsidR="00C31855" w:rsidRPr="000263F1">
        <w:rPr>
          <w:snapToGrid/>
          <w:sz w:val="24"/>
        </w:rPr>
        <w:t>considered</w:t>
      </w:r>
      <w:r w:rsidR="001D64D4" w:rsidRPr="000263F1">
        <w:rPr>
          <w:snapToGrid/>
          <w:sz w:val="24"/>
        </w:rPr>
        <w:t xml:space="preserve">. As represented in figure </w:t>
      </w:r>
      <w:r w:rsidR="00587BE4" w:rsidRPr="000263F1">
        <w:rPr>
          <w:snapToGrid/>
          <w:sz w:val="24"/>
        </w:rPr>
        <w:t>1, i</w:t>
      </w:r>
      <w:r w:rsidR="001D64D4" w:rsidRPr="000263F1">
        <w:rPr>
          <w:snapToGrid/>
          <w:sz w:val="24"/>
        </w:rPr>
        <w:t xml:space="preserve">nternal processes </w:t>
      </w:r>
      <w:r w:rsidR="00C31855" w:rsidRPr="000263F1">
        <w:rPr>
          <w:snapToGrid/>
          <w:sz w:val="24"/>
        </w:rPr>
        <w:t>are</w:t>
      </w:r>
      <w:r w:rsidR="001D64D4" w:rsidRPr="000263F1">
        <w:rPr>
          <w:snapToGrid/>
          <w:sz w:val="24"/>
        </w:rPr>
        <w:t xml:space="preserve"> included in the</w:t>
      </w:r>
      <w:r w:rsidR="001D64D4" w:rsidRPr="001D64D4">
        <w:rPr>
          <w:snapToGrid/>
          <w:sz w:val="24"/>
        </w:rPr>
        <w:t xml:space="preserve"> </w:t>
      </w:r>
      <w:r w:rsidR="001D64D4" w:rsidRPr="001D64D4">
        <w:rPr>
          <w:snapToGrid/>
          <w:sz w:val="24"/>
        </w:rPr>
        <w:lastRenderedPageBreak/>
        <w:t xml:space="preserve">boundaries, while external processes – of suppliers or in outsourcing – </w:t>
      </w:r>
      <w:r w:rsidR="00C31855">
        <w:rPr>
          <w:snapToGrid/>
          <w:sz w:val="24"/>
        </w:rPr>
        <w:t>are</w:t>
      </w:r>
      <w:r w:rsidR="001D64D4" w:rsidRPr="001D64D4">
        <w:rPr>
          <w:snapToGrid/>
          <w:sz w:val="24"/>
        </w:rPr>
        <w:t xml:space="preserve"> excluded</w:t>
      </w:r>
      <w:r w:rsidR="00C31855">
        <w:rPr>
          <w:snapToGrid/>
          <w:sz w:val="24"/>
        </w:rPr>
        <w:t>. Moreover,</w:t>
      </w:r>
      <w:r w:rsidR="00587BE4">
        <w:rPr>
          <w:snapToGrid/>
          <w:sz w:val="24"/>
        </w:rPr>
        <w:t xml:space="preserve"> a</w:t>
      </w:r>
      <w:r w:rsidR="001D64D4" w:rsidRPr="001D64D4">
        <w:rPr>
          <w:snapToGrid/>
          <w:sz w:val="24"/>
        </w:rPr>
        <w:t xml:space="preserve">ll processes using chemicals </w:t>
      </w:r>
      <w:r w:rsidR="00C31855">
        <w:rPr>
          <w:snapToGrid/>
          <w:sz w:val="24"/>
        </w:rPr>
        <w:t>are</w:t>
      </w:r>
      <w:r w:rsidR="001D64D4" w:rsidRPr="001D64D4">
        <w:rPr>
          <w:snapToGrid/>
          <w:sz w:val="24"/>
        </w:rPr>
        <w:t xml:space="preserve"> </w:t>
      </w:r>
      <w:r w:rsidR="00C31855">
        <w:rPr>
          <w:snapToGrid/>
          <w:sz w:val="24"/>
        </w:rPr>
        <w:t>included in the study</w:t>
      </w:r>
      <w:r w:rsidR="001D64D4" w:rsidRPr="001D64D4">
        <w:rPr>
          <w:snapToGrid/>
          <w:sz w:val="24"/>
        </w:rPr>
        <w:t xml:space="preserve">, while mechanical processes without chemical risks </w:t>
      </w:r>
      <w:r w:rsidR="00C31855">
        <w:rPr>
          <w:snapToGrid/>
          <w:sz w:val="24"/>
        </w:rPr>
        <w:t>are excluded because</w:t>
      </w:r>
      <w:r w:rsidR="001D64D4" w:rsidRPr="001D64D4">
        <w:rPr>
          <w:snapToGrid/>
          <w:sz w:val="24"/>
        </w:rPr>
        <w:t xml:space="preserve"> not relevant for </w:t>
      </w:r>
      <w:r w:rsidR="00C31855">
        <w:rPr>
          <w:snapToGrid/>
          <w:sz w:val="24"/>
        </w:rPr>
        <w:t>the goal</w:t>
      </w:r>
      <w:r w:rsidR="001D64D4">
        <w:rPr>
          <w:snapToGrid/>
          <w:sz w:val="24"/>
        </w:rPr>
        <w:t>.</w:t>
      </w:r>
    </w:p>
    <w:p w14:paraId="044349FE" w14:textId="387B40F6" w:rsidR="001D64D4" w:rsidRDefault="001D64D4" w:rsidP="000B44D9">
      <w:pPr>
        <w:pStyle w:val="Abstract"/>
        <w:tabs>
          <w:tab w:val="left" w:pos="6379"/>
        </w:tabs>
        <w:spacing w:line="276" w:lineRule="auto"/>
        <w:ind w:left="0" w:right="-30"/>
        <w:rPr>
          <w:snapToGrid/>
          <w:sz w:val="24"/>
        </w:rPr>
      </w:pPr>
    </w:p>
    <w:p w14:paraId="4E0C0B2B" w14:textId="5309FB13" w:rsidR="003E64EF" w:rsidRDefault="00C01B17" w:rsidP="000B44D9">
      <w:pPr>
        <w:pStyle w:val="Abstract"/>
        <w:tabs>
          <w:tab w:val="left" w:pos="6379"/>
        </w:tabs>
        <w:spacing w:line="276" w:lineRule="auto"/>
        <w:ind w:left="0" w:right="-30"/>
        <w:rPr>
          <w:snapToGrid/>
          <w:sz w:val="24"/>
        </w:rPr>
      </w:pPr>
      <w:r>
        <w:rPr>
          <w:noProof/>
          <w:snapToGrid/>
          <w:sz w:val="24"/>
        </w:rPr>
        <w:drawing>
          <wp:inline distT="0" distB="0" distL="0" distR="0" wp14:anchorId="1910E811" wp14:editId="6ECC2953">
            <wp:extent cx="4665471" cy="1480783"/>
            <wp:effectExtent l="0" t="0" r="0"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7827" cy="1484705"/>
                    </a:xfrm>
                    <a:prstGeom prst="rect">
                      <a:avLst/>
                    </a:prstGeom>
                    <a:noFill/>
                  </pic:spPr>
                </pic:pic>
              </a:graphicData>
            </a:graphic>
          </wp:inline>
        </w:drawing>
      </w:r>
    </w:p>
    <w:p w14:paraId="292BCB37" w14:textId="77777777" w:rsidR="00587BE4" w:rsidRPr="00C743E4" w:rsidRDefault="00587BE4" w:rsidP="00587BE4">
      <w:pPr>
        <w:pStyle w:val="FigureCaption"/>
        <w:spacing w:line="276" w:lineRule="auto"/>
      </w:pPr>
      <w:r w:rsidRPr="00C743E4">
        <w:t xml:space="preserve">Figure </w:t>
      </w:r>
      <w:r>
        <w:t>1</w:t>
      </w:r>
      <w:r w:rsidRPr="00C743E4">
        <w:t>: System boundaries of the LC-RA study</w:t>
      </w:r>
    </w:p>
    <w:p w14:paraId="0F495CBB" w14:textId="77777777" w:rsidR="00604693" w:rsidRDefault="00604693" w:rsidP="000B44D9">
      <w:pPr>
        <w:pStyle w:val="Abstract"/>
        <w:tabs>
          <w:tab w:val="left" w:pos="6379"/>
        </w:tabs>
        <w:spacing w:line="276" w:lineRule="auto"/>
        <w:ind w:left="0" w:right="-30"/>
        <w:rPr>
          <w:snapToGrid/>
          <w:sz w:val="24"/>
        </w:rPr>
      </w:pPr>
    </w:p>
    <w:p w14:paraId="4DF540FD" w14:textId="77777777" w:rsidR="00C01B17" w:rsidRDefault="001D64D4" w:rsidP="00C01B17">
      <w:pPr>
        <w:pStyle w:val="Abstract"/>
        <w:tabs>
          <w:tab w:val="left" w:pos="6379"/>
        </w:tabs>
        <w:spacing w:line="276" w:lineRule="auto"/>
        <w:ind w:left="0" w:right="-30"/>
        <w:rPr>
          <w:snapToGrid/>
          <w:sz w:val="24"/>
        </w:rPr>
      </w:pPr>
      <w:r w:rsidRPr="001D64D4">
        <w:rPr>
          <w:snapToGrid/>
          <w:sz w:val="24"/>
        </w:rPr>
        <w:t xml:space="preserve">To identify and quantify the </w:t>
      </w:r>
      <w:r w:rsidR="00C31855">
        <w:rPr>
          <w:snapToGrid/>
          <w:sz w:val="24"/>
        </w:rPr>
        <w:t xml:space="preserve">EHS </w:t>
      </w:r>
      <w:r w:rsidRPr="001D64D4">
        <w:rPr>
          <w:snapToGrid/>
          <w:sz w:val="24"/>
        </w:rPr>
        <w:t xml:space="preserve">risks, through an in-depth analysis of </w:t>
      </w:r>
      <w:r w:rsidRPr="000263F1">
        <w:rPr>
          <w:snapToGrid/>
          <w:sz w:val="24"/>
        </w:rPr>
        <w:t xml:space="preserve">processes, </w:t>
      </w:r>
      <w:r w:rsidR="0093528B" w:rsidRPr="000263F1">
        <w:rPr>
          <w:snapToGrid/>
          <w:sz w:val="24"/>
        </w:rPr>
        <w:t>the</w:t>
      </w:r>
      <w:r w:rsidRPr="000263F1">
        <w:rPr>
          <w:snapToGrid/>
          <w:sz w:val="24"/>
        </w:rPr>
        <w:t xml:space="preserve"> framework represented in </w:t>
      </w:r>
      <w:r w:rsidR="003E64EF" w:rsidRPr="000263F1">
        <w:rPr>
          <w:snapToGrid/>
          <w:sz w:val="24"/>
        </w:rPr>
        <w:t>figure</w:t>
      </w:r>
      <w:r w:rsidRPr="000263F1">
        <w:rPr>
          <w:snapToGrid/>
          <w:sz w:val="24"/>
        </w:rPr>
        <w:t xml:space="preserve"> </w:t>
      </w:r>
      <w:r w:rsidR="00587BE4" w:rsidRPr="000263F1">
        <w:rPr>
          <w:snapToGrid/>
          <w:sz w:val="24"/>
        </w:rPr>
        <w:t>2</w:t>
      </w:r>
      <w:r w:rsidR="0093528B" w:rsidRPr="000263F1">
        <w:rPr>
          <w:snapToGrid/>
          <w:sz w:val="24"/>
        </w:rPr>
        <w:t xml:space="preserve"> is adopted. </w:t>
      </w:r>
      <w:r w:rsidRPr="000263F1">
        <w:rPr>
          <w:snapToGrid/>
          <w:sz w:val="24"/>
        </w:rPr>
        <w:t>The risks of</w:t>
      </w:r>
      <w:r w:rsidRPr="001D64D4">
        <w:rPr>
          <w:snapToGrid/>
          <w:sz w:val="24"/>
        </w:rPr>
        <w:t xml:space="preserve"> each LC phase derive by risks of processes included in the phase.</w:t>
      </w:r>
      <w:r w:rsidR="00220AAC">
        <w:rPr>
          <w:snapToGrid/>
          <w:sz w:val="24"/>
        </w:rPr>
        <w:t xml:space="preserve"> </w:t>
      </w:r>
      <w:r w:rsidRPr="001D64D4">
        <w:rPr>
          <w:snapToGrid/>
          <w:sz w:val="24"/>
        </w:rPr>
        <w:t>In turn, the risk of each process derives by risks of activities carried out in processes.</w:t>
      </w:r>
      <w:r w:rsidR="00220AAC">
        <w:rPr>
          <w:snapToGrid/>
          <w:sz w:val="24"/>
        </w:rPr>
        <w:t xml:space="preserve"> </w:t>
      </w:r>
      <w:r w:rsidRPr="001D64D4">
        <w:rPr>
          <w:snapToGrid/>
          <w:sz w:val="24"/>
        </w:rPr>
        <w:t>The risk index of activity depends on risks associated to substances and mixtures, that in turn depends on hazard of substances and exposure level.</w:t>
      </w:r>
    </w:p>
    <w:p w14:paraId="1335D5AF" w14:textId="644F36C6" w:rsidR="00C01B17" w:rsidRDefault="00C01B17" w:rsidP="00C01B17">
      <w:pPr>
        <w:pStyle w:val="Abstract"/>
        <w:tabs>
          <w:tab w:val="left" w:pos="6379"/>
        </w:tabs>
        <w:spacing w:line="276" w:lineRule="auto"/>
        <w:ind w:left="0" w:right="-30"/>
        <w:rPr>
          <w:snapToGrid/>
          <w:sz w:val="24"/>
        </w:rPr>
      </w:pPr>
      <w:r w:rsidRPr="000263F1">
        <w:rPr>
          <w:snapToGrid/>
          <w:sz w:val="24"/>
        </w:rPr>
        <w:t>In LC-R identification and analysis, the algorithms reported in Table 1 are</w:t>
      </w:r>
      <w:r>
        <w:rPr>
          <w:snapToGrid/>
          <w:sz w:val="24"/>
        </w:rPr>
        <w:t xml:space="preserve"> applied to quantify, for each substance/mixture, the hazard and exposure, and to obtain for each activity and process the final EHS risk index.</w:t>
      </w:r>
    </w:p>
    <w:p w14:paraId="5FA0BCE9" w14:textId="347C2910" w:rsidR="003E64EF" w:rsidRDefault="003E64EF" w:rsidP="001D64D4">
      <w:pPr>
        <w:pStyle w:val="Abstract"/>
        <w:tabs>
          <w:tab w:val="left" w:pos="6379"/>
        </w:tabs>
        <w:spacing w:line="276" w:lineRule="auto"/>
        <w:ind w:left="0" w:right="-30"/>
        <w:rPr>
          <w:snapToGrid/>
          <w:sz w:val="24"/>
        </w:rPr>
      </w:pPr>
    </w:p>
    <w:p w14:paraId="709CE737" w14:textId="530704F7" w:rsidR="001D64D4" w:rsidRDefault="003E64EF" w:rsidP="000B44D9">
      <w:pPr>
        <w:pStyle w:val="Abstract"/>
        <w:tabs>
          <w:tab w:val="left" w:pos="6379"/>
        </w:tabs>
        <w:spacing w:line="276" w:lineRule="auto"/>
        <w:ind w:left="0" w:right="-30"/>
        <w:rPr>
          <w:snapToGrid/>
          <w:sz w:val="24"/>
        </w:rPr>
      </w:pPr>
      <w:r>
        <w:rPr>
          <w:noProof/>
          <w:snapToGrid/>
          <w:sz w:val="24"/>
        </w:rPr>
        <w:lastRenderedPageBreak/>
        <w:drawing>
          <wp:inline distT="0" distB="0" distL="0" distR="0" wp14:anchorId="3577B60D" wp14:editId="684B9CAC">
            <wp:extent cx="4135272" cy="2820967"/>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601" cy="2853253"/>
                    </a:xfrm>
                    <a:prstGeom prst="rect">
                      <a:avLst/>
                    </a:prstGeom>
                    <a:noFill/>
                  </pic:spPr>
                </pic:pic>
              </a:graphicData>
            </a:graphic>
          </wp:inline>
        </w:drawing>
      </w:r>
    </w:p>
    <w:p w14:paraId="322D2B77" w14:textId="77777777" w:rsidR="00587BE4" w:rsidRPr="00C743E4" w:rsidRDefault="00587BE4" w:rsidP="00587BE4">
      <w:pPr>
        <w:pStyle w:val="FigureCaption"/>
        <w:spacing w:line="276" w:lineRule="auto"/>
      </w:pPr>
      <w:r w:rsidRPr="00C743E4">
        <w:t xml:space="preserve">Figure </w:t>
      </w:r>
      <w:r>
        <w:t>2</w:t>
      </w:r>
      <w:r w:rsidRPr="00C743E4">
        <w:t>: Framework for LC-R identification and analysis in the case study</w:t>
      </w:r>
    </w:p>
    <w:p w14:paraId="4CF4A7D5" w14:textId="77777777" w:rsidR="003E64EF" w:rsidRDefault="003E64EF" w:rsidP="000B44D9">
      <w:pPr>
        <w:pStyle w:val="Abstract"/>
        <w:tabs>
          <w:tab w:val="left" w:pos="6379"/>
        </w:tabs>
        <w:spacing w:line="276" w:lineRule="auto"/>
        <w:ind w:left="0" w:right="-30"/>
        <w:rPr>
          <w:snapToGrid/>
          <w:sz w:val="24"/>
        </w:rPr>
      </w:pPr>
    </w:p>
    <w:p w14:paraId="7DA9E068" w14:textId="3272B2AC" w:rsidR="00F05A61" w:rsidRPr="00BC36B0" w:rsidRDefault="00F05A61" w:rsidP="00587BE4">
      <w:pPr>
        <w:pStyle w:val="FigureCaption"/>
        <w:spacing w:line="276" w:lineRule="auto"/>
        <w:jc w:val="center"/>
      </w:pPr>
      <w:r w:rsidRPr="00EF54D9">
        <w:t xml:space="preserve">Table </w:t>
      </w:r>
      <w:r>
        <w:t>1</w:t>
      </w:r>
      <w:r w:rsidRPr="00EF54D9">
        <w:t>.</w:t>
      </w:r>
      <w:r>
        <w:t xml:space="preserve"> Algorithms adopted to quantify the risk index in the case study</w:t>
      </w:r>
    </w:p>
    <w:tbl>
      <w:tblPr>
        <w:tblW w:w="6662" w:type="dxa"/>
        <w:tblInd w:w="284" w:type="dxa"/>
        <w:tblLayout w:type="fixed"/>
        <w:tblLook w:val="0000" w:firstRow="0" w:lastRow="0" w:firstColumn="0" w:lastColumn="0" w:noHBand="0" w:noVBand="0"/>
      </w:tblPr>
      <w:tblGrid>
        <w:gridCol w:w="2551"/>
        <w:gridCol w:w="4111"/>
      </w:tblGrid>
      <w:tr w:rsidR="00663B92" w:rsidRPr="00C01B17" w14:paraId="697EBEC1" w14:textId="77777777" w:rsidTr="00A63C5D">
        <w:trPr>
          <w:cantSplit/>
        </w:trPr>
        <w:tc>
          <w:tcPr>
            <w:tcW w:w="2551" w:type="dxa"/>
            <w:tcBorders>
              <w:top w:val="single" w:sz="2" w:space="0" w:color="auto"/>
              <w:bottom w:val="single" w:sz="4" w:space="0" w:color="auto"/>
            </w:tcBorders>
            <w:vAlign w:val="center"/>
          </w:tcPr>
          <w:p w14:paraId="2C5DD6E1" w14:textId="0650603F" w:rsidR="00663B92" w:rsidRPr="00C01B17" w:rsidRDefault="00663B92" w:rsidP="00663B92">
            <w:pPr>
              <w:pStyle w:val="Table"/>
              <w:spacing w:line="276" w:lineRule="auto"/>
              <w:rPr>
                <w:sz w:val="16"/>
                <w:szCs w:val="18"/>
              </w:rPr>
            </w:pPr>
            <w:r w:rsidRPr="00C01B17">
              <w:rPr>
                <w:sz w:val="16"/>
                <w:szCs w:val="18"/>
              </w:rPr>
              <w:t>Component of LC-R index</w:t>
            </w:r>
          </w:p>
        </w:tc>
        <w:tc>
          <w:tcPr>
            <w:tcW w:w="4111" w:type="dxa"/>
            <w:tcBorders>
              <w:top w:val="single" w:sz="2" w:space="0" w:color="auto"/>
              <w:bottom w:val="single" w:sz="4" w:space="0" w:color="auto"/>
            </w:tcBorders>
            <w:vAlign w:val="center"/>
          </w:tcPr>
          <w:p w14:paraId="7913039E" w14:textId="3F68B5DE" w:rsidR="00663B92" w:rsidRPr="00C01B17" w:rsidRDefault="00663B92" w:rsidP="00663B92">
            <w:pPr>
              <w:pStyle w:val="Table"/>
              <w:spacing w:line="276" w:lineRule="auto"/>
              <w:rPr>
                <w:sz w:val="16"/>
                <w:szCs w:val="18"/>
              </w:rPr>
            </w:pPr>
            <w:r w:rsidRPr="00C01B17">
              <w:rPr>
                <w:sz w:val="16"/>
                <w:szCs w:val="18"/>
              </w:rPr>
              <w:t xml:space="preserve">Algorithm </w:t>
            </w:r>
          </w:p>
        </w:tc>
      </w:tr>
      <w:tr w:rsidR="00F05A61" w:rsidRPr="00C01B17" w14:paraId="6F8C7795" w14:textId="77777777" w:rsidTr="00A63C5D">
        <w:trPr>
          <w:trHeight w:val="200"/>
        </w:trPr>
        <w:tc>
          <w:tcPr>
            <w:tcW w:w="2551" w:type="dxa"/>
            <w:tcBorders>
              <w:top w:val="single" w:sz="4" w:space="0" w:color="auto"/>
            </w:tcBorders>
            <w:vAlign w:val="center"/>
          </w:tcPr>
          <w:p w14:paraId="1AF201F9" w14:textId="7B6832CC" w:rsidR="00F05A61" w:rsidRPr="001952D3" w:rsidRDefault="00663B92" w:rsidP="00663B92">
            <w:pPr>
              <w:pStyle w:val="Table"/>
              <w:spacing w:line="276" w:lineRule="auto"/>
              <w:rPr>
                <w:snapToGrid w:val="0"/>
                <w:sz w:val="16"/>
                <w:szCs w:val="18"/>
                <w:lang w:val="en-GB"/>
              </w:rPr>
            </w:pPr>
            <w:r w:rsidRPr="001952D3">
              <w:rPr>
                <w:snapToGrid w:val="0"/>
                <w:sz w:val="16"/>
                <w:szCs w:val="18"/>
                <w:lang w:val="en-GB"/>
              </w:rPr>
              <w:t>Risk index of LC phase</w:t>
            </w:r>
          </w:p>
        </w:tc>
        <w:tc>
          <w:tcPr>
            <w:tcW w:w="4111" w:type="dxa"/>
            <w:tcBorders>
              <w:top w:val="single" w:sz="4" w:space="0" w:color="auto"/>
            </w:tcBorders>
            <w:vAlign w:val="center"/>
          </w:tcPr>
          <w:p w14:paraId="2977AF4A" w14:textId="676A05B7" w:rsidR="00F05A61" w:rsidRPr="00C01B17" w:rsidRDefault="00000000" w:rsidP="00663B92">
            <w:pPr>
              <w:pStyle w:val="Table"/>
              <w:spacing w:line="276" w:lineRule="auto"/>
              <w:rPr>
                <w:snapToGrid w:val="0"/>
                <w:sz w:val="16"/>
                <w:szCs w:val="18"/>
                <w:lang w:val="it-IT"/>
              </w:rPr>
            </w:pPr>
            <m:oMathPara>
              <m:oMathParaPr>
                <m:jc m:val="left"/>
              </m:oMathParaPr>
              <m:oMath>
                <m:sSub>
                  <m:sSubPr>
                    <m:ctrlPr>
                      <w:rPr>
                        <w:rFonts w:ascii="Cambria Math" w:hAnsi="Cambria Math"/>
                        <w:snapToGrid w:val="0"/>
                        <w:sz w:val="16"/>
                        <w:szCs w:val="18"/>
                        <w:lang w:val="it-IT"/>
                      </w:rPr>
                    </m:ctrlPr>
                  </m:sSubPr>
                  <m:e>
                    <m:r>
                      <m:rPr>
                        <m:sty m:val="p"/>
                      </m:rPr>
                      <w:rPr>
                        <w:rFonts w:ascii="Cambria Math" w:hAnsi="Cambria Math"/>
                        <w:snapToGrid w:val="0"/>
                        <w:sz w:val="16"/>
                        <w:szCs w:val="18"/>
                        <w:lang w:val="it-IT"/>
                      </w:rPr>
                      <m:t>R</m:t>
                    </m:r>
                  </m:e>
                  <m:sub>
                    <m:r>
                      <m:rPr>
                        <m:sty m:val="p"/>
                      </m:rPr>
                      <w:rPr>
                        <w:rFonts w:ascii="Cambria Math" w:hAnsi="Cambria Math"/>
                        <w:snapToGrid w:val="0"/>
                        <w:sz w:val="16"/>
                        <w:szCs w:val="18"/>
                        <w:lang w:val="it-IT"/>
                      </w:rPr>
                      <m:t>LC phase</m:t>
                    </m:r>
                  </m:sub>
                </m:sSub>
                <m:r>
                  <m:rPr>
                    <m:sty m:val="p"/>
                  </m:rPr>
                  <w:rPr>
                    <w:rFonts w:ascii="Cambria Math" w:hAnsi="Cambria Math"/>
                    <w:snapToGrid w:val="0"/>
                    <w:sz w:val="16"/>
                    <w:szCs w:val="18"/>
                    <w:lang w:val="it-IT"/>
                  </w:rPr>
                  <m:t>=</m:t>
                </m:r>
                <m:nary>
                  <m:naryPr>
                    <m:chr m:val="∑"/>
                    <m:limLoc m:val="undOvr"/>
                    <m:subHide m:val="1"/>
                    <m:supHide m:val="1"/>
                    <m:ctrlPr>
                      <w:rPr>
                        <w:rFonts w:ascii="Cambria Math" w:hAnsi="Cambria Math"/>
                        <w:snapToGrid w:val="0"/>
                        <w:sz w:val="16"/>
                        <w:szCs w:val="18"/>
                        <w:lang w:val="it-IT"/>
                      </w:rPr>
                    </m:ctrlPr>
                  </m:naryPr>
                  <m:sub/>
                  <m:sup/>
                  <m:e>
                    <m:sSub>
                      <m:sSubPr>
                        <m:ctrlPr>
                          <w:rPr>
                            <w:rFonts w:ascii="Cambria Math" w:hAnsi="Cambria Math"/>
                            <w:snapToGrid w:val="0"/>
                            <w:sz w:val="16"/>
                            <w:szCs w:val="18"/>
                            <w:lang w:val="it-IT"/>
                          </w:rPr>
                        </m:ctrlPr>
                      </m:sSubPr>
                      <m:e>
                        <m:r>
                          <m:rPr>
                            <m:sty m:val="p"/>
                          </m:rPr>
                          <w:rPr>
                            <w:rFonts w:ascii="Cambria Math" w:hAnsi="Cambria Math"/>
                            <w:snapToGrid w:val="0"/>
                            <w:sz w:val="16"/>
                            <w:szCs w:val="18"/>
                            <w:lang w:val="it-IT"/>
                          </w:rPr>
                          <m:t>R</m:t>
                        </m:r>
                      </m:e>
                      <m:sub>
                        <m:r>
                          <m:rPr>
                            <m:sty m:val="p"/>
                          </m:rPr>
                          <w:rPr>
                            <w:rFonts w:ascii="Cambria Math" w:hAnsi="Cambria Math"/>
                            <w:snapToGrid w:val="0"/>
                            <w:sz w:val="16"/>
                            <w:szCs w:val="18"/>
                            <w:lang w:val="it-IT"/>
                          </w:rPr>
                          <m:t>LC processes</m:t>
                        </m:r>
                      </m:sub>
                    </m:sSub>
                  </m:e>
                </m:nary>
              </m:oMath>
            </m:oMathPara>
          </w:p>
        </w:tc>
      </w:tr>
      <w:tr w:rsidR="00F05A61" w:rsidRPr="00C01B17" w14:paraId="3DDF5057" w14:textId="77777777" w:rsidTr="00A63C5D">
        <w:trPr>
          <w:trHeight w:val="200"/>
        </w:trPr>
        <w:tc>
          <w:tcPr>
            <w:tcW w:w="2551" w:type="dxa"/>
            <w:vAlign w:val="center"/>
          </w:tcPr>
          <w:p w14:paraId="7AD476D4" w14:textId="6771C633" w:rsidR="00F05A61" w:rsidRPr="00C01B17" w:rsidRDefault="00663B92" w:rsidP="00663B92">
            <w:pPr>
              <w:pStyle w:val="Table"/>
              <w:spacing w:line="276" w:lineRule="auto"/>
              <w:rPr>
                <w:snapToGrid w:val="0"/>
                <w:sz w:val="16"/>
                <w:szCs w:val="18"/>
              </w:rPr>
            </w:pPr>
            <w:r w:rsidRPr="00C01B17">
              <w:rPr>
                <w:snapToGrid w:val="0"/>
                <w:sz w:val="16"/>
                <w:szCs w:val="18"/>
              </w:rPr>
              <w:t>Risk index of LC process</w:t>
            </w:r>
          </w:p>
        </w:tc>
        <w:tc>
          <w:tcPr>
            <w:tcW w:w="4111" w:type="dxa"/>
            <w:vAlign w:val="center"/>
          </w:tcPr>
          <w:p w14:paraId="36DFAC3C" w14:textId="6F053B8F" w:rsidR="00F05A61" w:rsidRPr="00C01B17" w:rsidRDefault="00000000" w:rsidP="00663B92">
            <w:pPr>
              <w:pStyle w:val="Table"/>
              <w:spacing w:line="276" w:lineRule="auto"/>
              <w:rPr>
                <w:snapToGrid w:val="0"/>
                <w:sz w:val="16"/>
                <w:szCs w:val="18"/>
              </w:rPr>
            </w:pPr>
            <m:oMathPara>
              <m:oMathParaPr>
                <m:jc m:val="left"/>
              </m:oMathParaPr>
              <m:oMath>
                <m:sSub>
                  <m:sSubPr>
                    <m:ctrlPr>
                      <w:rPr>
                        <w:rFonts w:ascii="Cambria Math" w:hAnsi="Cambria Math"/>
                        <w:snapToGrid w:val="0"/>
                        <w:sz w:val="16"/>
                        <w:szCs w:val="18"/>
                      </w:rPr>
                    </m:ctrlPr>
                  </m:sSubPr>
                  <m:e>
                    <m:r>
                      <m:rPr>
                        <m:sty m:val="p"/>
                      </m:rPr>
                      <w:rPr>
                        <w:rFonts w:ascii="Cambria Math" w:hAnsi="Cambria Math"/>
                        <w:snapToGrid w:val="0"/>
                        <w:sz w:val="16"/>
                        <w:szCs w:val="18"/>
                      </w:rPr>
                      <m:t>R</m:t>
                    </m:r>
                  </m:e>
                  <m:sub>
                    <m:r>
                      <m:rPr>
                        <m:sty m:val="p"/>
                      </m:rPr>
                      <w:rPr>
                        <w:rFonts w:ascii="Cambria Math" w:hAnsi="Cambria Math"/>
                        <w:snapToGrid w:val="0"/>
                        <w:sz w:val="16"/>
                        <w:szCs w:val="18"/>
                      </w:rPr>
                      <m:t>LC process</m:t>
                    </m:r>
                  </m:sub>
                </m:sSub>
                <m:r>
                  <m:rPr>
                    <m:sty m:val="p"/>
                  </m:rPr>
                  <w:rPr>
                    <w:rFonts w:ascii="Cambria Math" w:hAnsi="Cambria Math"/>
                    <w:snapToGrid w:val="0"/>
                    <w:sz w:val="16"/>
                    <w:szCs w:val="18"/>
                  </w:rPr>
                  <m:t>=</m:t>
                </m:r>
                <m:nary>
                  <m:naryPr>
                    <m:chr m:val="∑"/>
                    <m:limLoc m:val="undOvr"/>
                    <m:subHide m:val="1"/>
                    <m:supHide m:val="1"/>
                    <m:ctrlPr>
                      <w:rPr>
                        <w:rFonts w:ascii="Cambria Math" w:hAnsi="Cambria Math"/>
                        <w:snapToGrid w:val="0"/>
                        <w:sz w:val="16"/>
                        <w:szCs w:val="18"/>
                      </w:rPr>
                    </m:ctrlPr>
                  </m:naryPr>
                  <m:sub/>
                  <m:sup/>
                  <m:e>
                    <m:sSub>
                      <m:sSubPr>
                        <m:ctrlPr>
                          <w:rPr>
                            <w:rFonts w:ascii="Cambria Math" w:hAnsi="Cambria Math"/>
                            <w:snapToGrid w:val="0"/>
                            <w:sz w:val="16"/>
                            <w:szCs w:val="18"/>
                          </w:rPr>
                        </m:ctrlPr>
                      </m:sSubPr>
                      <m:e>
                        <m:r>
                          <m:rPr>
                            <m:sty m:val="p"/>
                          </m:rPr>
                          <w:rPr>
                            <w:rFonts w:ascii="Cambria Math" w:hAnsi="Cambria Math"/>
                            <w:snapToGrid w:val="0"/>
                            <w:sz w:val="16"/>
                            <w:szCs w:val="18"/>
                          </w:rPr>
                          <m:t>R</m:t>
                        </m:r>
                      </m:e>
                      <m:sub>
                        <m:r>
                          <m:rPr>
                            <m:sty m:val="p"/>
                          </m:rPr>
                          <w:rPr>
                            <w:rFonts w:ascii="Cambria Math" w:hAnsi="Cambria Math"/>
                            <w:snapToGrid w:val="0"/>
                            <w:sz w:val="16"/>
                            <w:szCs w:val="18"/>
                          </w:rPr>
                          <m:t>activities</m:t>
                        </m:r>
                      </m:sub>
                    </m:sSub>
                  </m:e>
                </m:nary>
              </m:oMath>
            </m:oMathPara>
          </w:p>
        </w:tc>
      </w:tr>
      <w:tr w:rsidR="00F05A61" w:rsidRPr="00C01B17" w14:paraId="5DDF9E3C" w14:textId="77777777" w:rsidTr="00A63C5D">
        <w:trPr>
          <w:trHeight w:val="200"/>
        </w:trPr>
        <w:tc>
          <w:tcPr>
            <w:tcW w:w="2551" w:type="dxa"/>
            <w:vAlign w:val="center"/>
          </w:tcPr>
          <w:p w14:paraId="3B19EB94" w14:textId="12CD89BE" w:rsidR="00F05A61" w:rsidRPr="00C01B17" w:rsidRDefault="00663B92" w:rsidP="00663B92">
            <w:pPr>
              <w:pStyle w:val="Table"/>
              <w:spacing w:line="276" w:lineRule="auto"/>
              <w:rPr>
                <w:snapToGrid w:val="0"/>
                <w:sz w:val="16"/>
                <w:szCs w:val="18"/>
              </w:rPr>
            </w:pPr>
            <w:r w:rsidRPr="00C01B17">
              <w:rPr>
                <w:snapToGrid w:val="0"/>
                <w:sz w:val="16"/>
                <w:szCs w:val="18"/>
              </w:rPr>
              <w:t>Risk index of activity</w:t>
            </w:r>
          </w:p>
        </w:tc>
        <w:tc>
          <w:tcPr>
            <w:tcW w:w="4111" w:type="dxa"/>
            <w:vAlign w:val="center"/>
          </w:tcPr>
          <w:p w14:paraId="5AB49C5E" w14:textId="35998531" w:rsidR="00F05A61" w:rsidRPr="00C01B17" w:rsidRDefault="00000000" w:rsidP="00663B92">
            <w:pPr>
              <w:pStyle w:val="Table"/>
              <w:spacing w:line="276" w:lineRule="auto"/>
              <w:rPr>
                <w:snapToGrid w:val="0"/>
                <w:sz w:val="16"/>
                <w:szCs w:val="18"/>
              </w:rPr>
            </w:pPr>
            <m:oMathPara>
              <m:oMathParaPr>
                <m:jc m:val="left"/>
              </m:oMathParaPr>
              <m:oMath>
                <m:sSub>
                  <m:sSubPr>
                    <m:ctrlPr>
                      <w:rPr>
                        <w:rFonts w:ascii="Cambria Math" w:hAnsi="Cambria Math"/>
                        <w:snapToGrid w:val="0"/>
                        <w:sz w:val="16"/>
                        <w:szCs w:val="18"/>
                      </w:rPr>
                    </m:ctrlPr>
                  </m:sSubPr>
                  <m:e>
                    <m:r>
                      <w:rPr>
                        <w:rFonts w:ascii="Cambria Math" w:hAnsi="Cambria Math"/>
                        <w:snapToGrid w:val="0"/>
                        <w:sz w:val="16"/>
                        <w:szCs w:val="18"/>
                      </w:rPr>
                      <m:t>R</m:t>
                    </m:r>
                  </m:e>
                  <m:sub>
                    <m:r>
                      <w:rPr>
                        <w:rFonts w:ascii="Cambria Math" w:hAnsi="Cambria Math"/>
                        <w:snapToGrid w:val="0"/>
                        <w:sz w:val="16"/>
                        <w:szCs w:val="18"/>
                      </w:rPr>
                      <m:t>activity</m:t>
                    </m:r>
                  </m:sub>
                </m:sSub>
                <m:r>
                  <m:rPr>
                    <m:sty m:val="p"/>
                  </m:rPr>
                  <w:rPr>
                    <w:rFonts w:ascii="Cambria Math" w:hAnsi="Cambria Math"/>
                    <w:snapToGrid w:val="0"/>
                    <w:sz w:val="16"/>
                    <w:szCs w:val="18"/>
                  </w:rPr>
                  <m:t>=</m:t>
                </m:r>
                <m:nary>
                  <m:naryPr>
                    <m:chr m:val="∑"/>
                    <m:limLoc m:val="undOvr"/>
                    <m:subHide m:val="1"/>
                    <m:supHide m:val="1"/>
                    <m:ctrlPr>
                      <w:rPr>
                        <w:rFonts w:ascii="Cambria Math" w:hAnsi="Cambria Math"/>
                        <w:snapToGrid w:val="0"/>
                        <w:sz w:val="16"/>
                        <w:szCs w:val="18"/>
                      </w:rPr>
                    </m:ctrlPr>
                  </m:naryPr>
                  <m:sub/>
                  <m:sup/>
                  <m:e>
                    <m:sSub>
                      <m:sSubPr>
                        <m:ctrlPr>
                          <w:rPr>
                            <w:rFonts w:ascii="Cambria Math" w:hAnsi="Cambria Math"/>
                            <w:snapToGrid w:val="0"/>
                            <w:sz w:val="16"/>
                            <w:szCs w:val="18"/>
                          </w:rPr>
                        </m:ctrlPr>
                      </m:sSubPr>
                      <m:e>
                        <m:r>
                          <w:rPr>
                            <w:rFonts w:ascii="Cambria Math" w:hAnsi="Cambria Math"/>
                            <w:snapToGrid w:val="0"/>
                            <w:sz w:val="16"/>
                            <w:szCs w:val="18"/>
                          </w:rPr>
                          <m:t>R</m:t>
                        </m:r>
                      </m:e>
                      <m:sub>
                        <m:r>
                          <w:rPr>
                            <w:rFonts w:ascii="Cambria Math" w:hAnsi="Cambria Math"/>
                            <w:snapToGrid w:val="0"/>
                            <w:sz w:val="16"/>
                            <w:szCs w:val="18"/>
                          </w:rPr>
                          <m:t>substance</m:t>
                        </m:r>
                        <m:r>
                          <m:rPr>
                            <m:sty m:val="p"/>
                          </m:rPr>
                          <w:rPr>
                            <w:rFonts w:ascii="Cambria Math" w:hAnsi="Cambria Math"/>
                            <w:snapToGrid w:val="0"/>
                            <w:sz w:val="16"/>
                            <w:szCs w:val="18"/>
                          </w:rPr>
                          <m:t>/</m:t>
                        </m:r>
                        <m:r>
                          <w:rPr>
                            <w:rFonts w:ascii="Cambria Math" w:hAnsi="Cambria Math"/>
                            <w:snapToGrid w:val="0"/>
                            <w:sz w:val="16"/>
                            <w:szCs w:val="18"/>
                          </w:rPr>
                          <m:t>mixture</m:t>
                        </m:r>
                      </m:sub>
                    </m:sSub>
                  </m:e>
                </m:nary>
              </m:oMath>
            </m:oMathPara>
          </w:p>
        </w:tc>
      </w:tr>
      <w:tr w:rsidR="00663B92" w:rsidRPr="00C01B17" w14:paraId="76F2AD0B" w14:textId="77777777" w:rsidTr="00A63C5D">
        <w:trPr>
          <w:trHeight w:val="200"/>
        </w:trPr>
        <w:tc>
          <w:tcPr>
            <w:tcW w:w="2551" w:type="dxa"/>
            <w:tcBorders>
              <w:bottom w:val="single" w:sz="4" w:space="0" w:color="auto"/>
            </w:tcBorders>
            <w:vAlign w:val="center"/>
          </w:tcPr>
          <w:p w14:paraId="0524648C" w14:textId="6EC25C04" w:rsidR="00663B92" w:rsidRPr="00C01B17" w:rsidRDefault="00663B92" w:rsidP="00663B92">
            <w:pPr>
              <w:pStyle w:val="Table"/>
              <w:spacing w:line="276" w:lineRule="auto"/>
              <w:rPr>
                <w:snapToGrid w:val="0"/>
                <w:sz w:val="16"/>
                <w:szCs w:val="18"/>
              </w:rPr>
            </w:pPr>
            <w:r w:rsidRPr="00C01B17">
              <w:rPr>
                <w:snapToGrid w:val="0"/>
                <w:sz w:val="16"/>
                <w:szCs w:val="18"/>
              </w:rPr>
              <w:t>Risk index of substance/mixture</w:t>
            </w:r>
          </w:p>
        </w:tc>
        <w:tc>
          <w:tcPr>
            <w:tcW w:w="4111" w:type="dxa"/>
            <w:tcBorders>
              <w:bottom w:val="single" w:sz="4" w:space="0" w:color="auto"/>
            </w:tcBorders>
            <w:vAlign w:val="center"/>
          </w:tcPr>
          <w:p w14:paraId="6031F0E0" w14:textId="45C6CBD1" w:rsidR="00663B92" w:rsidRPr="00C01B17" w:rsidRDefault="00000000" w:rsidP="00663B92">
            <w:pPr>
              <w:pStyle w:val="Table"/>
              <w:spacing w:line="276" w:lineRule="auto"/>
              <w:rPr>
                <w:snapToGrid w:val="0"/>
                <w:sz w:val="16"/>
                <w:szCs w:val="18"/>
              </w:rPr>
            </w:pPr>
            <m:oMathPara>
              <m:oMathParaPr>
                <m:jc m:val="left"/>
              </m:oMathParaPr>
              <m:oMath>
                <m:sSub>
                  <m:sSubPr>
                    <m:ctrlPr>
                      <w:rPr>
                        <w:rFonts w:ascii="Cambria Math" w:hAnsi="Cambria Math"/>
                        <w:snapToGrid w:val="0"/>
                        <w:sz w:val="16"/>
                        <w:szCs w:val="18"/>
                      </w:rPr>
                    </m:ctrlPr>
                  </m:sSubPr>
                  <m:e>
                    <m:r>
                      <m:rPr>
                        <m:sty m:val="p"/>
                      </m:rPr>
                      <w:rPr>
                        <w:rFonts w:ascii="Cambria Math" w:hAnsi="Cambria Math"/>
                        <w:snapToGrid w:val="0"/>
                        <w:sz w:val="16"/>
                        <w:szCs w:val="18"/>
                      </w:rPr>
                      <m:t>R</m:t>
                    </m:r>
                  </m:e>
                  <m:sub>
                    <m:r>
                      <m:rPr>
                        <m:sty m:val="p"/>
                      </m:rPr>
                      <w:rPr>
                        <w:rFonts w:ascii="Cambria Math" w:hAnsi="Cambria Math"/>
                        <w:snapToGrid w:val="0"/>
                        <w:sz w:val="16"/>
                        <w:szCs w:val="18"/>
                      </w:rPr>
                      <m:t>substance/mixture</m:t>
                    </m:r>
                  </m:sub>
                </m:sSub>
                <m:r>
                  <m:rPr>
                    <m:sty m:val="p"/>
                  </m:rPr>
                  <w:rPr>
                    <w:rFonts w:ascii="Cambria Math" w:hAnsi="Cambria Math"/>
                    <w:snapToGrid w:val="0"/>
                    <w:sz w:val="16"/>
                    <w:szCs w:val="18"/>
                  </w:rPr>
                  <m:t> =H×E</m:t>
                </m:r>
              </m:oMath>
            </m:oMathPara>
          </w:p>
        </w:tc>
      </w:tr>
      <w:tr w:rsidR="00663B92" w:rsidRPr="00C01B17" w14:paraId="6B663EA7" w14:textId="77777777" w:rsidTr="00A63C5D">
        <w:trPr>
          <w:trHeight w:val="200"/>
        </w:trPr>
        <w:tc>
          <w:tcPr>
            <w:tcW w:w="2551" w:type="dxa"/>
            <w:tcBorders>
              <w:top w:val="single" w:sz="4" w:space="0" w:color="auto"/>
            </w:tcBorders>
            <w:vAlign w:val="center"/>
          </w:tcPr>
          <w:p w14:paraId="4574CBEF" w14:textId="0A553FBC" w:rsidR="00663B92" w:rsidRPr="00C01B17" w:rsidRDefault="00663B92" w:rsidP="00663B92">
            <w:pPr>
              <w:pStyle w:val="Table"/>
              <w:spacing w:line="276" w:lineRule="auto"/>
              <w:rPr>
                <w:snapToGrid w:val="0"/>
                <w:sz w:val="16"/>
                <w:szCs w:val="18"/>
              </w:rPr>
            </w:pPr>
            <w:r w:rsidRPr="00C01B17">
              <w:rPr>
                <w:snapToGrid w:val="0"/>
                <w:sz w:val="16"/>
                <w:szCs w:val="18"/>
              </w:rPr>
              <w:t>Hazard index</w:t>
            </w:r>
          </w:p>
        </w:tc>
        <w:tc>
          <w:tcPr>
            <w:tcW w:w="4111" w:type="dxa"/>
            <w:tcBorders>
              <w:top w:val="single" w:sz="4" w:space="0" w:color="auto"/>
            </w:tcBorders>
            <w:vAlign w:val="center"/>
          </w:tcPr>
          <w:p w14:paraId="2CC0616C" w14:textId="024F7172" w:rsidR="00663B92" w:rsidRPr="00C01B17" w:rsidRDefault="00663B92" w:rsidP="00663B92">
            <w:pPr>
              <w:pStyle w:val="Table"/>
              <w:spacing w:line="276" w:lineRule="auto"/>
              <w:rPr>
                <w:snapToGrid w:val="0"/>
                <w:sz w:val="16"/>
                <w:szCs w:val="18"/>
              </w:rPr>
            </w:pPr>
            <w:r w:rsidRPr="00C01B17">
              <w:rPr>
                <w:snapToGrid w:val="0"/>
                <w:sz w:val="16"/>
                <w:szCs w:val="18"/>
              </w:rPr>
              <w:t>H = f</w:t>
            </w:r>
            <w:r w:rsidRPr="00C01B17">
              <w:rPr>
                <w:snapToGrid w:val="0"/>
                <w:sz w:val="16"/>
                <w:szCs w:val="18"/>
                <w:vertAlign w:val="subscript"/>
              </w:rPr>
              <w:t>1</w:t>
            </w:r>
            <w:r w:rsidRPr="00C01B17">
              <w:rPr>
                <w:snapToGrid w:val="0"/>
                <w:sz w:val="16"/>
                <w:szCs w:val="18"/>
              </w:rPr>
              <w:t xml:space="preserve"> (hazard factors)</w:t>
            </w:r>
          </w:p>
        </w:tc>
      </w:tr>
      <w:tr w:rsidR="00663B92" w:rsidRPr="001952D3" w14:paraId="4D836F56" w14:textId="77777777" w:rsidTr="00A63C5D">
        <w:trPr>
          <w:trHeight w:val="200"/>
        </w:trPr>
        <w:tc>
          <w:tcPr>
            <w:tcW w:w="2551" w:type="dxa"/>
            <w:vAlign w:val="center"/>
          </w:tcPr>
          <w:p w14:paraId="3D69047A" w14:textId="24FAB495" w:rsidR="00663B92" w:rsidRPr="00C01B17" w:rsidRDefault="00663B92" w:rsidP="00663B92">
            <w:pPr>
              <w:pStyle w:val="Table"/>
              <w:spacing w:line="276" w:lineRule="auto"/>
              <w:rPr>
                <w:snapToGrid w:val="0"/>
                <w:sz w:val="16"/>
                <w:szCs w:val="18"/>
              </w:rPr>
            </w:pPr>
            <w:r w:rsidRPr="00C01B17">
              <w:rPr>
                <w:snapToGrid w:val="0"/>
                <w:sz w:val="16"/>
                <w:szCs w:val="18"/>
              </w:rPr>
              <w:t>Exposure index</w:t>
            </w:r>
          </w:p>
        </w:tc>
        <w:tc>
          <w:tcPr>
            <w:tcW w:w="4111" w:type="dxa"/>
            <w:vAlign w:val="center"/>
          </w:tcPr>
          <w:p w14:paraId="00DD86A7" w14:textId="1A7F92FC" w:rsidR="00663B92" w:rsidRPr="001952D3" w:rsidRDefault="00663B92" w:rsidP="00663B92">
            <w:pPr>
              <w:pStyle w:val="Table"/>
              <w:spacing w:line="276" w:lineRule="auto"/>
              <w:rPr>
                <w:snapToGrid w:val="0"/>
                <w:sz w:val="16"/>
                <w:szCs w:val="18"/>
                <w:lang w:val="it-IT"/>
              </w:rPr>
            </w:pPr>
            <w:r w:rsidRPr="001952D3">
              <w:rPr>
                <w:snapToGrid w:val="0"/>
                <w:sz w:val="16"/>
                <w:szCs w:val="18"/>
                <w:lang w:val="it-IT"/>
              </w:rPr>
              <w:t>E</w:t>
            </w:r>
            <m:oMath>
              <m:r>
                <m:rPr>
                  <m:sty m:val="p"/>
                </m:rPr>
                <w:rPr>
                  <w:rFonts w:ascii="Cambria Math" w:hAnsi="Cambria Math"/>
                  <w:snapToGrid w:val="0"/>
                  <w:sz w:val="16"/>
                  <w:szCs w:val="18"/>
                  <w:lang w:val="it-IT"/>
                </w:rPr>
                <m:t>=</m:t>
              </m:r>
              <m:rad>
                <m:radPr>
                  <m:degHide m:val="1"/>
                  <m:ctrlPr>
                    <w:rPr>
                      <w:rFonts w:ascii="Cambria Math" w:hAnsi="Cambria Math"/>
                      <w:snapToGrid w:val="0"/>
                      <w:sz w:val="16"/>
                      <w:szCs w:val="18"/>
                    </w:rPr>
                  </m:ctrlPr>
                </m:radPr>
                <m:deg/>
                <m:e>
                  <m:sSup>
                    <m:sSupPr>
                      <m:ctrlPr>
                        <w:rPr>
                          <w:rFonts w:ascii="Cambria Math" w:hAnsi="Cambria Math"/>
                          <w:snapToGrid w:val="0"/>
                          <w:sz w:val="16"/>
                          <w:szCs w:val="18"/>
                        </w:rPr>
                      </m:ctrlPr>
                    </m:sSupPr>
                    <m:e>
                      <m:sSub>
                        <m:sSubPr>
                          <m:ctrlPr>
                            <w:rPr>
                              <w:rFonts w:ascii="Cambria Math" w:hAnsi="Cambria Math"/>
                              <w:snapToGrid w:val="0"/>
                              <w:sz w:val="16"/>
                              <w:szCs w:val="18"/>
                            </w:rPr>
                          </m:ctrlPr>
                        </m:sSubPr>
                        <m:e>
                          <m:r>
                            <w:rPr>
                              <w:rFonts w:ascii="Cambria Math" w:hAnsi="Cambria Math"/>
                              <w:snapToGrid w:val="0"/>
                              <w:sz w:val="16"/>
                              <w:szCs w:val="18"/>
                            </w:rPr>
                            <m:t>E</m:t>
                          </m:r>
                        </m:e>
                        <m:sub>
                          <m:r>
                            <w:rPr>
                              <w:rFonts w:ascii="Cambria Math" w:hAnsi="Cambria Math"/>
                              <w:snapToGrid w:val="0"/>
                              <w:sz w:val="16"/>
                              <w:szCs w:val="18"/>
                            </w:rPr>
                            <m:t>inal</m:t>
                          </m:r>
                        </m:sub>
                      </m:sSub>
                    </m:e>
                    <m:sup>
                      <m:r>
                        <m:rPr>
                          <m:sty m:val="p"/>
                        </m:rPr>
                        <w:rPr>
                          <w:rFonts w:ascii="Cambria Math" w:hAnsi="Cambria Math"/>
                          <w:snapToGrid w:val="0"/>
                          <w:sz w:val="16"/>
                          <w:szCs w:val="18"/>
                          <w:lang w:val="it-IT"/>
                        </w:rPr>
                        <m:t>2</m:t>
                      </m:r>
                    </m:sup>
                  </m:sSup>
                  <m:r>
                    <m:rPr>
                      <m:sty m:val="p"/>
                    </m:rPr>
                    <w:rPr>
                      <w:rFonts w:ascii="Cambria Math" w:hAnsi="Cambria Math"/>
                      <w:snapToGrid w:val="0"/>
                      <w:sz w:val="16"/>
                      <w:szCs w:val="18"/>
                      <w:lang w:val="it-IT"/>
                    </w:rPr>
                    <m:t>+</m:t>
                  </m:r>
                  <m:sSup>
                    <m:sSupPr>
                      <m:ctrlPr>
                        <w:rPr>
                          <w:rFonts w:ascii="Cambria Math" w:hAnsi="Cambria Math"/>
                          <w:snapToGrid w:val="0"/>
                          <w:sz w:val="16"/>
                          <w:szCs w:val="18"/>
                        </w:rPr>
                      </m:ctrlPr>
                    </m:sSupPr>
                    <m:e>
                      <m:sSub>
                        <m:sSubPr>
                          <m:ctrlPr>
                            <w:rPr>
                              <w:rFonts w:ascii="Cambria Math" w:hAnsi="Cambria Math"/>
                              <w:snapToGrid w:val="0"/>
                              <w:sz w:val="16"/>
                              <w:szCs w:val="18"/>
                            </w:rPr>
                          </m:ctrlPr>
                        </m:sSubPr>
                        <m:e>
                          <m:r>
                            <w:rPr>
                              <w:rFonts w:ascii="Cambria Math" w:hAnsi="Cambria Math"/>
                              <w:snapToGrid w:val="0"/>
                              <w:sz w:val="16"/>
                              <w:szCs w:val="18"/>
                            </w:rPr>
                            <m:t>E</m:t>
                          </m:r>
                        </m:e>
                        <m:sub>
                          <m:r>
                            <w:rPr>
                              <w:rFonts w:ascii="Cambria Math" w:hAnsi="Cambria Math"/>
                              <w:snapToGrid w:val="0"/>
                              <w:sz w:val="16"/>
                              <w:szCs w:val="18"/>
                            </w:rPr>
                            <m:t>skin</m:t>
                          </m:r>
                        </m:sub>
                      </m:sSub>
                    </m:e>
                    <m:sup>
                      <m:r>
                        <m:rPr>
                          <m:sty m:val="p"/>
                        </m:rPr>
                        <w:rPr>
                          <w:rFonts w:ascii="Cambria Math" w:hAnsi="Cambria Math"/>
                          <w:snapToGrid w:val="0"/>
                          <w:sz w:val="16"/>
                          <w:szCs w:val="18"/>
                          <w:lang w:val="it-IT"/>
                        </w:rPr>
                        <m:t>2</m:t>
                      </m:r>
                    </m:sup>
                  </m:sSup>
                </m:e>
              </m:rad>
            </m:oMath>
          </w:p>
        </w:tc>
      </w:tr>
      <w:tr w:rsidR="00663B92" w:rsidRPr="00C01B17" w14:paraId="5E2B390F" w14:textId="77777777" w:rsidTr="00A63C5D">
        <w:trPr>
          <w:trHeight w:val="200"/>
        </w:trPr>
        <w:tc>
          <w:tcPr>
            <w:tcW w:w="2551" w:type="dxa"/>
            <w:vAlign w:val="center"/>
          </w:tcPr>
          <w:p w14:paraId="35144DC5" w14:textId="665630AE" w:rsidR="00663B92" w:rsidRPr="00C01B17" w:rsidRDefault="00663B92" w:rsidP="00663B92">
            <w:pPr>
              <w:pStyle w:val="Table"/>
              <w:spacing w:line="276" w:lineRule="auto"/>
              <w:rPr>
                <w:snapToGrid w:val="0"/>
                <w:sz w:val="16"/>
                <w:szCs w:val="18"/>
              </w:rPr>
            </w:pPr>
            <w:r w:rsidRPr="00C01B17">
              <w:rPr>
                <w:snapToGrid w:val="0"/>
                <w:sz w:val="16"/>
                <w:szCs w:val="18"/>
              </w:rPr>
              <w:t>Exposure index by inhalation</w:t>
            </w:r>
          </w:p>
        </w:tc>
        <w:tc>
          <w:tcPr>
            <w:tcW w:w="4111" w:type="dxa"/>
            <w:vAlign w:val="center"/>
          </w:tcPr>
          <w:p w14:paraId="66F84991" w14:textId="26860F7E" w:rsidR="00663B92" w:rsidRPr="00C01B17" w:rsidRDefault="00663B92" w:rsidP="00663B92">
            <w:pPr>
              <w:pStyle w:val="Table"/>
              <w:spacing w:line="276" w:lineRule="auto"/>
              <w:rPr>
                <w:snapToGrid w:val="0"/>
                <w:sz w:val="16"/>
                <w:szCs w:val="18"/>
              </w:rPr>
            </w:pPr>
            <w:proofErr w:type="spellStart"/>
            <w:r w:rsidRPr="00C01B17">
              <w:rPr>
                <w:snapToGrid w:val="0"/>
                <w:sz w:val="16"/>
                <w:szCs w:val="18"/>
              </w:rPr>
              <w:t>Einal</w:t>
            </w:r>
            <w:proofErr w:type="spellEnd"/>
            <w:r w:rsidRPr="00C01B17">
              <w:rPr>
                <w:snapToGrid w:val="0"/>
                <w:sz w:val="16"/>
                <w:szCs w:val="18"/>
              </w:rPr>
              <w:t xml:space="preserve"> = f</w:t>
            </w:r>
            <w:r w:rsidRPr="00C01B17">
              <w:rPr>
                <w:snapToGrid w:val="0"/>
                <w:sz w:val="16"/>
                <w:szCs w:val="18"/>
                <w:vertAlign w:val="subscript"/>
              </w:rPr>
              <w:t>2</w:t>
            </w:r>
            <w:r w:rsidRPr="00C01B17">
              <w:rPr>
                <w:snapToGrid w:val="0"/>
                <w:sz w:val="16"/>
                <w:szCs w:val="18"/>
              </w:rPr>
              <w:t xml:space="preserve"> (substances factors)</w:t>
            </w:r>
          </w:p>
        </w:tc>
      </w:tr>
      <w:tr w:rsidR="008A4077" w:rsidRPr="00C01B17" w14:paraId="5DBFEA55" w14:textId="77777777" w:rsidTr="00A63C5D">
        <w:trPr>
          <w:trHeight w:val="200"/>
        </w:trPr>
        <w:tc>
          <w:tcPr>
            <w:tcW w:w="2551" w:type="dxa"/>
            <w:tcBorders>
              <w:bottom w:val="single" w:sz="4" w:space="0" w:color="auto"/>
            </w:tcBorders>
            <w:vAlign w:val="center"/>
          </w:tcPr>
          <w:p w14:paraId="682BDCFE" w14:textId="4E04EDAE" w:rsidR="008A4077" w:rsidRPr="00C01B17" w:rsidRDefault="008A4077" w:rsidP="00663B92">
            <w:pPr>
              <w:pStyle w:val="Table"/>
              <w:spacing w:line="276" w:lineRule="auto"/>
              <w:rPr>
                <w:snapToGrid w:val="0"/>
                <w:sz w:val="16"/>
                <w:szCs w:val="18"/>
              </w:rPr>
            </w:pPr>
            <w:r w:rsidRPr="00C01B17">
              <w:rPr>
                <w:snapToGrid w:val="0"/>
                <w:sz w:val="16"/>
                <w:szCs w:val="18"/>
              </w:rPr>
              <w:t>Exposure index by skin contact</w:t>
            </w:r>
          </w:p>
        </w:tc>
        <w:tc>
          <w:tcPr>
            <w:tcW w:w="4111" w:type="dxa"/>
            <w:tcBorders>
              <w:bottom w:val="single" w:sz="4" w:space="0" w:color="auto"/>
            </w:tcBorders>
            <w:vAlign w:val="center"/>
          </w:tcPr>
          <w:p w14:paraId="75C9E76B" w14:textId="3BAEDB39" w:rsidR="008A4077" w:rsidRPr="00C01B17" w:rsidRDefault="008A4077" w:rsidP="00663B92">
            <w:pPr>
              <w:pStyle w:val="Table"/>
              <w:spacing w:line="276" w:lineRule="auto"/>
              <w:rPr>
                <w:snapToGrid w:val="0"/>
                <w:sz w:val="16"/>
                <w:szCs w:val="18"/>
              </w:rPr>
            </w:pPr>
            <w:proofErr w:type="spellStart"/>
            <w:r w:rsidRPr="00C01B17">
              <w:rPr>
                <w:snapToGrid w:val="0"/>
                <w:sz w:val="16"/>
                <w:szCs w:val="18"/>
              </w:rPr>
              <w:t>Eskin</w:t>
            </w:r>
            <w:proofErr w:type="spellEnd"/>
            <w:r w:rsidRPr="00C01B17">
              <w:rPr>
                <w:snapToGrid w:val="0"/>
                <w:sz w:val="16"/>
                <w:szCs w:val="18"/>
              </w:rPr>
              <w:t xml:space="preserve"> = f</w:t>
            </w:r>
            <w:r w:rsidRPr="00C01B17">
              <w:rPr>
                <w:snapToGrid w:val="0"/>
                <w:sz w:val="16"/>
                <w:szCs w:val="18"/>
                <w:vertAlign w:val="subscript"/>
              </w:rPr>
              <w:t>3</w:t>
            </w:r>
            <w:r w:rsidRPr="00C01B17">
              <w:rPr>
                <w:snapToGrid w:val="0"/>
                <w:sz w:val="16"/>
                <w:szCs w:val="18"/>
              </w:rPr>
              <w:t xml:space="preserve"> (substances factors)</w:t>
            </w:r>
          </w:p>
        </w:tc>
      </w:tr>
      <w:tr w:rsidR="008A4077" w:rsidRPr="00C01B17" w14:paraId="0F408D96" w14:textId="77777777" w:rsidTr="00A63C5D">
        <w:trPr>
          <w:trHeight w:val="200"/>
        </w:trPr>
        <w:tc>
          <w:tcPr>
            <w:tcW w:w="2551" w:type="dxa"/>
            <w:tcBorders>
              <w:top w:val="single" w:sz="4" w:space="0" w:color="auto"/>
            </w:tcBorders>
            <w:vAlign w:val="center"/>
          </w:tcPr>
          <w:p w14:paraId="3823F2AD" w14:textId="77777777" w:rsidR="00E067F0" w:rsidRDefault="008A4077" w:rsidP="00663B92">
            <w:pPr>
              <w:pStyle w:val="Table"/>
              <w:spacing w:line="276" w:lineRule="auto"/>
              <w:rPr>
                <w:snapToGrid w:val="0"/>
                <w:sz w:val="16"/>
                <w:szCs w:val="18"/>
              </w:rPr>
            </w:pPr>
            <w:r w:rsidRPr="00C01B17">
              <w:rPr>
                <w:snapToGrid w:val="0"/>
                <w:sz w:val="16"/>
                <w:szCs w:val="18"/>
              </w:rPr>
              <w:t>f</w:t>
            </w:r>
            <w:r w:rsidRPr="00C01B17">
              <w:rPr>
                <w:snapToGrid w:val="0"/>
                <w:sz w:val="16"/>
                <w:szCs w:val="18"/>
                <w:vertAlign w:val="subscript"/>
              </w:rPr>
              <w:t>1</w:t>
            </w:r>
            <w:r w:rsidRPr="00C01B17">
              <w:rPr>
                <w:snapToGrid w:val="0"/>
                <w:sz w:val="16"/>
                <w:szCs w:val="18"/>
              </w:rPr>
              <w:t xml:space="preserve"> (hazard factors</w:t>
            </w:r>
            <w:r w:rsidR="00E067F0">
              <w:rPr>
                <w:snapToGrid w:val="0"/>
                <w:sz w:val="16"/>
                <w:szCs w:val="18"/>
              </w:rPr>
              <w:t>)</w:t>
            </w:r>
          </w:p>
          <w:p w14:paraId="223E83C6" w14:textId="5BA3DB61" w:rsidR="008A4077" w:rsidRPr="00C01B17" w:rsidRDefault="00E067F0" w:rsidP="00663B92">
            <w:pPr>
              <w:pStyle w:val="Table"/>
              <w:spacing w:line="276" w:lineRule="auto"/>
              <w:rPr>
                <w:snapToGrid w:val="0"/>
                <w:sz w:val="16"/>
                <w:szCs w:val="18"/>
              </w:rPr>
            </w:pPr>
            <w:r w:rsidRPr="00E067F0">
              <w:rPr>
                <w:snapToGrid w:val="0"/>
                <w:sz w:val="16"/>
                <w:szCs w:val="18"/>
              </w:rPr>
              <w:t>(EC, 2003</w:t>
            </w:r>
            <w:r>
              <w:rPr>
                <w:snapToGrid w:val="0"/>
                <w:sz w:val="16"/>
                <w:szCs w:val="18"/>
              </w:rPr>
              <w:t>)</w:t>
            </w:r>
          </w:p>
        </w:tc>
        <w:tc>
          <w:tcPr>
            <w:tcW w:w="4111" w:type="dxa"/>
            <w:tcBorders>
              <w:top w:val="single" w:sz="4" w:space="0" w:color="auto"/>
            </w:tcBorders>
            <w:vAlign w:val="center"/>
          </w:tcPr>
          <w:p w14:paraId="535216C6" w14:textId="62E4EE52" w:rsidR="008A4077" w:rsidRPr="00C01B17" w:rsidRDefault="008A4077" w:rsidP="00B22952">
            <w:pPr>
              <w:pStyle w:val="Table"/>
              <w:spacing w:line="276" w:lineRule="auto"/>
              <w:rPr>
                <w:snapToGrid w:val="0"/>
                <w:sz w:val="16"/>
                <w:szCs w:val="18"/>
              </w:rPr>
            </w:pPr>
            <w:r w:rsidRPr="00C01B17">
              <w:rPr>
                <w:snapToGrid w:val="0"/>
                <w:sz w:val="16"/>
                <w:szCs w:val="18"/>
              </w:rPr>
              <w:t>acute toxicity, skin corrosion or irritation, serious eye damage or eye irritation, respiratory or skin sensitization, specific target organ toxicity, dangers for aquatic environment</w:t>
            </w:r>
          </w:p>
        </w:tc>
      </w:tr>
      <w:tr w:rsidR="008A4077" w:rsidRPr="00C01B17" w14:paraId="24AECD6F" w14:textId="77777777" w:rsidTr="00A63C5D">
        <w:trPr>
          <w:trHeight w:val="200"/>
        </w:trPr>
        <w:tc>
          <w:tcPr>
            <w:tcW w:w="2551" w:type="dxa"/>
            <w:tcBorders>
              <w:bottom w:val="single" w:sz="4" w:space="0" w:color="auto"/>
            </w:tcBorders>
            <w:vAlign w:val="center"/>
          </w:tcPr>
          <w:p w14:paraId="2B6C660F" w14:textId="5CAEE44A" w:rsidR="00587BE4" w:rsidRPr="00C01B17" w:rsidRDefault="00587BE4" w:rsidP="00663B92">
            <w:pPr>
              <w:pStyle w:val="Table"/>
              <w:spacing w:line="276" w:lineRule="auto"/>
              <w:rPr>
                <w:snapToGrid w:val="0"/>
                <w:sz w:val="16"/>
                <w:szCs w:val="18"/>
              </w:rPr>
            </w:pPr>
            <w:r w:rsidRPr="00C01B17">
              <w:rPr>
                <w:snapToGrid w:val="0"/>
                <w:sz w:val="16"/>
                <w:szCs w:val="18"/>
              </w:rPr>
              <w:t>f</w:t>
            </w:r>
            <w:r w:rsidRPr="00C01B17">
              <w:rPr>
                <w:snapToGrid w:val="0"/>
                <w:sz w:val="16"/>
                <w:szCs w:val="18"/>
                <w:vertAlign w:val="subscript"/>
              </w:rPr>
              <w:t>2</w:t>
            </w:r>
            <w:r w:rsidRPr="00C01B17">
              <w:rPr>
                <w:snapToGrid w:val="0"/>
                <w:sz w:val="16"/>
                <w:szCs w:val="18"/>
              </w:rPr>
              <w:t xml:space="preserve"> (substances factors</w:t>
            </w:r>
            <w:r w:rsidR="00A63C5D" w:rsidRPr="00C01B17">
              <w:rPr>
                <w:snapToGrid w:val="0"/>
                <w:sz w:val="16"/>
                <w:szCs w:val="18"/>
              </w:rPr>
              <w:t>)</w:t>
            </w:r>
            <w:r w:rsidRPr="00C01B17">
              <w:rPr>
                <w:snapToGrid w:val="0"/>
                <w:sz w:val="16"/>
                <w:szCs w:val="18"/>
              </w:rPr>
              <w:t xml:space="preserve"> </w:t>
            </w:r>
          </w:p>
          <w:p w14:paraId="6A4E46B0" w14:textId="77777777" w:rsidR="00E067F0" w:rsidRDefault="008A4077" w:rsidP="00663B92">
            <w:pPr>
              <w:pStyle w:val="Table"/>
              <w:spacing w:line="276" w:lineRule="auto"/>
              <w:rPr>
                <w:snapToGrid w:val="0"/>
                <w:sz w:val="16"/>
                <w:szCs w:val="18"/>
              </w:rPr>
            </w:pPr>
            <w:r w:rsidRPr="00C01B17">
              <w:rPr>
                <w:snapToGrid w:val="0"/>
                <w:sz w:val="16"/>
                <w:szCs w:val="18"/>
              </w:rPr>
              <w:t>f</w:t>
            </w:r>
            <w:r w:rsidRPr="00C01B17">
              <w:rPr>
                <w:snapToGrid w:val="0"/>
                <w:sz w:val="16"/>
                <w:szCs w:val="18"/>
                <w:vertAlign w:val="subscript"/>
              </w:rPr>
              <w:t>3</w:t>
            </w:r>
            <w:r w:rsidRPr="00C01B17">
              <w:rPr>
                <w:snapToGrid w:val="0"/>
                <w:sz w:val="16"/>
                <w:szCs w:val="18"/>
              </w:rPr>
              <w:t xml:space="preserve"> </w:t>
            </w:r>
            <w:r w:rsidR="00A63C5D" w:rsidRPr="00C01B17">
              <w:rPr>
                <w:snapToGrid w:val="0"/>
                <w:sz w:val="16"/>
                <w:szCs w:val="18"/>
              </w:rPr>
              <w:t>(</w:t>
            </w:r>
            <w:r w:rsidRPr="00C01B17">
              <w:rPr>
                <w:snapToGrid w:val="0"/>
                <w:sz w:val="16"/>
                <w:szCs w:val="18"/>
              </w:rPr>
              <w:t>substances factors</w:t>
            </w:r>
            <w:r w:rsidR="00A63C5D" w:rsidRPr="00C01B17">
              <w:rPr>
                <w:snapToGrid w:val="0"/>
                <w:sz w:val="16"/>
                <w:szCs w:val="18"/>
              </w:rPr>
              <w:t>)</w:t>
            </w:r>
            <w:r w:rsidR="00E067F0" w:rsidRPr="00E067F0">
              <w:rPr>
                <w:snapToGrid w:val="0"/>
                <w:sz w:val="16"/>
                <w:szCs w:val="18"/>
              </w:rPr>
              <w:t xml:space="preserve"> </w:t>
            </w:r>
          </w:p>
          <w:p w14:paraId="02A5337A" w14:textId="57FACB97" w:rsidR="008A4077" w:rsidRPr="00C01B17" w:rsidRDefault="00E067F0" w:rsidP="00663B92">
            <w:pPr>
              <w:pStyle w:val="Table"/>
              <w:spacing w:line="276" w:lineRule="auto"/>
              <w:rPr>
                <w:snapToGrid w:val="0"/>
                <w:sz w:val="16"/>
                <w:szCs w:val="18"/>
              </w:rPr>
            </w:pPr>
            <w:r>
              <w:rPr>
                <w:snapToGrid w:val="0"/>
                <w:sz w:val="16"/>
                <w:szCs w:val="18"/>
              </w:rPr>
              <w:t>(</w:t>
            </w:r>
            <w:proofErr w:type="spellStart"/>
            <w:r w:rsidRPr="00E067F0">
              <w:rPr>
                <w:snapToGrid w:val="0"/>
                <w:sz w:val="16"/>
                <w:szCs w:val="18"/>
              </w:rPr>
              <w:t>Regione</w:t>
            </w:r>
            <w:proofErr w:type="spellEnd"/>
            <w:r w:rsidRPr="00E067F0">
              <w:rPr>
                <w:snapToGrid w:val="0"/>
                <w:sz w:val="16"/>
                <w:szCs w:val="18"/>
              </w:rPr>
              <w:t xml:space="preserve"> Toscana et al, 2018)</w:t>
            </w:r>
          </w:p>
        </w:tc>
        <w:tc>
          <w:tcPr>
            <w:tcW w:w="4111" w:type="dxa"/>
            <w:tcBorders>
              <w:bottom w:val="single" w:sz="4" w:space="0" w:color="auto"/>
            </w:tcBorders>
            <w:vAlign w:val="center"/>
          </w:tcPr>
          <w:p w14:paraId="16B479BC" w14:textId="2B700FED" w:rsidR="008A4077" w:rsidRPr="00C01B17" w:rsidRDefault="00B22952" w:rsidP="00663B92">
            <w:pPr>
              <w:pStyle w:val="Table"/>
              <w:spacing w:line="276" w:lineRule="auto"/>
              <w:rPr>
                <w:snapToGrid w:val="0"/>
                <w:sz w:val="16"/>
                <w:szCs w:val="18"/>
              </w:rPr>
            </w:pPr>
            <w:r w:rsidRPr="00C01B17">
              <w:rPr>
                <w:snapToGrid w:val="0"/>
                <w:sz w:val="16"/>
                <w:szCs w:val="18"/>
              </w:rPr>
              <w:t>chemical-physical characteristics, quantities and concentration in use, conditions and procedures of use, possibility of dispersion, protective measures adopted, exposure time, distance from source</w:t>
            </w:r>
          </w:p>
        </w:tc>
      </w:tr>
    </w:tbl>
    <w:p w14:paraId="5EC38225" w14:textId="0D64B0F8" w:rsidR="003E64EF" w:rsidRDefault="003E64EF" w:rsidP="00220AAC">
      <w:pPr>
        <w:pStyle w:val="Abstract"/>
        <w:tabs>
          <w:tab w:val="left" w:pos="6379"/>
        </w:tabs>
        <w:spacing w:line="276" w:lineRule="auto"/>
        <w:ind w:left="0" w:right="-30"/>
        <w:rPr>
          <w:snapToGrid/>
          <w:sz w:val="24"/>
        </w:rPr>
      </w:pPr>
    </w:p>
    <w:p w14:paraId="60C55571" w14:textId="722232FB" w:rsidR="00220AAC" w:rsidRDefault="00220AAC" w:rsidP="00220AAC">
      <w:pPr>
        <w:pStyle w:val="Abstract"/>
        <w:tabs>
          <w:tab w:val="left" w:pos="6379"/>
        </w:tabs>
        <w:spacing w:line="276" w:lineRule="auto"/>
        <w:ind w:left="0" w:right="-30"/>
        <w:rPr>
          <w:snapToGrid/>
          <w:sz w:val="24"/>
        </w:rPr>
      </w:pPr>
      <w:r w:rsidRPr="00220AAC">
        <w:rPr>
          <w:snapToGrid/>
          <w:sz w:val="24"/>
        </w:rPr>
        <w:t xml:space="preserve">In the </w:t>
      </w:r>
      <w:r w:rsidR="00C31855" w:rsidRPr="00220AAC">
        <w:rPr>
          <w:snapToGrid/>
          <w:sz w:val="24"/>
        </w:rPr>
        <w:t>fourth</w:t>
      </w:r>
      <w:r w:rsidRPr="00220AAC">
        <w:rPr>
          <w:snapToGrid/>
          <w:sz w:val="24"/>
        </w:rPr>
        <w:t xml:space="preserve"> step</w:t>
      </w:r>
      <w:r w:rsidR="00C31855">
        <w:rPr>
          <w:snapToGrid/>
          <w:sz w:val="24"/>
        </w:rPr>
        <w:t>,</w:t>
      </w:r>
      <w:r w:rsidRPr="00220AAC">
        <w:rPr>
          <w:snapToGrid/>
          <w:sz w:val="24"/>
        </w:rPr>
        <w:t xml:space="preserve"> the </w:t>
      </w:r>
      <w:r w:rsidR="00C31855">
        <w:rPr>
          <w:snapToGrid/>
          <w:sz w:val="24"/>
        </w:rPr>
        <w:t>E</w:t>
      </w:r>
      <w:r w:rsidRPr="00220AAC">
        <w:rPr>
          <w:snapToGrid/>
          <w:sz w:val="24"/>
        </w:rPr>
        <w:t xml:space="preserve">HS performance of products </w:t>
      </w:r>
      <w:r w:rsidR="00C31855">
        <w:rPr>
          <w:snapToGrid/>
          <w:sz w:val="24"/>
        </w:rPr>
        <w:t xml:space="preserve">is evaluated </w:t>
      </w:r>
      <w:r w:rsidRPr="00220AAC">
        <w:rPr>
          <w:snapToGrid/>
          <w:sz w:val="24"/>
        </w:rPr>
        <w:t xml:space="preserve">by using </w:t>
      </w:r>
      <w:r w:rsidR="00C31855" w:rsidRPr="000263F1">
        <w:rPr>
          <w:snapToGrid/>
          <w:sz w:val="24"/>
        </w:rPr>
        <w:t>the</w:t>
      </w:r>
      <w:r w:rsidRPr="000263F1">
        <w:rPr>
          <w:snapToGrid/>
          <w:sz w:val="24"/>
        </w:rPr>
        <w:t xml:space="preserve"> evaluation matrix</w:t>
      </w:r>
      <w:r w:rsidR="00A63C5D" w:rsidRPr="000263F1">
        <w:rPr>
          <w:snapToGrid/>
          <w:sz w:val="24"/>
        </w:rPr>
        <w:t xml:space="preserve"> in figure 3, in which t</w:t>
      </w:r>
      <w:r w:rsidRPr="000263F1">
        <w:rPr>
          <w:snapToGrid/>
          <w:sz w:val="24"/>
        </w:rPr>
        <w:t xml:space="preserve">he </w:t>
      </w:r>
      <w:r w:rsidR="00A63C5D" w:rsidRPr="000263F1">
        <w:rPr>
          <w:snapToGrid/>
          <w:sz w:val="24"/>
        </w:rPr>
        <w:t xml:space="preserve">EHS </w:t>
      </w:r>
      <w:r w:rsidRPr="000263F1">
        <w:rPr>
          <w:snapToGrid/>
          <w:sz w:val="24"/>
        </w:rPr>
        <w:t xml:space="preserve">risk index values </w:t>
      </w:r>
      <w:r w:rsidR="00A63C5D" w:rsidRPr="000263F1">
        <w:rPr>
          <w:snapToGrid/>
          <w:sz w:val="24"/>
        </w:rPr>
        <w:t>are</w:t>
      </w:r>
      <w:r w:rsidRPr="00220AAC">
        <w:rPr>
          <w:snapToGrid/>
          <w:sz w:val="24"/>
        </w:rPr>
        <w:t xml:space="preserve"> distinguished in 5 categories</w:t>
      </w:r>
      <w:r w:rsidR="00A63C5D">
        <w:rPr>
          <w:snapToGrid/>
          <w:sz w:val="24"/>
        </w:rPr>
        <w:t xml:space="preserve"> with related risks </w:t>
      </w:r>
      <w:r w:rsidRPr="00220AAC">
        <w:rPr>
          <w:snapToGrid/>
          <w:sz w:val="24"/>
        </w:rPr>
        <w:t>evaluation.</w:t>
      </w:r>
    </w:p>
    <w:p w14:paraId="250AADB0" w14:textId="4F03D167" w:rsidR="00A63C5D" w:rsidRDefault="00A63C5D" w:rsidP="00220AAC">
      <w:pPr>
        <w:pStyle w:val="Abstract"/>
        <w:tabs>
          <w:tab w:val="left" w:pos="6379"/>
        </w:tabs>
        <w:spacing w:line="276" w:lineRule="auto"/>
        <w:ind w:left="0" w:right="-30"/>
        <w:rPr>
          <w:snapToGrid/>
          <w:sz w:val="24"/>
        </w:rPr>
      </w:pPr>
    </w:p>
    <w:p w14:paraId="608531AF" w14:textId="295BD771" w:rsidR="00A63C5D" w:rsidRDefault="00E067F0" w:rsidP="00220AAC">
      <w:pPr>
        <w:pStyle w:val="Abstract"/>
        <w:tabs>
          <w:tab w:val="left" w:pos="6379"/>
        </w:tabs>
        <w:spacing w:line="276" w:lineRule="auto"/>
        <w:ind w:left="0" w:right="-30"/>
        <w:rPr>
          <w:snapToGrid/>
          <w:sz w:val="24"/>
        </w:rPr>
      </w:pPr>
      <w:r>
        <w:rPr>
          <w:noProof/>
          <w:snapToGrid/>
          <w:sz w:val="24"/>
        </w:rPr>
        <w:lastRenderedPageBreak/>
        <w:drawing>
          <wp:inline distT="0" distB="0" distL="0" distR="0" wp14:anchorId="7757AF02" wp14:editId="5F264136">
            <wp:extent cx="3534770" cy="1081471"/>
            <wp:effectExtent l="0" t="0" r="8890" b="444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100" cy="1097482"/>
                    </a:xfrm>
                    <a:prstGeom prst="rect">
                      <a:avLst/>
                    </a:prstGeom>
                    <a:noFill/>
                  </pic:spPr>
                </pic:pic>
              </a:graphicData>
            </a:graphic>
          </wp:inline>
        </w:drawing>
      </w:r>
    </w:p>
    <w:p w14:paraId="3A099AC0" w14:textId="4C7F699F" w:rsidR="00A63C5D" w:rsidRPr="00C743E4" w:rsidRDefault="00A63C5D" w:rsidP="00A63C5D">
      <w:pPr>
        <w:pStyle w:val="FigureCaption"/>
        <w:spacing w:line="276" w:lineRule="auto"/>
      </w:pPr>
      <w:r w:rsidRPr="00C743E4">
        <w:t xml:space="preserve">Figure </w:t>
      </w:r>
      <w:r>
        <w:t>3</w:t>
      </w:r>
      <w:r w:rsidRPr="00C743E4">
        <w:t xml:space="preserve">: LC-RA </w:t>
      </w:r>
      <w:r>
        <w:t>matrix</w:t>
      </w:r>
    </w:p>
    <w:p w14:paraId="1CEFA8F0" w14:textId="44BF7366" w:rsidR="001D64D4" w:rsidRDefault="001D64D4" w:rsidP="000B44D9">
      <w:pPr>
        <w:pStyle w:val="Abstract"/>
        <w:tabs>
          <w:tab w:val="left" w:pos="6379"/>
        </w:tabs>
        <w:spacing w:line="276" w:lineRule="auto"/>
        <w:ind w:left="0" w:right="-30"/>
        <w:rPr>
          <w:snapToGrid/>
          <w:sz w:val="24"/>
        </w:rPr>
      </w:pPr>
    </w:p>
    <w:p w14:paraId="40F76638" w14:textId="41D318ED" w:rsidR="00220AAC" w:rsidRPr="008C685C" w:rsidRDefault="00220AAC" w:rsidP="00C442C9">
      <w:pPr>
        <w:pStyle w:val="Titolo1"/>
        <w:numPr>
          <w:ilvl w:val="1"/>
          <w:numId w:val="12"/>
        </w:numPr>
        <w:tabs>
          <w:tab w:val="num" w:pos="360"/>
        </w:tabs>
        <w:spacing w:before="0" w:after="0" w:line="276" w:lineRule="auto"/>
        <w:rPr>
          <w:snapToGrid w:val="0"/>
        </w:rPr>
      </w:pPr>
      <w:r>
        <w:rPr>
          <w:snapToGrid w:val="0"/>
        </w:rPr>
        <w:t>Results</w:t>
      </w:r>
    </w:p>
    <w:p w14:paraId="7FBAE432" w14:textId="3FD151B1" w:rsidR="00220AAC" w:rsidRDefault="00220AAC" w:rsidP="000B44D9">
      <w:pPr>
        <w:pStyle w:val="Abstract"/>
        <w:tabs>
          <w:tab w:val="left" w:pos="6379"/>
        </w:tabs>
        <w:spacing w:line="276" w:lineRule="auto"/>
        <w:ind w:left="0" w:right="-30"/>
        <w:rPr>
          <w:snapToGrid/>
          <w:sz w:val="24"/>
        </w:rPr>
      </w:pPr>
    </w:p>
    <w:p w14:paraId="6072A667" w14:textId="767179D9" w:rsidR="00C01B17" w:rsidRDefault="00220AAC" w:rsidP="00C01B17">
      <w:pPr>
        <w:pStyle w:val="Abstract"/>
        <w:tabs>
          <w:tab w:val="left" w:pos="6379"/>
        </w:tabs>
        <w:spacing w:line="276" w:lineRule="auto"/>
        <w:ind w:left="0" w:right="-30"/>
        <w:rPr>
          <w:snapToGrid/>
          <w:sz w:val="24"/>
        </w:rPr>
      </w:pPr>
      <w:r w:rsidRPr="000263F1">
        <w:rPr>
          <w:snapToGrid/>
          <w:sz w:val="24"/>
        </w:rPr>
        <w:t xml:space="preserve">Table </w:t>
      </w:r>
      <w:r w:rsidR="00B22952" w:rsidRPr="000263F1">
        <w:rPr>
          <w:snapToGrid/>
          <w:sz w:val="24"/>
        </w:rPr>
        <w:t>2</w:t>
      </w:r>
      <w:r w:rsidRPr="000263F1">
        <w:rPr>
          <w:snapToGrid/>
          <w:sz w:val="24"/>
        </w:rPr>
        <w:t xml:space="preserve"> summarizes the results obtained by LC-R identification and analysis</w:t>
      </w:r>
      <w:r w:rsidRPr="00220AAC">
        <w:rPr>
          <w:snapToGrid/>
          <w:sz w:val="24"/>
        </w:rPr>
        <w:t xml:space="preserve"> related products A and B. </w:t>
      </w:r>
      <w:r>
        <w:rPr>
          <w:snapToGrid/>
          <w:sz w:val="24"/>
        </w:rPr>
        <w:t>T</w:t>
      </w:r>
      <w:r w:rsidRPr="00220AAC">
        <w:rPr>
          <w:snapToGrid/>
          <w:sz w:val="24"/>
        </w:rPr>
        <w:t xml:space="preserve">he activities using dangerous substances are more numerous in LC of product B than in LC of product A. </w:t>
      </w:r>
      <w:r w:rsidR="00C01B17">
        <w:rPr>
          <w:snapToGrid/>
          <w:sz w:val="24"/>
        </w:rPr>
        <w:t>T</w:t>
      </w:r>
      <w:r w:rsidRPr="00220AAC">
        <w:rPr>
          <w:snapToGrid/>
          <w:sz w:val="24"/>
        </w:rPr>
        <w:t>he risks associated to activities in LC of product B are more relevant than those in LC of product A.</w:t>
      </w:r>
      <w:r>
        <w:rPr>
          <w:snapToGrid/>
          <w:sz w:val="24"/>
        </w:rPr>
        <w:t xml:space="preserve"> </w:t>
      </w:r>
      <w:r w:rsidR="00C01B17">
        <w:rPr>
          <w:snapToGrid/>
          <w:sz w:val="24"/>
        </w:rPr>
        <w:t>F</w:t>
      </w:r>
      <w:r w:rsidRPr="00220AAC">
        <w:rPr>
          <w:snapToGrid/>
          <w:sz w:val="24"/>
        </w:rPr>
        <w:t>ew activities have achieved a medium risk index</w:t>
      </w:r>
      <w:r w:rsidR="00C01B17">
        <w:rPr>
          <w:snapToGrid/>
          <w:sz w:val="24"/>
        </w:rPr>
        <w:t xml:space="preserve"> (</w:t>
      </w:r>
      <w:r w:rsidRPr="00220AAC">
        <w:rPr>
          <w:snapToGrid/>
          <w:sz w:val="24"/>
        </w:rPr>
        <w:t>orang</w:t>
      </w:r>
      <w:r w:rsidR="00C01B17">
        <w:rPr>
          <w:snapToGrid/>
          <w:sz w:val="24"/>
        </w:rPr>
        <w:t>e)</w:t>
      </w:r>
      <w:r w:rsidRPr="00220AAC">
        <w:rPr>
          <w:snapToGrid/>
          <w:sz w:val="24"/>
        </w:rPr>
        <w:t xml:space="preserve"> both in product A and B, and no activity achieved high or serious evaluation.</w:t>
      </w:r>
      <w:r w:rsidR="00E067F0">
        <w:rPr>
          <w:snapToGrid/>
          <w:sz w:val="24"/>
        </w:rPr>
        <w:t xml:space="preserve"> In general, p</w:t>
      </w:r>
      <w:r w:rsidR="00C01B17" w:rsidRPr="00220AAC">
        <w:rPr>
          <w:snapToGrid/>
          <w:sz w:val="24"/>
        </w:rPr>
        <w:t>roduct A has better performance, since compared to product B</w:t>
      </w:r>
      <w:r w:rsidR="00C01B17">
        <w:rPr>
          <w:snapToGrid/>
          <w:sz w:val="24"/>
        </w:rPr>
        <w:t>, and</w:t>
      </w:r>
      <w:r w:rsidR="00C01B17" w:rsidRPr="00220AAC">
        <w:rPr>
          <w:snapToGrid/>
          <w:sz w:val="24"/>
        </w:rPr>
        <w:t xml:space="preserve"> finishing phase </w:t>
      </w:r>
      <w:r w:rsidR="00C01B17">
        <w:rPr>
          <w:snapToGrid/>
          <w:sz w:val="24"/>
        </w:rPr>
        <w:t>has</w:t>
      </w:r>
      <w:r w:rsidR="00C01B17" w:rsidRPr="00220AAC">
        <w:rPr>
          <w:snapToGrid/>
          <w:sz w:val="24"/>
        </w:rPr>
        <w:t xml:space="preserve"> </w:t>
      </w:r>
      <w:r w:rsidR="00C01B17">
        <w:rPr>
          <w:snapToGrid/>
          <w:sz w:val="24"/>
        </w:rPr>
        <w:t>several</w:t>
      </w:r>
      <w:r w:rsidR="00C01B17" w:rsidRPr="00220AAC">
        <w:rPr>
          <w:snapToGrid/>
          <w:sz w:val="24"/>
        </w:rPr>
        <w:t xml:space="preserve"> dangerous activities.</w:t>
      </w:r>
    </w:p>
    <w:p w14:paraId="6AE1B3D4" w14:textId="77777777" w:rsidR="00E067F0" w:rsidRDefault="00E067F0" w:rsidP="00E067F0">
      <w:pPr>
        <w:pStyle w:val="Abstract"/>
        <w:tabs>
          <w:tab w:val="left" w:pos="6379"/>
        </w:tabs>
        <w:spacing w:line="276" w:lineRule="auto"/>
        <w:ind w:left="0" w:right="-30"/>
        <w:rPr>
          <w:snapToGrid/>
          <w:sz w:val="24"/>
        </w:rPr>
      </w:pPr>
    </w:p>
    <w:p w14:paraId="6FBCA9E6" w14:textId="77777777" w:rsidR="00E067F0" w:rsidRPr="00C743E4" w:rsidRDefault="00E067F0" w:rsidP="00E067F0">
      <w:pPr>
        <w:pStyle w:val="FigureCaption"/>
        <w:spacing w:line="276" w:lineRule="auto"/>
        <w:jc w:val="center"/>
      </w:pPr>
      <w:r w:rsidRPr="00C743E4">
        <w:t>Table 2: Results of LC-RA related to products A and B</w:t>
      </w:r>
    </w:p>
    <w:tbl>
      <w:tblPr>
        <w:tblW w:w="7244" w:type="dxa"/>
        <w:tblInd w:w="-14" w:type="dxa"/>
        <w:tblLayout w:type="fixed"/>
        <w:tblCellMar>
          <w:left w:w="0" w:type="dxa"/>
          <w:right w:w="0" w:type="dxa"/>
        </w:tblCellMar>
        <w:tblLook w:val="04A0" w:firstRow="1" w:lastRow="0" w:firstColumn="1" w:lastColumn="0" w:noHBand="0" w:noVBand="1"/>
      </w:tblPr>
      <w:tblGrid>
        <w:gridCol w:w="2849"/>
        <w:gridCol w:w="2127"/>
        <w:gridCol w:w="426"/>
        <w:gridCol w:w="708"/>
        <w:gridCol w:w="567"/>
        <w:gridCol w:w="567"/>
      </w:tblGrid>
      <w:tr w:rsidR="00E067F0" w:rsidRPr="009C1F95" w14:paraId="7E279957" w14:textId="77777777" w:rsidTr="00654A25">
        <w:trPr>
          <w:trHeight w:val="229"/>
        </w:trPr>
        <w:tc>
          <w:tcPr>
            <w:tcW w:w="2849"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33CECD53" w14:textId="77777777" w:rsidR="00E067F0" w:rsidRPr="001952D3" w:rsidRDefault="00E067F0" w:rsidP="00654A25">
            <w:pPr>
              <w:pStyle w:val="Abstract"/>
              <w:tabs>
                <w:tab w:val="left" w:pos="6379"/>
              </w:tabs>
              <w:spacing w:line="276" w:lineRule="auto"/>
              <w:ind w:right="-30"/>
              <w:jc w:val="left"/>
              <w:rPr>
                <w:sz w:val="14"/>
                <w:szCs w:val="10"/>
                <w:lang w:val="en-GB"/>
              </w:rPr>
            </w:pPr>
            <w:r w:rsidRPr="009C1F95">
              <w:rPr>
                <w:sz w:val="14"/>
                <w:szCs w:val="10"/>
                <w:lang w:val="en-GB"/>
              </w:rPr>
              <w:t> </w:t>
            </w:r>
          </w:p>
        </w:tc>
        <w:tc>
          <w:tcPr>
            <w:tcW w:w="2127"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1FA7AADE" w14:textId="77777777" w:rsidR="00E067F0" w:rsidRPr="001952D3" w:rsidRDefault="00E067F0" w:rsidP="00654A25">
            <w:pPr>
              <w:pStyle w:val="Abstract"/>
              <w:tabs>
                <w:tab w:val="left" w:pos="6379"/>
              </w:tabs>
              <w:spacing w:line="276" w:lineRule="auto"/>
              <w:ind w:right="-30"/>
              <w:jc w:val="left"/>
              <w:rPr>
                <w:sz w:val="14"/>
                <w:szCs w:val="10"/>
                <w:lang w:val="en-GB"/>
              </w:rPr>
            </w:pPr>
          </w:p>
        </w:tc>
        <w:tc>
          <w:tcPr>
            <w:tcW w:w="1134" w:type="dxa"/>
            <w:gridSpan w:val="2"/>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7E52C596" w14:textId="77777777" w:rsidR="00E067F0" w:rsidRPr="009C1F95" w:rsidRDefault="00E067F0" w:rsidP="00654A25">
            <w:pPr>
              <w:pStyle w:val="Abstract"/>
              <w:tabs>
                <w:tab w:val="left" w:pos="6379"/>
              </w:tabs>
              <w:spacing w:line="276" w:lineRule="auto"/>
              <w:ind w:right="-30"/>
              <w:rPr>
                <w:sz w:val="14"/>
                <w:szCs w:val="10"/>
                <w:lang w:val="it-IT"/>
              </w:rPr>
            </w:pPr>
            <w:r w:rsidRPr="009C1F95">
              <w:rPr>
                <w:sz w:val="14"/>
                <w:szCs w:val="10"/>
                <w:lang w:val="en-GB"/>
              </w:rPr>
              <w:t>Product A</w:t>
            </w:r>
          </w:p>
        </w:tc>
        <w:tc>
          <w:tcPr>
            <w:tcW w:w="1134" w:type="dxa"/>
            <w:gridSpan w:val="2"/>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4872FB83" w14:textId="77777777" w:rsidR="00E067F0" w:rsidRPr="009C1F95" w:rsidRDefault="00E067F0" w:rsidP="00654A25">
            <w:pPr>
              <w:pStyle w:val="Abstract"/>
              <w:tabs>
                <w:tab w:val="left" w:pos="6379"/>
              </w:tabs>
              <w:spacing w:line="276" w:lineRule="auto"/>
              <w:ind w:right="-30"/>
              <w:rPr>
                <w:sz w:val="14"/>
                <w:szCs w:val="10"/>
                <w:lang w:val="it-IT"/>
              </w:rPr>
            </w:pPr>
            <w:r w:rsidRPr="009C1F95">
              <w:rPr>
                <w:sz w:val="14"/>
                <w:szCs w:val="10"/>
                <w:lang w:val="en-GB"/>
              </w:rPr>
              <w:t>Product B</w:t>
            </w:r>
          </w:p>
        </w:tc>
      </w:tr>
      <w:tr w:rsidR="00E067F0" w:rsidRPr="009C1F95" w14:paraId="6AE607AA" w14:textId="77777777" w:rsidTr="00654A25">
        <w:trPr>
          <w:trHeight w:val="293"/>
        </w:trPr>
        <w:tc>
          <w:tcPr>
            <w:tcW w:w="2849" w:type="dxa"/>
            <w:tcBorders>
              <w:top w:val="single" w:sz="8" w:space="0" w:color="000000"/>
              <w:left w:val="single" w:sz="8" w:space="0" w:color="A5A5A5"/>
              <w:bottom w:val="single" w:sz="8" w:space="0" w:color="A5A5A5"/>
              <w:right w:val="nil"/>
            </w:tcBorders>
            <w:shd w:val="clear" w:color="auto" w:fill="FFFFFF"/>
            <w:tcMar>
              <w:top w:w="15" w:type="dxa"/>
              <w:left w:w="70" w:type="dxa"/>
              <w:bottom w:w="0" w:type="dxa"/>
              <w:right w:w="70" w:type="dxa"/>
            </w:tcMar>
            <w:vAlign w:val="center"/>
            <w:hideMark/>
          </w:tcPr>
          <w:p w14:paraId="5032AD1E"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N. of activities with substances/mixtures</w:t>
            </w:r>
          </w:p>
        </w:tc>
        <w:tc>
          <w:tcPr>
            <w:tcW w:w="2127" w:type="dxa"/>
            <w:tcBorders>
              <w:top w:val="single" w:sz="8" w:space="0" w:color="000000"/>
              <w:left w:val="nil"/>
              <w:bottom w:val="single" w:sz="8" w:space="0" w:color="A5A5A5"/>
              <w:right w:val="nil"/>
            </w:tcBorders>
            <w:shd w:val="clear" w:color="auto" w:fill="FFFFFF"/>
            <w:tcMar>
              <w:top w:w="15" w:type="dxa"/>
              <w:left w:w="70" w:type="dxa"/>
              <w:bottom w:w="0" w:type="dxa"/>
              <w:right w:w="70" w:type="dxa"/>
            </w:tcMar>
            <w:vAlign w:val="center"/>
            <w:hideMark/>
          </w:tcPr>
          <w:p w14:paraId="43284452"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w:t>
            </w:r>
            <w:proofErr w:type="spellStart"/>
            <w:r w:rsidRPr="009C1F95">
              <w:rPr>
                <w:sz w:val="14"/>
                <w:szCs w:val="10"/>
                <w:lang w:val="en-GB"/>
              </w:rPr>
              <w:t>Rsubstances</w:t>
            </w:r>
            <w:proofErr w:type="spellEnd"/>
            <w:r w:rsidRPr="009C1F95">
              <w:rPr>
                <w:sz w:val="14"/>
                <w:szCs w:val="10"/>
                <w:lang w:val="en-GB"/>
              </w:rPr>
              <w:t>/mixtures quantified</w:t>
            </w:r>
          </w:p>
        </w:tc>
        <w:tc>
          <w:tcPr>
            <w:tcW w:w="426" w:type="dxa"/>
            <w:tcBorders>
              <w:top w:val="single" w:sz="8" w:space="0" w:color="000000"/>
              <w:left w:val="nil"/>
              <w:bottom w:val="single" w:sz="8" w:space="0" w:color="A5A5A5"/>
              <w:right w:val="nil"/>
            </w:tcBorders>
            <w:shd w:val="clear" w:color="auto" w:fill="FFFFFF"/>
            <w:tcMar>
              <w:top w:w="9" w:type="dxa"/>
              <w:left w:w="9" w:type="dxa"/>
              <w:bottom w:w="0" w:type="dxa"/>
              <w:right w:w="9" w:type="dxa"/>
            </w:tcMar>
            <w:vAlign w:val="center"/>
            <w:hideMark/>
          </w:tcPr>
          <w:p w14:paraId="7AD1D142"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277</w:t>
            </w:r>
          </w:p>
        </w:tc>
        <w:tc>
          <w:tcPr>
            <w:tcW w:w="708" w:type="dxa"/>
            <w:tcBorders>
              <w:top w:val="single" w:sz="8" w:space="0" w:color="000000"/>
              <w:left w:val="nil"/>
              <w:bottom w:val="single" w:sz="8" w:space="0" w:color="A5A5A5"/>
              <w:right w:val="nil"/>
            </w:tcBorders>
            <w:shd w:val="clear" w:color="auto" w:fill="FFFFFF"/>
            <w:tcMar>
              <w:top w:w="9" w:type="dxa"/>
              <w:left w:w="9" w:type="dxa"/>
              <w:bottom w:w="0" w:type="dxa"/>
              <w:right w:w="9" w:type="dxa"/>
            </w:tcMar>
            <w:vAlign w:val="center"/>
            <w:hideMark/>
          </w:tcPr>
          <w:p w14:paraId="5E55B827" w14:textId="77777777" w:rsidR="00E067F0" w:rsidRPr="009C1F95" w:rsidRDefault="00E067F0" w:rsidP="00654A25">
            <w:pPr>
              <w:pStyle w:val="Abstract"/>
              <w:tabs>
                <w:tab w:val="left" w:pos="6379"/>
              </w:tabs>
              <w:spacing w:line="276" w:lineRule="auto"/>
              <w:ind w:left="0" w:right="-30" w:hanging="12"/>
              <w:jc w:val="center"/>
              <w:rPr>
                <w:sz w:val="14"/>
                <w:szCs w:val="10"/>
                <w:lang w:val="it-IT"/>
              </w:rPr>
            </w:pPr>
            <w:r w:rsidRPr="009C1F95">
              <w:rPr>
                <w:i/>
                <w:iCs/>
                <w:sz w:val="14"/>
                <w:szCs w:val="10"/>
                <w:lang w:val="it-IT"/>
              </w:rPr>
              <w:t>100%</w:t>
            </w:r>
          </w:p>
        </w:tc>
        <w:tc>
          <w:tcPr>
            <w:tcW w:w="567" w:type="dxa"/>
            <w:tcBorders>
              <w:top w:val="single" w:sz="8" w:space="0" w:color="000000"/>
              <w:left w:val="nil"/>
              <w:bottom w:val="single" w:sz="8" w:space="0" w:color="A5A5A5"/>
              <w:right w:val="nil"/>
            </w:tcBorders>
            <w:shd w:val="clear" w:color="auto" w:fill="FFFFFF"/>
            <w:tcMar>
              <w:top w:w="9" w:type="dxa"/>
              <w:left w:w="9" w:type="dxa"/>
              <w:bottom w:w="0" w:type="dxa"/>
              <w:right w:w="9" w:type="dxa"/>
            </w:tcMar>
            <w:vAlign w:val="center"/>
            <w:hideMark/>
          </w:tcPr>
          <w:p w14:paraId="19868EA8"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379</w:t>
            </w:r>
          </w:p>
        </w:tc>
        <w:tc>
          <w:tcPr>
            <w:tcW w:w="567" w:type="dxa"/>
            <w:tcBorders>
              <w:top w:val="single" w:sz="8" w:space="0" w:color="000000"/>
              <w:left w:val="nil"/>
              <w:bottom w:val="single" w:sz="8" w:space="0" w:color="A5A5A5"/>
              <w:right w:val="single" w:sz="8" w:space="0" w:color="A5A5A5"/>
            </w:tcBorders>
            <w:shd w:val="clear" w:color="auto" w:fill="FFFFFF"/>
            <w:tcMar>
              <w:top w:w="9" w:type="dxa"/>
              <w:left w:w="9" w:type="dxa"/>
              <w:bottom w:w="0" w:type="dxa"/>
              <w:right w:w="9" w:type="dxa"/>
            </w:tcMar>
            <w:vAlign w:val="center"/>
            <w:hideMark/>
          </w:tcPr>
          <w:p w14:paraId="5A1B7861"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100% </w:t>
            </w:r>
          </w:p>
        </w:tc>
      </w:tr>
      <w:tr w:rsidR="00E067F0" w:rsidRPr="009C1F95" w14:paraId="5D9DBA37" w14:textId="77777777" w:rsidTr="00654A25">
        <w:trPr>
          <w:trHeight w:val="338"/>
        </w:trPr>
        <w:tc>
          <w:tcPr>
            <w:tcW w:w="2849" w:type="dxa"/>
            <w:tcBorders>
              <w:top w:val="single" w:sz="8" w:space="0" w:color="A5A5A5"/>
              <w:left w:val="single" w:sz="8" w:space="0" w:color="A5A5A5"/>
              <w:bottom w:val="single" w:sz="8" w:space="0" w:color="A5A5A5"/>
              <w:right w:val="nil"/>
            </w:tcBorders>
            <w:shd w:val="clear" w:color="auto" w:fill="92D050"/>
            <w:tcMar>
              <w:top w:w="15" w:type="dxa"/>
              <w:left w:w="70" w:type="dxa"/>
              <w:bottom w:w="0" w:type="dxa"/>
              <w:right w:w="70" w:type="dxa"/>
            </w:tcMar>
            <w:vAlign w:val="center"/>
            <w:hideMark/>
          </w:tcPr>
          <w:p w14:paraId="15C0EA37" w14:textId="77777777" w:rsidR="00E067F0" w:rsidRPr="009C1F95" w:rsidRDefault="00E067F0" w:rsidP="00654A25">
            <w:pPr>
              <w:pStyle w:val="Abstract"/>
              <w:tabs>
                <w:tab w:val="left" w:pos="6379"/>
              </w:tabs>
              <w:spacing w:line="276" w:lineRule="auto"/>
              <w:ind w:left="42" w:right="-30"/>
              <w:jc w:val="left"/>
              <w:rPr>
                <w:sz w:val="14"/>
                <w:szCs w:val="10"/>
              </w:rPr>
            </w:pPr>
            <w:r w:rsidRPr="009C1F95">
              <w:rPr>
                <w:sz w:val="14"/>
                <w:szCs w:val="10"/>
                <w:lang w:val="en-GB"/>
              </w:rPr>
              <w:t xml:space="preserve">N. activities with “irrelevant </w:t>
            </w:r>
            <w:r w:rsidRPr="009C1F95">
              <w:rPr>
                <w:sz w:val="14"/>
                <w:szCs w:val="10"/>
              </w:rPr>
              <w:t>risk”</w:t>
            </w:r>
          </w:p>
          <w:p w14:paraId="24E5F15C" w14:textId="77777777" w:rsidR="00E067F0" w:rsidRPr="009C1F95" w:rsidRDefault="00E067F0" w:rsidP="00654A25">
            <w:pPr>
              <w:pStyle w:val="Abstract"/>
              <w:tabs>
                <w:tab w:val="left" w:pos="6379"/>
              </w:tabs>
              <w:spacing w:line="276" w:lineRule="auto"/>
              <w:ind w:left="42" w:right="-30"/>
              <w:jc w:val="left"/>
              <w:rPr>
                <w:sz w:val="14"/>
                <w:szCs w:val="10"/>
                <w:lang w:val="it-IT"/>
              </w:rPr>
            </w:pPr>
            <w:r w:rsidRPr="009C1F95">
              <w:rPr>
                <w:sz w:val="14"/>
                <w:szCs w:val="10"/>
              </w:rPr>
              <w:t>(green level)</w:t>
            </w:r>
          </w:p>
        </w:tc>
        <w:tc>
          <w:tcPr>
            <w:tcW w:w="2127" w:type="dxa"/>
            <w:tcBorders>
              <w:top w:val="single" w:sz="8" w:space="0" w:color="A5A5A5"/>
              <w:left w:val="nil"/>
              <w:bottom w:val="single" w:sz="8" w:space="0" w:color="A5A5A5"/>
              <w:right w:val="nil"/>
            </w:tcBorders>
            <w:shd w:val="clear" w:color="auto" w:fill="92D050"/>
            <w:tcMar>
              <w:top w:w="15" w:type="dxa"/>
              <w:left w:w="70" w:type="dxa"/>
              <w:bottom w:w="0" w:type="dxa"/>
              <w:right w:w="70" w:type="dxa"/>
            </w:tcMar>
            <w:vAlign w:val="center"/>
            <w:hideMark/>
          </w:tcPr>
          <w:p w14:paraId="246924CD"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w:t>
            </w:r>
            <w:proofErr w:type="spellStart"/>
            <w:r w:rsidRPr="009C1F95">
              <w:rPr>
                <w:sz w:val="14"/>
                <w:szCs w:val="10"/>
                <w:lang w:val="en-GB"/>
              </w:rPr>
              <w:t>Rsubstances</w:t>
            </w:r>
            <w:proofErr w:type="spellEnd"/>
            <w:r w:rsidRPr="009C1F95">
              <w:rPr>
                <w:sz w:val="14"/>
                <w:szCs w:val="10"/>
                <w:lang w:val="en-GB"/>
              </w:rPr>
              <w:t>/mixtures &lt; 15</w:t>
            </w:r>
          </w:p>
        </w:tc>
        <w:tc>
          <w:tcPr>
            <w:tcW w:w="426" w:type="dxa"/>
            <w:tcBorders>
              <w:top w:val="single" w:sz="8" w:space="0" w:color="A5A5A5"/>
              <w:left w:val="nil"/>
              <w:bottom w:val="single" w:sz="8" w:space="0" w:color="A5A5A5"/>
              <w:right w:val="nil"/>
            </w:tcBorders>
            <w:shd w:val="clear" w:color="auto" w:fill="92D050"/>
            <w:tcMar>
              <w:top w:w="9" w:type="dxa"/>
              <w:left w:w="9" w:type="dxa"/>
              <w:bottom w:w="0" w:type="dxa"/>
              <w:right w:w="9" w:type="dxa"/>
            </w:tcMar>
            <w:vAlign w:val="center"/>
            <w:hideMark/>
          </w:tcPr>
          <w:p w14:paraId="70B57FCC"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244</w:t>
            </w:r>
          </w:p>
        </w:tc>
        <w:tc>
          <w:tcPr>
            <w:tcW w:w="708" w:type="dxa"/>
            <w:tcBorders>
              <w:top w:val="single" w:sz="8" w:space="0" w:color="A5A5A5"/>
              <w:left w:val="nil"/>
              <w:bottom w:val="single" w:sz="8" w:space="0" w:color="A5A5A5"/>
              <w:right w:val="nil"/>
            </w:tcBorders>
            <w:shd w:val="clear" w:color="auto" w:fill="92D050"/>
            <w:tcMar>
              <w:top w:w="9" w:type="dxa"/>
              <w:left w:w="9" w:type="dxa"/>
              <w:bottom w:w="0" w:type="dxa"/>
              <w:right w:w="9" w:type="dxa"/>
            </w:tcMar>
            <w:vAlign w:val="center"/>
            <w:hideMark/>
          </w:tcPr>
          <w:p w14:paraId="7DF49F34" w14:textId="77777777" w:rsidR="00E067F0" w:rsidRPr="009C1F95" w:rsidRDefault="00E067F0" w:rsidP="00654A25">
            <w:pPr>
              <w:pStyle w:val="Abstract"/>
              <w:tabs>
                <w:tab w:val="left" w:pos="6379"/>
              </w:tabs>
              <w:spacing w:line="276" w:lineRule="auto"/>
              <w:ind w:left="0" w:right="-30" w:hanging="12"/>
              <w:jc w:val="center"/>
              <w:rPr>
                <w:sz w:val="14"/>
                <w:szCs w:val="10"/>
                <w:lang w:val="it-IT"/>
              </w:rPr>
            </w:pPr>
            <w:r w:rsidRPr="009C1F95">
              <w:rPr>
                <w:i/>
                <w:iCs/>
                <w:sz w:val="14"/>
                <w:szCs w:val="10"/>
                <w:lang w:val="it-IT"/>
              </w:rPr>
              <w:t>88,1%</w:t>
            </w:r>
          </w:p>
        </w:tc>
        <w:tc>
          <w:tcPr>
            <w:tcW w:w="567" w:type="dxa"/>
            <w:tcBorders>
              <w:top w:val="single" w:sz="8" w:space="0" w:color="A5A5A5"/>
              <w:left w:val="nil"/>
              <w:bottom w:val="single" w:sz="8" w:space="0" w:color="A5A5A5"/>
              <w:right w:val="nil"/>
            </w:tcBorders>
            <w:shd w:val="clear" w:color="auto" w:fill="92D050"/>
            <w:tcMar>
              <w:top w:w="9" w:type="dxa"/>
              <w:left w:w="9" w:type="dxa"/>
              <w:bottom w:w="0" w:type="dxa"/>
              <w:right w:w="9" w:type="dxa"/>
            </w:tcMar>
            <w:vAlign w:val="center"/>
            <w:hideMark/>
          </w:tcPr>
          <w:p w14:paraId="2C8C95E3"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315</w:t>
            </w:r>
          </w:p>
        </w:tc>
        <w:tc>
          <w:tcPr>
            <w:tcW w:w="567" w:type="dxa"/>
            <w:tcBorders>
              <w:top w:val="single" w:sz="8" w:space="0" w:color="A5A5A5"/>
              <w:left w:val="nil"/>
              <w:bottom w:val="single" w:sz="8" w:space="0" w:color="A5A5A5"/>
              <w:right w:val="single" w:sz="8" w:space="0" w:color="A5A5A5"/>
            </w:tcBorders>
            <w:shd w:val="clear" w:color="auto" w:fill="92D050"/>
            <w:tcMar>
              <w:top w:w="9" w:type="dxa"/>
              <w:left w:w="9" w:type="dxa"/>
              <w:bottom w:w="0" w:type="dxa"/>
              <w:right w:w="9" w:type="dxa"/>
            </w:tcMar>
            <w:vAlign w:val="center"/>
            <w:hideMark/>
          </w:tcPr>
          <w:p w14:paraId="285EF304"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83,1%</w:t>
            </w:r>
          </w:p>
        </w:tc>
      </w:tr>
      <w:tr w:rsidR="00E067F0" w:rsidRPr="009C1F95" w14:paraId="19015A18" w14:textId="77777777" w:rsidTr="00654A25">
        <w:trPr>
          <w:trHeight w:val="67"/>
        </w:trPr>
        <w:tc>
          <w:tcPr>
            <w:tcW w:w="2849" w:type="dxa"/>
            <w:tcBorders>
              <w:top w:val="single" w:sz="8" w:space="0" w:color="A5A5A5"/>
              <w:left w:val="single" w:sz="8" w:space="0" w:color="A5A5A5"/>
              <w:bottom w:val="single" w:sz="8" w:space="0" w:color="A5A5A5"/>
              <w:right w:val="nil"/>
            </w:tcBorders>
            <w:shd w:val="clear" w:color="auto" w:fill="FFFF00"/>
            <w:tcMar>
              <w:top w:w="15" w:type="dxa"/>
              <w:left w:w="70" w:type="dxa"/>
              <w:bottom w:w="0" w:type="dxa"/>
              <w:right w:w="70" w:type="dxa"/>
            </w:tcMar>
            <w:vAlign w:val="center"/>
            <w:hideMark/>
          </w:tcPr>
          <w:p w14:paraId="06FDC10D"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N. activities with “Non-negligible risk”</w:t>
            </w:r>
          </w:p>
          <w:p w14:paraId="4FE3C6DF"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(yellow level)</w:t>
            </w:r>
          </w:p>
        </w:tc>
        <w:tc>
          <w:tcPr>
            <w:tcW w:w="2127" w:type="dxa"/>
            <w:tcBorders>
              <w:top w:val="single" w:sz="8" w:space="0" w:color="A5A5A5"/>
              <w:left w:val="nil"/>
              <w:bottom w:val="single" w:sz="8" w:space="0" w:color="A5A5A5"/>
              <w:right w:val="nil"/>
            </w:tcBorders>
            <w:shd w:val="clear" w:color="auto" w:fill="FFFF00"/>
            <w:tcMar>
              <w:top w:w="15" w:type="dxa"/>
              <w:left w:w="70" w:type="dxa"/>
              <w:bottom w:w="0" w:type="dxa"/>
              <w:right w:w="70" w:type="dxa"/>
            </w:tcMar>
            <w:vAlign w:val="center"/>
            <w:hideMark/>
          </w:tcPr>
          <w:p w14:paraId="705126DC"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15 ≤ </w:t>
            </w:r>
            <w:proofErr w:type="spellStart"/>
            <w:r w:rsidRPr="009C1F95">
              <w:rPr>
                <w:sz w:val="14"/>
                <w:szCs w:val="10"/>
                <w:lang w:val="en-GB"/>
              </w:rPr>
              <w:t>Rsubstances</w:t>
            </w:r>
            <w:proofErr w:type="spellEnd"/>
            <w:r w:rsidRPr="009C1F95">
              <w:rPr>
                <w:sz w:val="14"/>
                <w:szCs w:val="10"/>
                <w:lang w:val="en-GB"/>
              </w:rPr>
              <w:t>/mixtures &lt; 21</w:t>
            </w:r>
          </w:p>
        </w:tc>
        <w:tc>
          <w:tcPr>
            <w:tcW w:w="426" w:type="dxa"/>
            <w:tcBorders>
              <w:top w:val="single" w:sz="8" w:space="0" w:color="A5A5A5"/>
              <w:left w:val="nil"/>
              <w:bottom w:val="single" w:sz="8" w:space="0" w:color="A5A5A5"/>
              <w:right w:val="nil"/>
            </w:tcBorders>
            <w:shd w:val="clear" w:color="auto" w:fill="FFFF00"/>
            <w:tcMar>
              <w:top w:w="9" w:type="dxa"/>
              <w:left w:w="9" w:type="dxa"/>
              <w:bottom w:w="0" w:type="dxa"/>
              <w:right w:w="9" w:type="dxa"/>
            </w:tcMar>
            <w:vAlign w:val="center"/>
            <w:hideMark/>
          </w:tcPr>
          <w:p w14:paraId="744CBB8E"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30</w:t>
            </w:r>
          </w:p>
        </w:tc>
        <w:tc>
          <w:tcPr>
            <w:tcW w:w="708" w:type="dxa"/>
            <w:tcBorders>
              <w:top w:val="single" w:sz="8" w:space="0" w:color="A5A5A5"/>
              <w:left w:val="nil"/>
              <w:bottom w:val="single" w:sz="8" w:space="0" w:color="A5A5A5"/>
              <w:right w:val="nil"/>
            </w:tcBorders>
            <w:shd w:val="clear" w:color="auto" w:fill="FFFF00"/>
            <w:tcMar>
              <w:top w:w="9" w:type="dxa"/>
              <w:left w:w="9" w:type="dxa"/>
              <w:bottom w:w="0" w:type="dxa"/>
              <w:right w:w="9" w:type="dxa"/>
            </w:tcMar>
            <w:vAlign w:val="center"/>
            <w:hideMark/>
          </w:tcPr>
          <w:p w14:paraId="3EC43DAF" w14:textId="77777777" w:rsidR="00E067F0" w:rsidRPr="009C1F95" w:rsidRDefault="00E067F0" w:rsidP="00654A25">
            <w:pPr>
              <w:pStyle w:val="Abstract"/>
              <w:tabs>
                <w:tab w:val="left" w:pos="6379"/>
              </w:tabs>
              <w:spacing w:line="276" w:lineRule="auto"/>
              <w:ind w:left="0" w:right="-30" w:hanging="12"/>
              <w:jc w:val="center"/>
              <w:rPr>
                <w:sz w:val="14"/>
                <w:szCs w:val="10"/>
                <w:lang w:val="it-IT"/>
              </w:rPr>
            </w:pPr>
            <w:r w:rsidRPr="009C1F95">
              <w:rPr>
                <w:i/>
                <w:iCs/>
                <w:sz w:val="14"/>
                <w:szCs w:val="10"/>
                <w:lang w:val="it-IT"/>
              </w:rPr>
              <w:t>10,8%</w:t>
            </w:r>
          </w:p>
        </w:tc>
        <w:tc>
          <w:tcPr>
            <w:tcW w:w="567" w:type="dxa"/>
            <w:tcBorders>
              <w:top w:val="single" w:sz="8" w:space="0" w:color="A5A5A5"/>
              <w:left w:val="nil"/>
              <w:bottom w:val="single" w:sz="8" w:space="0" w:color="A5A5A5"/>
              <w:right w:val="nil"/>
            </w:tcBorders>
            <w:shd w:val="clear" w:color="auto" w:fill="FFFF00"/>
            <w:tcMar>
              <w:top w:w="9" w:type="dxa"/>
              <w:left w:w="9" w:type="dxa"/>
              <w:bottom w:w="0" w:type="dxa"/>
              <w:right w:w="9" w:type="dxa"/>
            </w:tcMar>
            <w:vAlign w:val="center"/>
            <w:hideMark/>
          </w:tcPr>
          <w:p w14:paraId="097F293C"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39</w:t>
            </w:r>
          </w:p>
        </w:tc>
        <w:tc>
          <w:tcPr>
            <w:tcW w:w="567" w:type="dxa"/>
            <w:tcBorders>
              <w:top w:val="single" w:sz="8" w:space="0" w:color="A5A5A5"/>
              <w:left w:val="nil"/>
              <w:bottom w:val="single" w:sz="8" w:space="0" w:color="A5A5A5"/>
              <w:right w:val="single" w:sz="8" w:space="0" w:color="A5A5A5"/>
            </w:tcBorders>
            <w:shd w:val="clear" w:color="auto" w:fill="FFFF00"/>
            <w:tcMar>
              <w:top w:w="9" w:type="dxa"/>
              <w:left w:w="9" w:type="dxa"/>
              <w:bottom w:w="0" w:type="dxa"/>
              <w:right w:w="9" w:type="dxa"/>
            </w:tcMar>
            <w:vAlign w:val="center"/>
            <w:hideMark/>
          </w:tcPr>
          <w:p w14:paraId="6E5DA149"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10,3%</w:t>
            </w:r>
          </w:p>
        </w:tc>
      </w:tr>
      <w:tr w:rsidR="00E067F0" w:rsidRPr="009C1F95" w14:paraId="44D25BAA" w14:textId="77777777" w:rsidTr="00654A25">
        <w:trPr>
          <w:trHeight w:val="292"/>
        </w:trPr>
        <w:tc>
          <w:tcPr>
            <w:tcW w:w="2849" w:type="dxa"/>
            <w:tcBorders>
              <w:top w:val="single" w:sz="8" w:space="0" w:color="A5A5A5"/>
              <w:left w:val="single" w:sz="8" w:space="0" w:color="A5A5A5"/>
              <w:bottom w:val="single" w:sz="8" w:space="0" w:color="A5A5A5"/>
              <w:right w:val="nil"/>
            </w:tcBorders>
            <w:shd w:val="clear" w:color="auto" w:fill="ED7D31" w:themeFill="accent2"/>
            <w:tcMar>
              <w:top w:w="15" w:type="dxa"/>
              <w:left w:w="70" w:type="dxa"/>
              <w:bottom w:w="0" w:type="dxa"/>
              <w:right w:w="70" w:type="dxa"/>
            </w:tcMar>
            <w:vAlign w:val="center"/>
            <w:hideMark/>
          </w:tcPr>
          <w:p w14:paraId="63EA05D6"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N. activities with “Medium risk”</w:t>
            </w:r>
          </w:p>
          <w:p w14:paraId="23EEC8A6"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(orange level)</w:t>
            </w:r>
          </w:p>
        </w:tc>
        <w:tc>
          <w:tcPr>
            <w:tcW w:w="2127" w:type="dxa"/>
            <w:tcBorders>
              <w:top w:val="single" w:sz="8" w:space="0" w:color="A5A5A5"/>
              <w:left w:val="nil"/>
              <w:bottom w:val="single" w:sz="8" w:space="0" w:color="A5A5A5"/>
              <w:right w:val="nil"/>
            </w:tcBorders>
            <w:shd w:val="clear" w:color="auto" w:fill="ED7D31" w:themeFill="accent2"/>
            <w:tcMar>
              <w:top w:w="15" w:type="dxa"/>
              <w:left w:w="70" w:type="dxa"/>
              <w:bottom w:w="0" w:type="dxa"/>
              <w:right w:w="70" w:type="dxa"/>
            </w:tcMar>
            <w:vAlign w:val="center"/>
            <w:hideMark/>
          </w:tcPr>
          <w:p w14:paraId="1A943CFB"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21 ≤ </w:t>
            </w:r>
            <w:proofErr w:type="spellStart"/>
            <w:r w:rsidRPr="009C1F95">
              <w:rPr>
                <w:sz w:val="14"/>
                <w:szCs w:val="10"/>
                <w:lang w:val="en-GB"/>
              </w:rPr>
              <w:t>Rsubstances</w:t>
            </w:r>
            <w:proofErr w:type="spellEnd"/>
            <w:r w:rsidRPr="009C1F95">
              <w:rPr>
                <w:sz w:val="14"/>
                <w:szCs w:val="10"/>
                <w:lang w:val="en-GB"/>
              </w:rPr>
              <w:t>/mixtures &lt; 41</w:t>
            </w:r>
          </w:p>
        </w:tc>
        <w:tc>
          <w:tcPr>
            <w:tcW w:w="426" w:type="dxa"/>
            <w:tcBorders>
              <w:top w:val="single" w:sz="8" w:space="0" w:color="A5A5A5"/>
              <w:left w:val="nil"/>
              <w:bottom w:val="single" w:sz="8" w:space="0" w:color="A5A5A5"/>
              <w:right w:val="nil"/>
            </w:tcBorders>
            <w:shd w:val="clear" w:color="auto" w:fill="ED7D31" w:themeFill="accent2"/>
            <w:tcMar>
              <w:top w:w="9" w:type="dxa"/>
              <w:left w:w="9" w:type="dxa"/>
              <w:bottom w:w="0" w:type="dxa"/>
              <w:right w:w="9" w:type="dxa"/>
            </w:tcMar>
            <w:vAlign w:val="center"/>
            <w:hideMark/>
          </w:tcPr>
          <w:p w14:paraId="43F43742"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w:t>
            </w:r>
          </w:p>
        </w:tc>
        <w:tc>
          <w:tcPr>
            <w:tcW w:w="708" w:type="dxa"/>
            <w:tcBorders>
              <w:top w:val="single" w:sz="8" w:space="0" w:color="A5A5A5"/>
              <w:left w:val="nil"/>
              <w:bottom w:val="single" w:sz="8" w:space="0" w:color="A5A5A5"/>
              <w:right w:val="nil"/>
            </w:tcBorders>
            <w:shd w:val="clear" w:color="auto" w:fill="ED7D31" w:themeFill="accent2"/>
            <w:tcMar>
              <w:top w:w="9" w:type="dxa"/>
              <w:left w:w="9" w:type="dxa"/>
              <w:bottom w:w="0" w:type="dxa"/>
              <w:right w:w="9" w:type="dxa"/>
            </w:tcMar>
            <w:vAlign w:val="center"/>
            <w:hideMark/>
          </w:tcPr>
          <w:p w14:paraId="0AF8C329"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1,1%</w:t>
            </w:r>
          </w:p>
        </w:tc>
        <w:tc>
          <w:tcPr>
            <w:tcW w:w="567" w:type="dxa"/>
            <w:tcBorders>
              <w:top w:val="single" w:sz="8" w:space="0" w:color="A5A5A5"/>
              <w:left w:val="nil"/>
              <w:bottom w:val="single" w:sz="8" w:space="0" w:color="A5A5A5"/>
              <w:right w:val="nil"/>
            </w:tcBorders>
            <w:shd w:val="clear" w:color="auto" w:fill="ED7D31" w:themeFill="accent2"/>
            <w:tcMar>
              <w:top w:w="9" w:type="dxa"/>
              <w:left w:w="9" w:type="dxa"/>
              <w:bottom w:w="0" w:type="dxa"/>
              <w:right w:w="9" w:type="dxa"/>
            </w:tcMar>
            <w:vAlign w:val="center"/>
            <w:hideMark/>
          </w:tcPr>
          <w:p w14:paraId="0463A9C1"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25</w:t>
            </w:r>
          </w:p>
        </w:tc>
        <w:tc>
          <w:tcPr>
            <w:tcW w:w="567" w:type="dxa"/>
            <w:tcBorders>
              <w:top w:val="single" w:sz="8" w:space="0" w:color="A5A5A5"/>
              <w:left w:val="nil"/>
              <w:bottom w:val="single" w:sz="8" w:space="0" w:color="A5A5A5"/>
              <w:right w:val="single" w:sz="8" w:space="0" w:color="A5A5A5"/>
            </w:tcBorders>
            <w:shd w:val="clear" w:color="auto" w:fill="ED7D31" w:themeFill="accent2"/>
            <w:tcMar>
              <w:top w:w="9" w:type="dxa"/>
              <w:left w:w="9" w:type="dxa"/>
              <w:bottom w:w="0" w:type="dxa"/>
              <w:right w:w="9" w:type="dxa"/>
            </w:tcMar>
            <w:vAlign w:val="center"/>
            <w:hideMark/>
          </w:tcPr>
          <w:p w14:paraId="7E740AE1"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6,6%</w:t>
            </w:r>
          </w:p>
        </w:tc>
      </w:tr>
      <w:tr w:rsidR="00E067F0" w:rsidRPr="009C1F95" w14:paraId="6C7F6BED" w14:textId="77777777" w:rsidTr="00654A25">
        <w:trPr>
          <w:trHeight w:val="292"/>
        </w:trPr>
        <w:tc>
          <w:tcPr>
            <w:tcW w:w="2849" w:type="dxa"/>
            <w:tcBorders>
              <w:top w:val="single" w:sz="8" w:space="0" w:color="A5A5A5"/>
              <w:left w:val="single" w:sz="8" w:space="0" w:color="A5A5A5"/>
              <w:bottom w:val="single" w:sz="8" w:space="0" w:color="000000"/>
              <w:right w:val="nil"/>
            </w:tcBorders>
            <w:shd w:val="clear" w:color="auto" w:fill="FF0000"/>
            <w:tcMar>
              <w:top w:w="15" w:type="dxa"/>
              <w:left w:w="70" w:type="dxa"/>
              <w:bottom w:w="0" w:type="dxa"/>
              <w:right w:w="70" w:type="dxa"/>
            </w:tcMar>
            <w:vAlign w:val="center"/>
            <w:hideMark/>
          </w:tcPr>
          <w:p w14:paraId="55136166"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activities with “High risk” </w:t>
            </w:r>
            <w:r>
              <w:rPr>
                <w:sz w:val="14"/>
                <w:szCs w:val="10"/>
                <w:lang w:val="en-GB"/>
              </w:rPr>
              <w:t>&amp;</w:t>
            </w:r>
            <w:r w:rsidRPr="009C1F95">
              <w:rPr>
                <w:sz w:val="14"/>
                <w:szCs w:val="10"/>
                <w:lang w:val="en-GB"/>
              </w:rPr>
              <w:t xml:space="preserve"> “Serious risk”</w:t>
            </w:r>
          </w:p>
          <w:p w14:paraId="638C5B52"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(red and amaranth levels)</w:t>
            </w:r>
          </w:p>
        </w:tc>
        <w:tc>
          <w:tcPr>
            <w:tcW w:w="2127" w:type="dxa"/>
            <w:tcBorders>
              <w:top w:val="single" w:sz="8" w:space="0" w:color="A5A5A5"/>
              <w:left w:val="nil"/>
              <w:bottom w:val="single" w:sz="8" w:space="0" w:color="000000"/>
              <w:right w:val="nil"/>
            </w:tcBorders>
            <w:shd w:val="clear" w:color="auto" w:fill="FF0000"/>
            <w:tcMar>
              <w:top w:w="15" w:type="dxa"/>
              <w:left w:w="70" w:type="dxa"/>
              <w:bottom w:w="0" w:type="dxa"/>
              <w:right w:w="70" w:type="dxa"/>
            </w:tcMar>
            <w:vAlign w:val="center"/>
            <w:hideMark/>
          </w:tcPr>
          <w:p w14:paraId="1A984DC1"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w:t>
            </w:r>
            <w:proofErr w:type="spellStart"/>
            <w:r w:rsidRPr="009C1F95">
              <w:rPr>
                <w:sz w:val="14"/>
                <w:szCs w:val="10"/>
                <w:lang w:val="en-GB"/>
              </w:rPr>
              <w:t>Rsubstances</w:t>
            </w:r>
            <w:proofErr w:type="spellEnd"/>
            <w:r w:rsidRPr="009C1F95">
              <w:rPr>
                <w:sz w:val="14"/>
                <w:szCs w:val="10"/>
                <w:lang w:val="en-GB"/>
              </w:rPr>
              <w:t>/mixtures ≥ 41</w:t>
            </w:r>
          </w:p>
        </w:tc>
        <w:tc>
          <w:tcPr>
            <w:tcW w:w="426" w:type="dxa"/>
            <w:tcBorders>
              <w:top w:val="single" w:sz="8" w:space="0" w:color="A5A5A5"/>
              <w:left w:val="nil"/>
              <w:bottom w:val="single" w:sz="8" w:space="0" w:color="000000"/>
              <w:right w:val="nil"/>
            </w:tcBorders>
            <w:shd w:val="clear" w:color="auto" w:fill="FF0000"/>
            <w:tcMar>
              <w:top w:w="9" w:type="dxa"/>
              <w:left w:w="9" w:type="dxa"/>
              <w:bottom w:w="0" w:type="dxa"/>
              <w:right w:w="9" w:type="dxa"/>
            </w:tcMar>
            <w:vAlign w:val="center"/>
            <w:hideMark/>
          </w:tcPr>
          <w:p w14:paraId="5FEBAD58"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c>
          <w:tcPr>
            <w:tcW w:w="708" w:type="dxa"/>
            <w:tcBorders>
              <w:top w:val="single" w:sz="8" w:space="0" w:color="A5A5A5"/>
              <w:left w:val="nil"/>
              <w:bottom w:val="single" w:sz="8" w:space="0" w:color="000000"/>
              <w:right w:val="nil"/>
            </w:tcBorders>
            <w:shd w:val="clear" w:color="auto" w:fill="FF0000"/>
            <w:tcMar>
              <w:top w:w="9" w:type="dxa"/>
              <w:left w:w="9" w:type="dxa"/>
              <w:bottom w:w="0" w:type="dxa"/>
              <w:right w:w="9" w:type="dxa"/>
            </w:tcMar>
            <w:vAlign w:val="center"/>
            <w:hideMark/>
          </w:tcPr>
          <w:p w14:paraId="6F65E6B4"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c>
          <w:tcPr>
            <w:tcW w:w="567" w:type="dxa"/>
            <w:tcBorders>
              <w:top w:val="single" w:sz="8" w:space="0" w:color="A5A5A5"/>
              <w:left w:val="nil"/>
              <w:bottom w:val="single" w:sz="8" w:space="0" w:color="000000"/>
              <w:right w:val="nil"/>
            </w:tcBorders>
            <w:shd w:val="clear" w:color="auto" w:fill="FF0000"/>
            <w:tcMar>
              <w:top w:w="9" w:type="dxa"/>
              <w:left w:w="9" w:type="dxa"/>
              <w:bottom w:w="0" w:type="dxa"/>
              <w:right w:w="9" w:type="dxa"/>
            </w:tcMar>
            <w:vAlign w:val="center"/>
            <w:hideMark/>
          </w:tcPr>
          <w:p w14:paraId="33506A26"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c>
          <w:tcPr>
            <w:tcW w:w="567" w:type="dxa"/>
            <w:tcBorders>
              <w:top w:val="single" w:sz="8" w:space="0" w:color="A5A5A5"/>
              <w:left w:val="nil"/>
              <w:bottom w:val="single" w:sz="8" w:space="0" w:color="000000"/>
              <w:right w:val="single" w:sz="8" w:space="0" w:color="A5A5A5"/>
            </w:tcBorders>
            <w:shd w:val="clear" w:color="auto" w:fill="FF0000"/>
            <w:tcMar>
              <w:top w:w="9" w:type="dxa"/>
              <w:left w:w="9" w:type="dxa"/>
              <w:bottom w:w="0" w:type="dxa"/>
              <w:right w:w="9" w:type="dxa"/>
            </w:tcMar>
            <w:vAlign w:val="center"/>
            <w:hideMark/>
          </w:tcPr>
          <w:p w14:paraId="2F04F6DE"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r>
    </w:tbl>
    <w:p w14:paraId="28F5704B" w14:textId="0C9E2391" w:rsidR="00E067F0" w:rsidRDefault="00E067F0" w:rsidP="00C01B17">
      <w:pPr>
        <w:pStyle w:val="Abstract"/>
        <w:tabs>
          <w:tab w:val="left" w:pos="6379"/>
        </w:tabs>
        <w:spacing w:line="276" w:lineRule="auto"/>
        <w:ind w:left="0" w:right="-30"/>
        <w:rPr>
          <w:snapToGrid/>
          <w:sz w:val="24"/>
        </w:rPr>
      </w:pPr>
    </w:p>
    <w:p w14:paraId="58D7B01B" w14:textId="77777777" w:rsidR="00E067F0" w:rsidRPr="003D33D4" w:rsidRDefault="00E067F0" w:rsidP="00E067F0">
      <w:pPr>
        <w:pStyle w:val="Abstract"/>
        <w:tabs>
          <w:tab w:val="left" w:pos="6379"/>
        </w:tabs>
        <w:spacing w:line="276" w:lineRule="auto"/>
        <w:ind w:left="0" w:right="-30"/>
        <w:rPr>
          <w:snapToGrid/>
          <w:sz w:val="24"/>
        </w:rPr>
      </w:pPr>
      <w:r>
        <w:rPr>
          <w:snapToGrid/>
          <w:sz w:val="24"/>
        </w:rPr>
        <w:t xml:space="preserve">In </w:t>
      </w:r>
      <w:r w:rsidRPr="003D33D4">
        <w:rPr>
          <w:snapToGrid/>
          <w:sz w:val="24"/>
        </w:rPr>
        <w:t>comparing the number of activities with non-negligible risks</w:t>
      </w:r>
      <w:r>
        <w:rPr>
          <w:snapToGrid/>
          <w:sz w:val="24"/>
        </w:rPr>
        <w:t xml:space="preserve"> (</w:t>
      </w:r>
      <w:r w:rsidRPr="003D33D4">
        <w:rPr>
          <w:snapToGrid/>
          <w:sz w:val="24"/>
        </w:rPr>
        <w:t xml:space="preserve">yellow </w:t>
      </w:r>
      <w:r w:rsidRPr="000263F1">
        <w:rPr>
          <w:snapToGrid/>
          <w:sz w:val="24"/>
        </w:rPr>
        <w:t>level), and medium risks (orange level), as represented in figure 4, both in</w:t>
      </w:r>
      <w:r>
        <w:rPr>
          <w:snapToGrid/>
          <w:sz w:val="24"/>
        </w:rPr>
        <w:t xml:space="preserve"> </w:t>
      </w:r>
      <w:r w:rsidRPr="003D33D4">
        <w:rPr>
          <w:snapToGrid/>
          <w:sz w:val="24"/>
        </w:rPr>
        <w:t>product</w:t>
      </w:r>
      <w:r>
        <w:rPr>
          <w:snapToGrid/>
          <w:sz w:val="24"/>
        </w:rPr>
        <w:t xml:space="preserve"> A and B</w:t>
      </w:r>
      <w:r w:rsidRPr="003D33D4">
        <w:rPr>
          <w:snapToGrid/>
          <w:sz w:val="24"/>
        </w:rPr>
        <w:t xml:space="preserve">, most of the non-negligible risks are in finishing, related to processes “Loading in </w:t>
      </w:r>
      <w:proofErr w:type="spellStart"/>
      <w:r w:rsidRPr="003D33D4">
        <w:rPr>
          <w:snapToGrid/>
          <w:sz w:val="24"/>
        </w:rPr>
        <w:t>pirovan</w:t>
      </w:r>
      <w:proofErr w:type="spellEnd"/>
      <w:r w:rsidRPr="003D33D4">
        <w:rPr>
          <w:snapToGrid/>
          <w:sz w:val="24"/>
        </w:rPr>
        <w:t>”, “Mixing”, and “Mixture preparation”</w:t>
      </w:r>
      <w:r>
        <w:rPr>
          <w:snapToGrid/>
          <w:sz w:val="24"/>
        </w:rPr>
        <w:t>. In terms of medium risks, p</w:t>
      </w:r>
      <w:r w:rsidRPr="003D33D4">
        <w:rPr>
          <w:snapToGrid/>
          <w:sz w:val="24"/>
        </w:rPr>
        <w:t>roduct B has the worst performance</w:t>
      </w:r>
      <w:r>
        <w:rPr>
          <w:snapToGrid/>
          <w:sz w:val="24"/>
        </w:rPr>
        <w:t>: m</w:t>
      </w:r>
      <w:r w:rsidRPr="003D33D4">
        <w:rPr>
          <w:snapToGrid/>
          <w:sz w:val="24"/>
        </w:rPr>
        <w:t xml:space="preserve">ost of medium risks are in phase 2, as “Weighing of chemicals” and “Introduction of chemicals into drum”. </w:t>
      </w:r>
    </w:p>
    <w:p w14:paraId="29C72B5F" w14:textId="77777777" w:rsidR="00E067F0" w:rsidRDefault="00E067F0" w:rsidP="00C01B17">
      <w:pPr>
        <w:pStyle w:val="Abstract"/>
        <w:tabs>
          <w:tab w:val="left" w:pos="6379"/>
        </w:tabs>
        <w:spacing w:line="276" w:lineRule="auto"/>
        <w:ind w:left="0" w:right="-30"/>
        <w:rPr>
          <w:snapToGrid/>
          <w:sz w:val="24"/>
        </w:rPr>
      </w:pPr>
    </w:p>
    <w:p w14:paraId="7667772A" w14:textId="167462A1" w:rsidR="00C01B17" w:rsidRDefault="00C01B17" w:rsidP="00220AAC">
      <w:pPr>
        <w:pStyle w:val="Abstract"/>
        <w:tabs>
          <w:tab w:val="left" w:pos="6379"/>
        </w:tabs>
        <w:spacing w:line="276" w:lineRule="auto"/>
        <w:ind w:left="0" w:right="-30"/>
        <w:rPr>
          <w:snapToGrid/>
          <w:sz w:val="24"/>
        </w:rPr>
      </w:pPr>
      <w:r>
        <w:rPr>
          <w:noProof/>
          <w:snapToGrid/>
          <w:sz w:val="24"/>
        </w:rPr>
        <w:drawing>
          <wp:inline distT="0" distB="0" distL="0" distR="0" wp14:anchorId="2EE982DB" wp14:editId="7E88261B">
            <wp:extent cx="4537881" cy="4293489"/>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707" cy="4326439"/>
                    </a:xfrm>
                    <a:prstGeom prst="rect">
                      <a:avLst/>
                    </a:prstGeom>
                    <a:noFill/>
                  </pic:spPr>
                </pic:pic>
              </a:graphicData>
            </a:graphic>
          </wp:inline>
        </w:drawing>
      </w:r>
    </w:p>
    <w:p w14:paraId="147026A5" w14:textId="5E8FEC81" w:rsidR="00587BE4" w:rsidRPr="00C743E4" w:rsidRDefault="00587BE4" w:rsidP="00587BE4">
      <w:pPr>
        <w:pStyle w:val="FigureCaption"/>
        <w:spacing w:line="276" w:lineRule="auto"/>
      </w:pPr>
      <w:r w:rsidRPr="00C743E4">
        <w:t xml:space="preserve">Figure </w:t>
      </w:r>
      <w:r w:rsidR="009C1F95">
        <w:t>4</w:t>
      </w:r>
      <w:r w:rsidRPr="00C743E4">
        <w:t xml:space="preserve">: Comparison of LC-RA results: number of activities with non-negligible </w:t>
      </w:r>
      <w:r w:rsidR="00C01B17" w:rsidRPr="00C743E4">
        <w:t xml:space="preserve">risk </w:t>
      </w:r>
      <w:r w:rsidRPr="00C743E4">
        <w:t>(yellow)</w:t>
      </w:r>
      <w:r w:rsidR="00C01B17">
        <w:t xml:space="preserve"> and </w:t>
      </w:r>
      <w:r w:rsidR="00C01B17" w:rsidRPr="00C743E4">
        <w:t xml:space="preserve">medium risk (orange) </w:t>
      </w:r>
      <w:r w:rsidRPr="00C743E4">
        <w:t>per product</w:t>
      </w:r>
    </w:p>
    <w:p w14:paraId="2D915CC5" w14:textId="778D68F0" w:rsidR="003D33D4" w:rsidRDefault="003D33D4" w:rsidP="00C743E4">
      <w:pPr>
        <w:pStyle w:val="Abstract"/>
        <w:tabs>
          <w:tab w:val="left" w:pos="6379"/>
        </w:tabs>
        <w:spacing w:line="276" w:lineRule="auto"/>
        <w:ind w:left="0" w:right="-30"/>
        <w:rPr>
          <w:snapToGrid/>
          <w:sz w:val="24"/>
        </w:rPr>
      </w:pPr>
    </w:p>
    <w:p w14:paraId="6A995009" w14:textId="4CF73CA0" w:rsidR="00C743E4" w:rsidRPr="00C31855" w:rsidRDefault="00874411" w:rsidP="00C31855">
      <w:pPr>
        <w:pStyle w:val="Titolo1"/>
        <w:numPr>
          <w:ilvl w:val="1"/>
          <w:numId w:val="12"/>
        </w:numPr>
        <w:tabs>
          <w:tab w:val="num" w:pos="360"/>
        </w:tabs>
        <w:spacing w:before="0" w:after="0" w:line="276" w:lineRule="auto"/>
        <w:rPr>
          <w:snapToGrid w:val="0"/>
        </w:rPr>
      </w:pPr>
      <w:r>
        <w:rPr>
          <w:snapToGrid w:val="0"/>
        </w:rPr>
        <w:t>Discussion and c</w:t>
      </w:r>
      <w:r w:rsidR="00587BE4" w:rsidRPr="00C31855">
        <w:rPr>
          <w:snapToGrid w:val="0"/>
        </w:rPr>
        <w:t>onclusion</w:t>
      </w:r>
    </w:p>
    <w:p w14:paraId="2006E3EE" w14:textId="77777777" w:rsidR="00C31855" w:rsidRDefault="00C31855" w:rsidP="00C743E4">
      <w:pPr>
        <w:pStyle w:val="Abstract"/>
        <w:tabs>
          <w:tab w:val="left" w:pos="6379"/>
        </w:tabs>
        <w:spacing w:line="276" w:lineRule="auto"/>
        <w:ind w:left="0" w:right="-30"/>
        <w:rPr>
          <w:snapToGrid/>
          <w:sz w:val="24"/>
        </w:rPr>
      </w:pPr>
    </w:p>
    <w:p w14:paraId="6B6A309E" w14:textId="553AE966" w:rsidR="00587BE4" w:rsidRPr="003D33D4" w:rsidRDefault="00587BE4" w:rsidP="00587BE4">
      <w:pPr>
        <w:pStyle w:val="Abstract"/>
        <w:tabs>
          <w:tab w:val="left" w:pos="6379"/>
        </w:tabs>
        <w:spacing w:line="276" w:lineRule="auto"/>
        <w:ind w:left="0" w:right="-30"/>
        <w:rPr>
          <w:snapToGrid/>
          <w:sz w:val="24"/>
        </w:rPr>
      </w:pPr>
      <w:r>
        <w:rPr>
          <w:snapToGrid/>
          <w:sz w:val="24"/>
        </w:rPr>
        <w:t>T</w:t>
      </w:r>
      <w:r w:rsidR="003D33D4" w:rsidRPr="003D33D4">
        <w:rPr>
          <w:snapToGrid/>
          <w:sz w:val="24"/>
        </w:rPr>
        <w:t>h</w:t>
      </w:r>
      <w:r w:rsidR="00C31855">
        <w:rPr>
          <w:snapToGrid/>
          <w:sz w:val="24"/>
        </w:rPr>
        <w:t>e</w:t>
      </w:r>
      <w:r w:rsidR="003D33D4" w:rsidRPr="003D33D4">
        <w:rPr>
          <w:snapToGrid/>
          <w:sz w:val="24"/>
        </w:rPr>
        <w:t xml:space="preserve"> research demonstrates the </w:t>
      </w:r>
      <w:r w:rsidR="00C31855">
        <w:rPr>
          <w:snapToGrid/>
          <w:sz w:val="24"/>
        </w:rPr>
        <w:t xml:space="preserve">possibility and relevance to </w:t>
      </w:r>
      <w:r w:rsidR="003D33D4" w:rsidRPr="003D33D4">
        <w:rPr>
          <w:snapToGrid/>
          <w:sz w:val="24"/>
        </w:rPr>
        <w:t>integrat</w:t>
      </w:r>
      <w:r w:rsidR="00C31855">
        <w:rPr>
          <w:snapToGrid/>
          <w:sz w:val="24"/>
        </w:rPr>
        <w:t xml:space="preserve">e </w:t>
      </w:r>
      <w:r w:rsidR="003D33D4" w:rsidRPr="003D33D4">
        <w:rPr>
          <w:snapToGrid/>
          <w:sz w:val="24"/>
        </w:rPr>
        <w:t>LCA and RA, through the adoption of LCA as framework and RA as equations.</w:t>
      </w:r>
      <w:r w:rsidR="00C743E4">
        <w:rPr>
          <w:snapToGrid/>
          <w:sz w:val="24"/>
        </w:rPr>
        <w:t xml:space="preserve"> </w:t>
      </w:r>
      <w:r w:rsidR="00C31855">
        <w:rPr>
          <w:snapToGrid/>
          <w:sz w:val="24"/>
        </w:rPr>
        <w:t>The</w:t>
      </w:r>
      <w:r w:rsidRPr="003D33D4">
        <w:rPr>
          <w:snapToGrid/>
          <w:sz w:val="24"/>
        </w:rPr>
        <w:t xml:space="preserve"> LC-RA methodology</w:t>
      </w:r>
      <w:r w:rsidR="00C31855">
        <w:rPr>
          <w:snapToGrid/>
          <w:sz w:val="24"/>
        </w:rPr>
        <w:t xml:space="preserve"> designed in this research</w:t>
      </w:r>
      <w:r w:rsidRPr="003D33D4">
        <w:rPr>
          <w:snapToGrid/>
          <w:sz w:val="24"/>
        </w:rPr>
        <w:t xml:space="preserve"> seems able to compare HS performance of products and their LC stages, highlighting most critical activities and most dangerous final products.</w:t>
      </w:r>
      <w:r>
        <w:rPr>
          <w:snapToGrid/>
          <w:sz w:val="24"/>
        </w:rPr>
        <w:t xml:space="preserve"> </w:t>
      </w:r>
      <w:r w:rsidRPr="003D33D4">
        <w:rPr>
          <w:snapToGrid/>
          <w:sz w:val="24"/>
        </w:rPr>
        <w:t>Moreover, results of the LC-R performance evaluation support the company in reviewing risk treatment measures and improve consciousness of safe behavior.</w:t>
      </w:r>
    </w:p>
    <w:p w14:paraId="1B70D8DF" w14:textId="7F4E659C" w:rsidR="003D33D4" w:rsidRDefault="003D33D4" w:rsidP="00C743E4">
      <w:pPr>
        <w:pStyle w:val="Abstract"/>
        <w:tabs>
          <w:tab w:val="left" w:pos="6379"/>
        </w:tabs>
        <w:spacing w:line="276" w:lineRule="auto"/>
        <w:ind w:left="0" w:right="-30"/>
        <w:rPr>
          <w:snapToGrid/>
          <w:sz w:val="24"/>
        </w:rPr>
      </w:pPr>
      <w:r w:rsidRPr="003D33D4">
        <w:rPr>
          <w:snapToGrid/>
          <w:sz w:val="24"/>
        </w:rPr>
        <w:lastRenderedPageBreak/>
        <w:t xml:space="preserve">The adoption of LC approach in risk evaluation is </w:t>
      </w:r>
      <w:r w:rsidR="00C31855" w:rsidRPr="003D33D4">
        <w:rPr>
          <w:snapToGrid/>
          <w:sz w:val="24"/>
        </w:rPr>
        <w:t>convenient because</w:t>
      </w:r>
      <w:r w:rsidRPr="003D33D4">
        <w:rPr>
          <w:snapToGrid/>
          <w:sz w:val="24"/>
        </w:rPr>
        <w:t xml:space="preserve"> it allows to understand the dangerousness of activities during the processing phases.</w:t>
      </w:r>
      <w:r w:rsidR="00C743E4">
        <w:rPr>
          <w:snapToGrid/>
          <w:sz w:val="24"/>
        </w:rPr>
        <w:t xml:space="preserve"> </w:t>
      </w:r>
      <w:r w:rsidRPr="003D33D4">
        <w:rPr>
          <w:snapToGrid/>
          <w:sz w:val="24"/>
        </w:rPr>
        <w:t xml:space="preserve">In turn, the RA is useful in a LC perspective, to compare products in terms of </w:t>
      </w:r>
      <w:r w:rsidR="00A63C5D">
        <w:rPr>
          <w:snapToGrid/>
          <w:sz w:val="24"/>
        </w:rPr>
        <w:t>E</w:t>
      </w:r>
      <w:r w:rsidRPr="003D33D4">
        <w:rPr>
          <w:snapToGrid/>
          <w:sz w:val="24"/>
        </w:rPr>
        <w:t>HS performances, and motivates both management and workers to increase the commitment to reduce the risks.</w:t>
      </w:r>
    </w:p>
    <w:p w14:paraId="54798498" w14:textId="77777777" w:rsidR="00587BE4" w:rsidRPr="003D33D4" w:rsidRDefault="00587BE4" w:rsidP="00587BE4">
      <w:pPr>
        <w:pStyle w:val="Abstract"/>
        <w:tabs>
          <w:tab w:val="left" w:pos="6379"/>
        </w:tabs>
        <w:spacing w:line="276" w:lineRule="auto"/>
        <w:ind w:left="0" w:right="-30"/>
        <w:rPr>
          <w:snapToGrid/>
          <w:sz w:val="24"/>
        </w:rPr>
      </w:pPr>
      <w:r w:rsidRPr="003D33D4">
        <w:rPr>
          <w:snapToGrid/>
          <w:sz w:val="24"/>
        </w:rPr>
        <w:t>On the other hand, our research suffers two main limits.</w:t>
      </w:r>
      <w:r>
        <w:rPr>
          <w:snapToGrid/>
          <w:sz w:val="24"/>
        </w:rPr>
        <w:t xml:space="preserve"> </w:t>
      </w:r>
      <w:r w:rsidRPr="003D33D4">
        <w:rPr>
          <w:snapToGrid/>
          <w:sz w:val="24"/>
        </w:rPr>
        <w:t>First, only chemical risks are quantified in LC-RA, while mechanical processes not at all. Besides, only internal processes are included in the boundaries of our case study, while outsourced processes are excluded.</w:t>
      </w:r>
    </w:p>
    <w:p w14:paraId="3B324052" w14:textId="6CF66F9F" w:rsidR="003D33D4" w:rsidRPr="003D33D4" w:rsidRDefault="003D33D4" w:rsidP="00C743E4">
      <w:pPr>
        <w:pStyle w:val="Abstract"/>
        <w:tabs>
          <w:tab w:val="left" w:pos="6379"/>
        </w:tabs>
        <w:spacing w:line="276" w:lineRule="auto"/>
        <w:ind w:left="0" w:right="-30"/>
        <w:rPr>
          <w:snapToGrid/>
          <w:sz w:val="24"/>
        </w:rPr>
      </w:pPr>
      <w:r w:rsidRPr="003D33D4">
        <w:rPr>
          <w:snapToGrid/>
          <w:sz w:val="24"/>
        </w:rPr>
        <w:t>Other research perspectives can be suggested.</w:t>
      </w:r>
      <w:r w:rsidR="00C743E4">
        <w:rPr>
          <w:snapToGrid/>
          <w:sz w:val="24"/>
        </w:rPr>
        <w:t xml:space="preserve"> </w:t>
      </w:r>
      <w:r w:rsidRPr="003D33D4">
        <w:rPr>
          <w:snapToGrid/>
          <w:sz w:val="24"/>
        </w:rPr>
        <w:t>LC-RA methodology must be integrated by mechanical risks.</w:t>
      </w:r>
      <w:r w:rsidR="00C743E4">
        <w:rPr>
          <w:snapToGrid/>
          <w:sz w:val="24"/>
        </w:rPr>
        <w:t xml:space="preserve"> </w:t>
      </w:r>
      <w:r w:rsidRPr="003D33D4">
        <w:rPr>
          <w:snapToGrid/>
          <w:sz w:val="24"/>
        </w:rPr>
        <w:t>Moreover, the boundaries of LC-RA study should be expanded to include also external dangerous processes.</w:t>
      </w:r>
    </w:p>
    <w:p w14:paraId="11DA59BE" w14:textId="77777777" w:rsidR="003D33D4" w:rsidRPr="003D33D4" w:rsidRDefault="003D33D4" w:rsidP="00C743E4">
      <w:pPr>
        <w:pStyle w:val="Abstract"/>
        <w:tabs>
          <w:tab w:val="left" w:pos="6379"/>
        </w:tabs>
        <w:spacing w:line="276" w:lineRule="auto"/>
        <w:ind w:left="0" w:right="-30"/>
        <w:rPr>
          <w:snapToGrid/>
          <w:sz w:val="24"/>
        </w:rPr>
      </w:pPr>
      <w:r w:rsidRPr="003D33D4">
        <w:rPr>
          <w:snapToGrid/>
          <w:sz w:val="24"/>
        </w:rPr>
        <w:t>Next research includes also testing of this methodology in other industrial sectors, with the aim to verify its validity in more complex products and more dangerous processes.</w:t>
      </w:r>
    </w:p>
    <w:p w14:paraId="39DA96AE" w14:textId="11D36A01" w:rsidR="003D33D4" w:rsidRDefault="003D33D4" w:rsidP="00220AAC">
      <w:pPr>
        <w:pStyle w:val="Abstract"/>
        <w:tabs>
          <w:tab w:val="left" w:pos="6379"/>
        </w:tabs>
        <w:spacing w:line="276" w:lineRule="auto"/>
        <w:ind w:left="0" w:right="-30"/>
        <w:rPr>
          <w:snapToGrid/>
          <w:sz w:val="24"/>
        </w:rPr>
      </w:pPr>
    </w:p>
    <w:p w14:paraId="623D2D0E" w14:textId="77777777" w:rsidR="002F7330" w:rsidRPr="00A63C5D" w:rsidRDefault="002F7330" w:rsidP="00A63C5D">
      <w:pPr>
        <w:pStyle w:val="Titolo1"/>
        <w:numPr>
          <w:ilvl w:val="1"/>
          <w:numId w:val="12"/>
        </w:numPr>
        <w:tabs>
          <w:tab w:val="num" w:pos="360"/>
        </w:tabs>
        <w:spacing w:before="0" w:after="0" w:line="276" w:lineRule="auto"/>
        <w:rPr>
          <w:snapToGrid w:val="0"/>
        </w:rPr>
      </w:pPr>
      <w:bookmarkStart w:id="0" w:name="_Toc75162077"/>
      <w:bookmarkStart w:id="1" w:name="_Toc142104141"/>
      <w:r w:rsidRPr="00A63C5D">
        <w:rPr>
          <w:snapToGrid w:val="0"/>
        </w:rPr>
        <w:t>References</w:t>
      </w:r>
      <w:bookmarkEnd w:id="0"/>
      <w:bookmarkEnd w:id="1"/>
      <w:r w:rsidRPr="00A63C5D">
        <w:rPr>
          <w:snapToGrid w:val="0"/>
        </w:rPr>
        <w:t xml:space="preserve"> and Citations</w:t>
      </w:r>
    </w:p>
    <w:p w14:paraId="07D408E0" w14:textId="781DEDB2" w:rsidR="00D07C01" w:rsidRDefault="00D07C01" w:rsidP="004479AA"/>
    <w:p w14:paraId="2F34C14C" w14:textId="4A283D00" w:rsidR="004876FE" w:rsidRDefault="004876FE" w:rsidP="004479AA">
      <w:r w:rsidRPr="001952D3">
        <w:rPr>
          <w:lang w:val="it-IT"/>
        </w:rPr>
        <w:t xml:space="preserve">Barberio, G., Buttol, P., Righi, S., Andretta, M., 2010. </w:t>
      </w:r>
      <w:r w:rsidRPr="004876FE">
        <w:t xml:space="preserve">Combined approach of Risk Assessment and Life Cycle Assessment for the environmental evaluations: an overview. </w:t>
      </w:r>
      <w:proofErr w:type="spellStart"/>
      <w:r w:rsidRPr="004876FE">
        <w:t>Atti</w:t>
      </w:r>
      <w:proofErr w:type="spellEnd"/>
      <w:r w:rsidRPr="004876FE">
        <w:t xml:space="preserve"> di </w:t>
      </w:r>
      <w:proofErr w:type="spellStart"/>
      <w:r w:rsidRPr="004876FE">
        <w:t>Ecomondo</w:t>
      </w:r>
      <w:proofErr w:type="spellEnd"/>
      <w:r w:rsidR="000263F1">
        <w:t xml:space="preserve">, </w:t>
      </w:r>
      <w:proofErr w:type="spellStart"/>
      <w:r w:rsidRPr="004876FE">
        <w:t>Maggioli</w:t>
      </w:r>
      <w:proofErr w:type="spellEnd"/>
      <w:r w:rsidRPr="004876FE">
        <w:t xml:space="preserve"> </w:t>
      </w:r>
      <w:proofErr w:type="spellStart"/>
      <w:r w:rsidRPr="004876FE">
        <w:t>Editore</w:t>
      </w:r>
      <w:proofErr w:type="spellEnd"/>
    </w:p>
    <w:p w14:paraId="0556BD52" w14:textId="07D9BDCB" w:rsidR="004876FE" w:rsidRDefault="004876FE" w:rsidP="004479AA">
      <w:proofErr w:type="spellStart"/>
      <w:r w:rsidRPr="004876FE">
        <w:t>Flemström</w:t>
      </w:r>
      <w:proofErr w:type="spellEnd"/>
      <w:r w:rsidRPr="004876FE">
        <w:t xml:space="preserve"> K, Carlson R, Erixon M </w:t>
      </w:r>
      <w:r>
        <w:t>(</w:t>
      </w:r>
      <w:r w:rsidRPr="004876FE">
        <w:t>2004</w:t>
      </w:r>
      <w:r>
        <w:t>)</w:t>
      </w:r>
      <w:r w:rsidRPr="004876FE">
        <w:t xml:space="preserve"> Relationships between Life Cycle Assessment and Risk Assessment , Potentials and Obstacles. Industrial Environmental Informatics (IMI), Chalmers University of Technology, Report 5379, June 2004</w:t>
      </w:r>
    </w:p>
    <w:p w14:paraId="3DD6E94A" w14:textId="4B38A757" w:rsidR="004876FE" w:rsidRPr="000263F1" w:rsidRDefault="004876FE" w:rsidP="004876FE">
      <w:r w:rsidRPr="000263F1">
        <w:t>ISO (2018) ISO 31000:2018</w:t>
      </w:r>
      <w:r w:rsidR="000263F1" w:rsidRPr="000263F1">
        <w:t xml:space="preserve">: </w:t>
      </w:r>
      <w:r w:rsidRPr="000263F1">
        <w:t>Risk management — Guidelines</w:t>
      </w:r>
      <w:r w:rsidR="000263F1" w:rsidRPr="000263F1">
        <w:t>. ISO, Geneva.</w:t>
      </w:r>
    </w:p>
    <w:p w14:paraId="190131A6" w14:textId="3DBFA464" w:rsidR="004876FE" w:rsidRPr="000263F1" w:rsidRDefault="004876FE" w:rsidP="000263F1">
      <w:r w:rsidRPr="000263F1">
        <w:t>ISO (20</w:t>
      </w:r>
      <w:r w:rsidR="000263F1" w:rsidRPr="000263F1">
        <w:t>06</w:t>
      </w:r>
      <w:r w:rsidRPr="000263F1">
        <w:t>)</w:t>
      </w:r>
      <w:r w:rsidR="000263F1" w:rsidRPr="000263F1">
        <w:t xml:space="preserve"> ISO 14040:2006: Environmental management — Life cycle assessment — Principles and framework. ISO, Geneva.</w:t>
      </w:r>
    </w:p>
    <w:p w14:paraId="5BBD4CDB" w14:textId="75FE30DF" w:rsidR="004876FE" w:rsidRDefault="004876FE" w:rsidP="004479AA">
      <w:proofErr w:type="spellStart"/>
      <w:r w:rsidRPr="000263F1">
        <w:t>Karanikas</w:t>
      </w:r>
      <w:proofErr w:type="spellEnd"/>
      <w:r w:rsidRPr="000263F1">
        <w:t xml:space="preserve"> N, Popovich A et al (2020) Symbiotic types of systems thinking with systematic management in occupational health &amp; safety. Safety Science 128, 104752</w:t>
      </w:r>
    </w:p>
    <w:p w14:paraId="29E280EA" w14:textId="12806D0F" w:rsidR="00932A8F" w:rsidRPr="004479AA" w:rsidRDefault="004876FE" w:rsidP="00D07C01">
      <w:r w:rsidRPr="004876FE">
        <w:t xml:space="preserve">Mazzi A, Toniolo S, Catto S, De </w:t>
      </w:r>
      <w:proofErr w:type="spellStart"/>
      <w:r w:rsidRPr="004876FE">
        <w:t>Lorenzi</w:t>
      </w:r>
      <w:proofErr w:type="spellEnd"/>
      <w:r w:rsidRPr="004876FE">
        <w:t xml:space="preserve"> V, </w:t>
      </w:r>
      <w:proofErr w:type="spellStart"/>
      <w:r w:rsidRPr="004876FE">
        <w:t>Scipioni</w:t>
      </w:r>
      <w:proofErr w:type="spellEnd"/>
      <w:r w:rsidRPr="004876FE">
        <w:t xml:space="preserve"> A </w:t>
      </w:r>
      <w:r>
        <w:t>(</w:t>
      </w:r>
      <w:r w:rsidRPr="004876FE">
        <w:t>2017</w:t>
      </w:r>
      <w:r>
        <w:t>)</w:t>
      </w:r>
      <w:r w:rsidRPr="004876FE">
        <w:t xml:space="preserve"> The combination of an environmental management system and life cycle assessment at the territorial level. Environmental Impact Assessment Review 63, 59-71</w:t>
      </w:r>
    </w:p>
    <w:sectPr w:rsidR="00932A8F" w:rsidRPr="004479AA" w:rsidSect="00E43F28">
      <w:headerReference w:type="even" r:id="rId11"/>
      <w:head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23BE" w14:textId="77777777" w:rsidR="00D8115E" w:rsidRDefault="00D8115E">
      <w:pPr>
        <w:spacing w:line="240" w:lineRule="auto"/>
      </w:pPr>
      <w:r>
        <w:separator/>
      </w:r>
    </w:p>
  </w:endnote>
  <w:endnote w:type="continuationSeparator" w:id="0">
    <w:p w14:paraId="58C0EF78" w14:textId="77777777" w:rsidR="00D8115E" w:rsidRDefault="00D8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2FFF" w14:textId="77777777" w:rsidR="00D8115E" w:rsidRDefault="00D8115E">
      <w:pPr>
        <w:spacing w:line="240" w:lineRule="auto"/>
      </w:pPr>
      <w:r>
        <w:separator/>
      </w:r>
    </w:p>
  </w:footnote>
  <w:footnote w:type="continuationSeparator" w:id="0">
    <w:p w14:paraId="5A5855D6" w14:textId="77777777" w:rsidR="00D8115E" w:rsidRDefault="00D81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3430412" w:rsidR="00A138D7" w:rsidRPr="001952D3"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1952D3">
      <w:rPr>
        <w:rStyle w:val="Numeropagina"/>
        <w:sz w:val="18"/>
        <w:lang w:val="it-IT"/>
      </w:rPr>
      <w:instrText xml:space="preserve">PAGE  </w:instrText>
    </w:r>
    <w:r w:rsidR="00A56CDE" w:rsidRPr="000E2F27">
      <w:rPr>
        <w:rStyle w:val="Numeropagina"/>
        <w:sz w:val="18"/>
      </w:rPr>
      <w:fldChar w:fldCharType="separate"/>
    </w:r>
    <w:r w:rsidR="00214440" w:rsidRPr="001952D3">
      <w:rPr>
        <w:rStyle w:val="Numeropagina"/>
        <w:noProof/>
        <w:sz w:val="18"/>
        <w:lang w:val="it-IT"/>
      </w:rPr>
      <w:t>4</w:t>
    </w:r>
    <w:r w:rsidR="00A56CDE" w:rsidRPr="000E2F27">
      <w:rPr>
        <w:rStyle w:val="Numeropagina"/>
        <w:sz w:val="18"/>
      </w:rPr>
      <w:fldChar w:fldCharType="end"/>
    </w:r>
    <w:r w:rsidR="00A56CDE" w:rsidRPr="001952D3">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33AF1958"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93528B" w:rsidRPr="0093528B">
      <w:rPr>
        <w:i/>
        <w:noProof/>
        <w:sz w:val="18"/>
        <w:lang w:val="en-SG" w:eastAsia="en-SG"/>
      </w:rPr>
      <w:t xml:space="preserve">Risk assessment and life cycle approach to optimize sustainability </w:t>
    </w:r>
    <w:r w:rsidR="0093528B">
      <w:rPr>
        <w:i/>
        <w:noProof/>
        <w:sz w:val="18"/>
        <w:lang w:val="en-SG" w:eastAsia="en-SG"/>
      </w:rPr>
      <w:t>performance</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2" w15:restartNumberingAfterBreak="0">
    <w:nsid w:val="6B1C51B8"/>
    <w:multiLevelType w:val="hybridMultilevel"/>
    <w:tmpl w:val="8F288958"/>
    <w:lvl w:ilvl="0" w:tplc="0410001B">
      <w:start w:val="1"/>
      <w:numFmt w:val="lowerRoman"/>
      <w:lvlText w:val="%1."/>
      <w:lvlJc w:val="right"/>
      <w:pPr>
        <w:ind w:left="710" w:hanging="360"/>
      </w:pPr>
      <w:rPr>
        <w:rFonts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403411665">
    <w:abstractNumId w:val="9"/>
  </w:num>
  <w:num w:numId="2" w16cid:durableId="679503640">
    <w:abstractNumId w:val="8"/>
  </w:num>
  <w:num w:numId="3" w16cid:durableId="1795977491">
    <w:abstractNumId w:val="3"/>
  </w:num>
  <w:num w:numId="4" w16cid:durableId="920677940">
    <w:abstractNumId w:val="13"/>
  </w:num>
  <w:num w:numId="5" w16cid:durableId="1752923885">
    <w:abstractNumId w:val="4"/>
  </w:num>
  <w:num w:numId="6" w16cid:durableId="802889588">
    <w:abstractNumId w:val="1"/>
  </w:num>
  <w:num w:numId="7" w16cid:durableId="324750172">
    <w:abstractNumId w:val="5"/>
  </w:num>
  <w:num w:numId="8" w16cid:durableId="1328364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2425592">
    <w:abstractNumId w:val="0"/>
  </w:num>
  <w:num w:numId="10" w16cid:durableId="862744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593428">
    <w:abstractNumId w:val="10"/>
  </w:num>
  <w:num w:numId="12" w16cid:durableId="1887065278">
    <w:abstractNumId w:val="2"/>
  </w:num>
  <w:num w:numId="13" w16cid:durableId="275016846">
    <w:abstractNumId w:val="12"/>
  </w:num>
  <w:num w:numId="14" w16cid:durableId="1850831492">
    <w:abstractNumId w:val="4"/>
  </w:num>
  <w:num w:numId="15" w16cid:durableId="7705095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263F1"/>
    <w:rsid w:val="00034334"/>
    <w:rsid w:val="000343A6"/>
    <w:rsid w:val="000358C0"/>
    <w:rsid w:val="00041C51"/>
    <w:rsid w:val="00054B55"/>
    <w:rsid w:val="00055617"/>
    <w:rsid w:val="00062998"/>
    <w:rsid w:val="0007387C"/>
    <w:rsid w:val="0007584D"/>
    <w:rsid w:val="000771BE"/>
    <w:rsid w:val="00085282"/>
    <w:rsid w:val="00096B47"/>
    <w:rsid w:val="000A0084"/>
    <w:rsid w:val="000A046C"/>
    <w:rsid w:val="000A596C"/>
    <w:rsid w:val="000B44D9"/>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52D3"/>
    <w:rsid w:val="00197107"/>
    <w:rsid w:val="00197312"/>
    <w:rsid w:val="001A52A5"/>
    <w:rsid w:val="001B1B69"/>
    <w:rsid w:val="001B43AB"/>
    <w:rsid w:val="001C41D2"/>
    <w:rsid w:val="001C46FD"/>
    <w:rsid w:val="001D184B"/>
    <w:rsid w:val="001D480B"/>
    <w:rsid w:val="001D64D4"/>
    <w:rsid w:val="001E38A2"/>
    <w:rsid w:val="001E44C7"/>
    <w:rsid w:val="00200467"/>
    <w:rsid w:val="00201FCF"/>
    <w:rsid w:val="00205C1E"/>
    <w:rsid w:val="0020681C"/>
    <w:rsid w:val="00214440"/>
    <w:rsid w:val="00215D25"/>
    <w:rsid w:val="00220AAC"/>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3622"/>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D33D4"/>
    <w:rsid w:val="003E156F"/>
    <w:rsid w:val="003E64EF"/>
    <w:rsid w:val="003F10B0"/>
    <w:rsid w:val="003F21E5"/>
    <w:rsid w:val="00400544"/>
    <w:rsid w:val="00402E4D"/>
    <w:rsid w:val="00406566"/>
    <w:rsid w:val="00412D22"/>
    <w:rsid w:val="004136C5"/>
    <w:rsid w:val="00416BA3"/>
    <w:rsid w:val="00417671"/>
    <w:rsid w:val="004178FA"/>
    <w:rsid w:val="00417DA2"/>
    <w:rsid w:val="004225DE"/>
    <w:rsid w:val="004226E9"/>
    <w:rsid w:val="00425A66"/>
    <w:rsid w:val="00430738"/>
    <w:rsid w:val="00445735"/>
    <w:rsid w:val="004479AA"/>
    <w:rsid w:val="00450C69"/>
    <w:rsid w:val="00452DE7"/>
    <w:rsid w:val="00453F74"/>
    <w:rsid w:val="004554B8"/>
    <w:rsid w:val="00462CBA"/>
    <w:rsid w:val="00464BF3"/>
    <w:rsid w:val="00466742"/>
    <w:rsid w:val="00467E03"/>
    <w:rsid w:val="00474C6A"/>
    <w:rsid w:val="00476E8C"/>
    <w:rsid w:val="0048706B"/>
    <w:rsid w:val="004876FE"/>
    <w:rsid w:val="004A6ABE"/>
    <w:rsid w:val="004B3EF9"/>
    <w:rsid w:val="004C0B1B"/>
    <w:rsid w:val="004C4D44"/>
    <w:rsid w:val="004C7AE9"/>
    <w:rsid w:val="004D03EE"/>
    <w:rsid w:val="004D7CBE"/>
    <w:rsid w:val="004E54C3"/>
    <w:rsid w:val="004F3F3C"/>
    <w:rsid w:val="004F6371"/>
    <w:rsid w:val="005052EC"/>
    <w:rsid w:val="0050550F"/>
    <w:rsid w:val="00516571"/>
    <w:rsid w:val="005275B0"/>
    <w:rsid w:val="005308EB"/>
    <w:rsid w:val="00530CF7"/>
    <w:rsid w:val="005327E5"/>
    <w:rsid w:val="005501B1"/>
    <w:rsid w:val="00553BA1"/>
    <w:rsid w:val="005567E0"/>
    <w:rsid w:val="0056238C"/>
    <w:rsid w:val="00564044"/>
    <w:rsid w:val="00566851"/>
    <w:rsid w:val="00577E65"/>
    <w:rsid w:val="00587BE4"/>
    <w:rsid w:val="00594E12"/>
    <w:rsid w:val="00596504"/>
    <w:rsid w:val="005B22D7"/>
    <w:rsid w:val="005B238B"/>
    <w:rsid w:val="005B7822"/>
    <w:rsid w:val="005C400D"/>
    <w:rsid w:val="005C4AA9"/>
    <w:rsid w:val="005C503A"/>
    <w:rsid w:val="005D2441"/>
    <w:rsid w:val="005D2BB9"/>
    <w:rsid w:val="005E4032"/>
    <w:rsid w:val="005F12D1"/>
    <w:rsid w:val="00604693"/>
    <w:rsid w:val="00607D09"/>
    <w:rsid w:val="00616655"/>
    <w:rsid w:val="00616FBE"/>
    <w:rsid w:val="00617AE9"/>
    <w:rsid w:val="00622050"/>
    <w:rsid w:val="006232D0"/>
    <w:rsid w:val="00626616"/>
    <w:rsid w:val="006334AA"/>
    <w:rsid w:val="00633639"/>
    <w:rsid w:val="0064475B"/>
    <w:rsid w:val="00647807"/>
    <w:rsid w:val="00663B92"/>
    <w:rsid w:val="00672D4A"/>
    <w:rsid w:val="006756B2"/>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1C8"/>
    <w:rsid w:val="00784F76"/>
    <w:rsid w:val="007854CD"/>
    <w:rsid w:val="00787225"/>
    <w:rsid w:val="00791B0C"/>
    <w:rsid w:val="00791B32"/>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4213"/>
    <w:rsid w:val="00855A7B"/>
    <w:rsid w:val="00864C5F"/>
    <w:rsid w:val="00867EB1"/>
    <w:rsid w:val="00870B2F"/>
    <w:rsid w:val="008743F1"/>
    <w:rsid w:val="00874411"/>
    <w:rsid w:val="00883ADA"/>
    <w:rsid w:val="00885E21"/>
    <w:rsid w:val="00886930"/>
    <w:rsid w:val="00890039"/>
    <w:rsid w:val="008950D5"/>
    <w:rsid w:val="008A3CBB"/>
    <w:rsid w:val="008A4077"/>
    <w:rsid w:val="008A6BEC"/>
    <w:rsid w:val="008B058F"/>
    <w:rsid w:val="008B0E64"/>
    <w:rsid w:val="008B4D69"/>
    <w:rsid w:val="008B5AAC"/>
    <w:rsid w:val="008C1A0D"/>
    <w:rsid w:val="008C4818"/>
    <w:rsid w:val="008C685C"/>
    <w:rsid w:val="008D59D4"/>
    <w:rsid w:val="008E07CD"/>
    <w:rsid w:val="008F2AE1"/>
    <w:rsid w:val="008F43D1"/>
    <w:rsid w:val="008F6B46"/>
    <w:rsid w:val="00905D3C"/>
    <w:rsid w:val="009128B3"/>
    <w:rsid w:val="00913BEA"/>
    <w:rsid w:val="00922EDF"/>
    <w:rsid w:val="00925C93"/>
    <w:rsid w:val="00926432"/>
    <w:rsid w:val="0093138F"/>
    <w:rsid w:val="00932A8F"/>
    <w:rsid w:val="00933404"/>
    <w:rsid w:val="0093528B"/>
    <w:rsid w:val="00943340"/>
    <w:rsid w:val="00947FA5"/>
    <w:rsid w:val="0095003F"/>
    <w:rsid w:val="009600B3"/>
    <w:rsid w:val="00962F68"/>
    <w:rsid w:val="0096745D"/>
    <w:rsid w:val="0097219A"/>
    <w:rsid w:val="00982020"/>
    <w:rsid w:val="009848F2"/>
    <w:rsid w:val="00994A05"/>
    <w:rsid w:val="00994D6B"/>
    <w:rsid w:val="009A4835"/>
    <w:rsid w:val="009B02A3"/>
    <w:rsid w:val="009C1F95"/>
    <w:rsid w:val="009C4022"/>
    <w:rsid w:val="009C6B67"/>
    <w:rsid w:val="009D0521"/>
    <w:rsid w:val="009D0E30"/>
    <w:rsid w:val="009D3A6F"/>
    <w:rsid w:val="009D479A"/>
    <w:rsid w:val="009D6661"/>
    <w:rsid w:val="009D7165"/>
    <w:rsid w:val="009E23F3"/>
    <w:rsid w:val="009E690F"/>
    <w:rsid w:val="009F68F7"/>
    <w:rsid w:val="009F71BB"/>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3C5D"/>
    <w:rsid w:val="00A667EE"/>
    <w:rsid w:val="00A77727"/>
    <w:rsid w:val="00A80BE1"/>
    <w:rsid w:val="00AA1A53"/>
    <w:rsid w:val="00AA44B5"/>
    <w:rsid w:val="00AB3AE7"/>
    <w:rsid w:val="00AD2AE9"/>
    <w:rsid w:val="00AE1F85"/>
    <w:rsid w:val="00AF1114"/>
    <w:rsid w:val="00AF3380"/>
    <w:rsid w:val="00AF7D8E"/>
    <w:rsid w:val="00B033BC"/>
    <w:rsid w:val="00B0708D"/>
    <w:rsid w:val="00B07E02"/>
    <w:rsid w:val="00B10CED"/>
    <w:rsid w:val="00B214D7"/>
    <w:rsid w:val="00B22952"/>
    <w:rsid w:val="00B453CE"/>
    <w:rsid w:val="00B469F2"/>
    <w:rsid w:val="00B53A9E"/>
    <w:rsid w:val="00B6419A"/>
    <w:rsid w:val="00B817CF"/>
    <w:rsid w:val="00BB0078"/>
    <w:rsid w:val="00BB5183"/>
    <w:rsid w:val="00BC3E12"/>
    <w:rsid w:val="00BD4DA7"/>
    <w:rsid w:val="00BD5DF7"/>
    <w:rsid w:val="00BE731C"/>
    <w:rsid w:val="00BF1316"/>
    <w:rsid w:val="00C01B17"/>
    <w:rsid w:val="00C05871"/>
    <w:rsid w:val="00C15C34"/>
    <w:rsid w:val="00C22525"/>
    <w:rsid w:val="00C25E10"/>
    <w:rsid w:val="00C31855"/>
    <w:rsid w:val="00C32A69"/>
    <w:rsid w:val="00C43441"/>
    <w:rsid w:val="00C442C9"/>
    <w:rsid w:val="00C47221"/>
    <w:rsid w:val="00C56538"/>
    <w:rsid w:val="00C5684B"/>
    <w:rsid w:val="00C72DFB"/>
    <w:rsid w:val="00C743E4"/>
    <w:rsid w:val="00C7464F"/>
    <w:rsid w:val="00C764D5"/>
    <w:rsid w:val="00C82890"/>
    <w:rsid w:val="00C84C2F"/>
    <w:rsid w:val="00C87367"/>
    <w:rsid w:val="00CA001C"/>
    <w:rsid w:val="00CA1199"/>
    <w:rsid w:val="00CA21DA"/>
    <w:rsid w:val="00CA7EA1"/>
    <w:rsid w:val="00CA7FFA"/>
    <w:rsid w:val="00CB58DC"/>
    <w:rsid w:val="00CC03AA"/>
    <w:rsid w:val="00CC04A2"/>
    <w:rsid w:val="00CC07F8"/>
    <w:rsid w:val="00CC3E0D"/>
    <w:rsid w:val="00CD18DF"/>
    <w:rsid w:val="00CD5605"/>
    <w:rsid w:val="00CD74E8"/>
    <w:rsid w:val="00CE0383"/>
    <w:rsid w:val="00CE217F"/>
    <w:rsid w:val="00CF0E98"/>
    <w:rsid w:val="00CF25AD"/>
    <w:rsid w:val="00CF74EC"/>
    <w:rsid w:val="00D02EA3"/>
    <w:rsid w:val="00D07C01"/>
    <w:rsid w:val="00D22B5A"/>
    <w:rsid w:val="00D24030"/>
    <w:rsid w:val="00D33858"/>
    <w:rsid w:val="00D40645"/>
    <w:rsid w:val="00D42278"/>
    <w:rsid w:val="00D42803"/>
    <w:rsid w:val="00D471E4"/>
    <w:rsid w:val="00D50412"/>
    <w:rsid w:val="00D5468B"/>
    <w:rsid w:val="00D551B9"/>
    <w:rsid w:val="00D5596B"/>
    <w:rsid w:val="00D56539"/>
    <w:rsid w:val="00D566BC"/>
    <w:rsid w:val="00D617D8"/>
    <w:rsid w:val="00D65CAD"/>
    <w:rsid w:val="00D66C5D"/>
    <w:rsid w:val="00D66ED0"/>
    <w:rsid w:val="00D8115E"/>
    <w:rsid w:val="00D84BE5"/>
    <w:rsid w:val="00D90731"/>
    <w:rsid w:val="00D91BE4"/>
    <w:rsid w:val="00DB4AE0"/>
    <w:rsid w:val="00DB7B7D"/>
    <w:rsid w:val="00DD3D5B"/>
    <w:rsid w:val="00DD4ED3"/>
    <w:rsid w:val="00DE293F"/>
    <w:rsid w:val="00DE6CE1"/>
    <w:rsid w:val="00DF0510"/>
    <w:rsid w:val="00DF13A1"/>
    <w:rsid w:val="00DF1E35"/>
    <w:rsid w:val="00DF2FB4"/>
    <w:rsid w:val="00E02792"/>
    <w:rsid w:val="00E067F0"/>
    <w:rsid w:val="00E12E41"/>
    <w:rsid w:val="00E23375"/>
    <w:rsid w:val="00E329A1"/>
    <w:rsid w:val="00E364ED"/>
    <w:rsid w:val="00E43F28"/>
    <w:rsid w:val="00E5025A"/>
    <w:rsid w:val="00E5642A"/>
    <w:rsid w:val="00E66E69"/>
    <w:rsid w:val="00E73C1A"/>
    <w:rsid w:val="00E75785"/>
    <w:rsid w:val="00E8137F"/>
    <w:rsid w:val="00E81991"/>
    <w:rsid w:val="00E9559E"/>
    <w:rsid w:val="00EA58C3"/>
    <w:rsid w:val="00EB31D3"/>
    <w:rsid w:val="00EB6346"/>
    <w:rsid w:val="00EB6EB5"/>
    <w:rsid w:val="00EC0855"/>
    <w:rsid w:val="00ED3556"/>
    <w:rsid w:val="00ED3BDA"/>
    <w:rsid w:val="00EE3B7E"/>
    <w:rsid w:val="00EE6A5A"/>
    <w:rsid w:val="00EF32B6"/>
    <w:rsid w:val="00F05A61"/>
    <w:rsid w:val="00F115BF"/>
    <w:rsid w:val="00F12BC6"/>
    <w:rsid w:val="00F244BF"/>
    <w:rsid w:val="00F26CCF"/>
    <w:rsid w:val="00F27400"/>
    <w:rsid w:val="00F32081"/>
    <w:rsid w:val="00F43024"/>
    <w:rsid w:val="00F463C7"/>
    <w:rsid w:val="00F474A8"/>
    <w:rsid w:val="00F5081D"/>
    <w:rsid w:val="00F53DF6"/>
    <w:rsid w:val="00F574B7"/>
    <w:rsid w:val="00F605AB"/>
    <w:rsid w:val="00F61060"/>
    <w:rsid w:val="00F645D6"/>
    <w:rsid w:val="00F77123"/>
    <w:rsid w:val="00F87A09"/>
    <w:rsid w:val="00FA03BC"/>
    <w:rsid w:val="00FA394E"/>
    <w:rsid w:val="00FA6A4A"/>
    <w:rsid w:val="00FB037F"/>
    <w:rsid w:val="00FB126F"/>
    <w:rsid w:val="00FB3213"/>
    <w:rsid w:val="00FB55C5"/>
    <w:rsid w:val="00FB65CF"/>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A61"/>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styleId="Rimandocommento">
    <w:name w:val="annotation reference"/>
    <w:basedOn w:val="Carpredefinitoparagrafo"/>
    <w:uiPriority w:val="99"/>
    <w:semiHidden/>
    <w:unhideWhenUsed/>
    <w:rsid w:val="00E81991"/>
    <w:rPr>
      <w:sz w:val="16"/>
      <w:szCs w:val="16"/>
    </w:rPr>
  </w:style>
  <w:style w:type="paragraph" w:styleId="Testocommento">
    <w:name w:val="annotation text"/>
    <w:basedOn w:val="Normale"/>
    <w:link w:val="TestocommentoCarattere"/>
    <w:uiPriority w:val="99"/>
    <w:semiHidden/>
    <w:unhideWhenUsed/>
    <w:rsid w:val="00E81991"/>
    <w:pPr>
      <w:spacing w:line="240" w:lineRule="auto"/>
    </w:pPr>
    <w:rPr>
      <w:sz w:val="20"/>
    </w:rPr>
  </w:style>
  <w:style w:type="character" w:customStyle="1" w:styleId="TestocommentoCarattere">
    <w:name w:val="Testo commento Carattere"/>
    <w:basedOn w:val="Carpredefinitoparagrafo"/>
    <w:link w:val="Testocommento"/>
    <w:uiPriority w:val="99"/>
    <w:semiHidden/>
    <w:rsid w:val="00E81991"/>
  </w:style>
  <w:style w:type="paragraph" w:styleId="Soggettocommento">
    <w:name w:val="annotation subject"/>
    <w:basedOn w:val="Testocommento"/>
    <w:next w:val="Testocommento"/>
    <w:link w:val="SoggettocommentoCarattere"/>
    <w:uiPriority w:val="99"/>
    <w:semiHidden/>
    <w:unhideWhenUsed/>
    <w:rsid w:val="00E81991"/>
    <w:rPr>
      <w:b/>
      <w:bCs/>
    </w:rPr>
  </w:style>
  <w:style w:type="character" w:customStyle="1" w:styleId="SoggettocommentoCarattere">
    <w:name w:val="Soggetto commento Carattere"/>
    <w:basedOn w:val="TestocommentoCarattere"/>
    <w:link w:val="Soggettocommento"/>
    <w:uiPriority w:val="99"/>
    <w:semiHidden/>
    <w:rsid w:val="00E81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570967887">
      <w:bodyDiv w:val="1"/>
      <w:marLeft w:val="0"/>
      <w:marRight w:val="0"/>
      <w:marTop w:val="0"/>
      <w:marBottom w:val="0"/>
      <w:divBdr>
        <w:top w:val="none" w:sz="0" w:space="0" w:color="auto"/>
        <w:left w:val="none" w:sz="0" w:space="0" w:color="auto"/>
        <w:bottom w:val="none" w:sz="0" w:space="0" w:color="auto"/>
        <w:right w:val="none" w:sz="0" w:space="0" w:color="auto"/>
      </w:divBdr>
    </w:div>
    <w:div w:id="574122784">
      <w:bodyDiv w:val="1"/>
      <w:marLeft w:val="0"/>
      <w:marRight w:val="0"/>
      <w:marTop w:val="0"/>
      <w:marBottom w:val="0"/>
      <w:divBdr>
        <w:top w:val="none" w:sz="0" w:space="0" w:color="auto"/>
        <w:left w:val="none" w:sz="0" w:space="0" w:color="auto"/>
        <w:bottom w:val="none" w:sz="0" w:space="0" w:color="auto"/>
        <w:right w:val="none" w:sz="0" w:space="0" w:color="auto"/>
      </w:divBdr>
    </w:div>
    <w:div w:id="576017666">
      <w:bodyDiv w:val="1"/>
      <w:marLeft w:val="0"/>
      <w:marRight w:val="0"/>
      <w:marTop w:val="0"/>
      <w:marBottom w:val="0"/>
      <w:divBdr>
        <w:top w:val="none" w:sz="0" w:space="0" w:color="auto"/>
        <w:left w:val="none" w:sz="0" w:space="0" w:color="auto"/>
        <w:bottom w:val="none" w:sz="0" w:space="0" w:color="auto"/>
        <w:right w:val="none" w:sz="0" w:space="0" w:color="auto"/>
      </w:divBdr>
      <w:divsChild>
        <w:div w:id="1443108897">
          <w:marLeft w:val="547"/>
          <w:marRight w:val="0"/>
          <w:marTop w:val="0"/>
          <w:marBottom w:val="0"/>
          <w:divBdr>
            <w:top w:val="none" w:sz="0" w:space="0" w:color="auto"/>
            <w:left w:val="none" w:sz="0" w:space="0" w:color="auto"/>
            <w:bottom w:val="none" w:sz="0" w:space="0" w:color="auto"/>
            <w:right w:val="none" w:sz="0" w:space="0" w:color="auto"/>
          </w:divBdr>
        </w:div>
        <w:div w:id="1111051034">
          <w:marLeft w:val="547"/>
          <w:marRight w:val="0"/>
          <w:marTop w:val="0"/>
          <w:marBottom w:val="0"/>
          <w:divBdr>
            <w:top w:val="none" w:sz="0" w:space="0" w:color="auto"/>
            <w:left w:val="none" w:sz="0" w:space="0" w:color="auto"/>
            <w:bottom w:val="none" w:sz="0" w:space="0" w:color="auto"/>
            <w:right w:val="none" w:sz="0" w:space="0" w:color="auto"/>
          </w:divBdr>
        </w:div>
        <w:div w:id="595333743">
          <w:marLeft w:val="547"/>
          <w:marRight w:val="0"/>
          <w:marTop w:val="0"/>
          <w:marBottom w:val="0"/>
          <w:divBdr>
            <w:top w:val="none" w:sz="0" w:space="0" w:color="auto"/>
            <w:left w:val="none" w:sz="0" w:space="0" w:color="auto"/>
            <w:bottom w:val="none" w:sz="0" w:space="0" w:color="auto"/>
            <w:right w:val="none" w:sz="0" w:space="0" w:color="auto"/>
          </w:divBdr>
        </w:div>
        <w:div w:id="1460800289">
          <w:marLeft w:val="547"/>
          <w:marRight w:val="0"/>
          <w:marTop w:val="0"/>
          <w:marBottom w:val="0"/>
          <w:divBdr>
            <w:top w:val="none" w:sz="0" w:space="0" w:color="auto"/>
            <w:left w:val="none" w:sz="0" w:space="0" w:color="auto"/>
            <w:bottom w:val="none" w:sz="0" w:space="0" w:color="auto"/>
            <w:right w:val="none" w:sz="0" w:space="0" w:color="auto"/>
          </w:divBdr>
        </w:div>
        <w:div w:id="144247610">
          <w:marLeft w:val="547"/>
          <w:marRight w:val="0"/>
          <w:marTop w:val="0"/>
          <w:marBottom w:val="0"/>
          <w:divBdr>
            <w:top w:val="none" w:sz="0" w:space="0" w:color="auto"/>
            <w:left w:val="none" w:sz="0" w:space="0" w:color="auto"/>
            <w:bottom w:val="none" w:sz="0" w:space="0" w:color="auto"/>
            <w:right w:val="none" w:sz="0" w:space="0" w:color="auto"/>
          </w:divBdr>
        </w:div>
        <w:div w:id="1809854288">
          <w:marLeft w:val="547"/>
          <w:marRight w:val="0"/>
          <w:marTop w:val="0"/>
          <w:marBottom w:val="0"/>
          <w:divBdr>
            <w:top w:val="none" w:sz="0" w:space="0" w:color="auto"/>
            <w:left w:val="none" w:sz="0" w:space="0" w:color="auto"/>
            <w:bottom w:val="none" w:sz="0" w:space="0" w:color="auto"/>
            <w:right w:val="none" w:sz="0" w:space="0" w:color="auto"/>
          </w:divBdr>
        </w:div>
      </w:divsChild>
    </w:div>
    <w:div w:id="1226061969">
      <w:bodyDiv w:val="1"/>
      <w:marLeft w:val="0"/>
      <w:marRight w:val="0"/>
      <w:marTop w:val="0"/>
      <w:marBottom w:val="0"/>
      <w:divBdr>
        <w:top w:val="none" w:sz="0" w:space="0" w:color="auto"/>
        <w:left w:val="none" w:sz="0" w:space="0" w:color="auto"/>
        <w:bottom w:val="none" w:sz="0" w:space="0" w:color="auto"/>
        <w:right w:val="none" w:sz="0" w:space="0" w:color="auto"/>
      </w:divBdr>
      <w:divsChild>
        <w:div w:id="2123259470">
          <w:marLeft w:val="547"/>
          <w:marRight w:val="0"/>
          <w:marTop w:val="0"/>
          <w:marBottom w:val="0"/>
          <w:divBdr>
            <w:top w:val="none" w:sz="0" w:space="0" w:color="auto"/>
            <w:left w:val="none" w:sz="0" w:space="0" w:color="auto"/>
            <w:bottom w:val="none" w:sz="0" w:space="0" w:color="auto"/>
            <w:right w:val="none" w:sz="0" w:space="0" w:color="auto"/>
          </w:divBdr>
        </w:div>
        <w:div w:id="1026755242">
          <w:marLeft w:val="547"/>
          <w:marRight w:val="0"/>
          <w:marTop w:val="0"/>
          <w:marBottom w:val="0"/>
          <w:divBdr>
            <w:top w:val="none" w:sz="0" w:space="0" w:color="auto"/>
            <w:left w:val="none" w:sz="0" w:space="0" w:color="auto"/>
            <w:bottom w:val="none" w:sz="0" w:space="0" w:color="auto"/>
            <w:right w:val="none" w:sz="0" w:space="0" w:color="auto"/>
          </w:divBdr>
        </w:div>
        <w:div w:id="620770957">
          <w:marLeft w:val="547"/>
          <w:marRight w:val="0"/>
          <w:marTop w:val="0"/>
          <w:marBottom w:val="0"/>
          <w:divBdr>
            <w:top w:val="none" w:sz="0" w:space="0" w:color="auto"/>
            <w:left w:val="none" w:sz="0" w:space="0" w:color="auto"/>
            <w:bottom w:val="none" w:sz="0" w:space="0" w:color="auto"/>
            <w:right w:val="none" w:sz="0" w:space="0" w:color="auto"/>
          </w:divBdr>
        </w:div>
        <w:div w:id="1116754991">
          <w:marLeft w:val="547"/>
          <w:marRight w:val="0"/>
          <w:marTop w:val="0"/>
          <w:marBottom w:val="0"/>
          <w:divBdr>
            <w:top w:val="none" w:sz="0" w:space="0" w:color="auto"/>
            <w:left w:val="none" w:sz="0" w:space="0" w:color="auto"/>
            <w:bottom w:val="none" w:sz="0" w:space="0" w:color="auto"/>
            <w:right w:val="none" w:sz="0" w:space="0" w:color="auto"/>
          </w:divBdr>
        </w:div>
        <w:div w:id="745497958">
          <w:marLeft w:val="547"/>
          <w:marRight w:val="0"/>
          <w:marTop w:val="0"/>
          <w:marBottom w:val="0"/>
          <w:divBdr>
            <w:top w:val="none" w:sz="0" w:space="0" w:color="auto"/>
            <w:left w:val="none" w:sz="0" w:space="0" w:color="auto"/>
            <w:bottom w:val="none" w:sz="0" w:space="0" w:color="auto"/>
            <w:right w:val="none" w:sz="0" w:space="0" w:color="auto"/>
          </w:divBdr>
        </w:div>
        <w:div w:id="1953902699">
          <w:marLeft w:val="547"/>
          <w:marRight w:val="0"/>
          <w:marTop w:val="0"/>
          <w:marBottom w:val="0"/>
          <w:divBdr>
            <w:top w:val="none" w:sz="0" w:space="0" w:color="auto"/>
            <w:left w:val="none" w:sz="0" w:space="0" w:color="auto"/>
            <w:bottom w:val="none" w:sz="0" w:space="0" w:color="auto"/>
            <w:right w:val="none" w:sz="0" w:space="0" w:color="auto"/>
          </w:divBdr>
        </w:div>
        <w:div w:id="2143107178">
          <w:marLeft w:val="547"/>
          <w:marRight w:val="0"/>
          <w:marTop w:val="0"/>
          <w:marBottom w:val="0"/>
          <w:divBdr>
            <w:top w:val="none" w:sz="0" w:space="0" w:color="auto"/>
            <w:left w:val="none" w:sz="0" w:space="0" w:color="auto"/>
            <w:bottom w:val="none" w:sz="0" w:space="0" w:color="auto"/>
            <w:right w:val="none" w:sz="0" w:space="0" w:color="auto"/>
          </w:divBdr>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0522">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786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1</TotalTime>
  <Pages>8</Pages>
  <Words>1912</Words>
  <Characters>10901</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12788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4</cp:revision>
  <cp:lastPrinted>2015-09-03T03:20:00Z</cp:lastPrinted>
  <dcterms:created xsi:type="dcterms:W3CDTF">2022-06-24T07:48:00Z</dcterms:created>
  <dcterms:modified xsi:type="dcterms:W3CDTF">2022-07-25T07:03:00Z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