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8FE1" w14:textId="5445ED0E" w:rsidR="003325E7" w:rsidRDefault="001D022A">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 xml:space="preserve">Chapter N </w:t>
      </w:r>
      <w:r w:rsidR="001525E9">
        <w:rPr>
          <w:b/>
          <w:color w:val="FF0000"/>
          <w:sz w:val="28"/>
          <w:szCs w:val="28"/>
        </w:rPr>
        <w:t>131</w:t>
      </w:r>
    </w:p>
    <w:p w14:paraId="23555C58" w14:textId="77777777" w:rsidR="003325E7" w:rsidRDefault="003325E7">
      <w:pPr>
        <w:pBdr>
          <w:top w:val="nil"/>
          <w:left w:val="nil"/>
          <w:bottom w:val="nil"/>
          <w:right w:val="nil"/>
          <w:between w:val="nil"/>
        </w:pBdr>
        <w:tabs>
          <w:tab w:val="left" w:pos="5812"/>
          <w:tab w:val="left" w:pos="5954"/>
          <w:tab w:val="left" w:pos="6096"/>
          <w:tab w:val="left" w:pos="6237"/>
        </w:tabs>
        <w:spacing w:line="240" w:lineRule="auto"/>
        <w:ind w:right="-28"/>
        <w:rPr>
          <w:b/>
          <w:sz w:val="28"/>
          <w:szCs w:val="28"/>
        </w:rPr>
      </w:pPr>
    </w:p>
    <w:p w14:paraId="1CC458E4" w14:textId="77777777" w:rsidR="003325E7" w:rsidRDefault="001D022A">
      <w:pPr>
        <w:pBdr>
          <w:top w:val="nil"/>
          <w:left w:val="nil"/>
          <w:bottom w:val="nil"/>
          <w:right w:val="nil"/>
          <w:between w:val="nil"/>
        </w:pBdr>
        <w:tabs>
          <w:tab w:val="left" w:pos="5812"/>
          <w:tab w:val="left" w:pos="5954"/>
          <w:tab w:val="left" w:pos="6096"/>
          <w:tab w:val="left" w:pos="6237"/>
        </w:tabs>
        <w:spacing w:line="240" w:lineRule="auto"/>
        <w:ind w:right="-28"/>
        <w:rPr>
          <w:b/>
          <w:sz w:val="28"/>
          <w:szCs w:val="28"/>
        </w:rPr>
      </w:pPr>
      <w:r>
        <w:rPr>
          <w:b/>
          <w:sz w:val="28"/>
          <w:szCs w:val="28"/>
        </w:rPr>
        <w:t>Reshoring and nearshoring of resource for more resilient and sustainable manufacturing chains</w:t>
      </w:r>
    </w:p>
    <w:p w14:paraId="3392D76E" w14:textId="77777777" w:rsidR="003325E7" w:rsidRDefault="003325E7">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14:paraId="383F2929" w14:textId="77777777" w:rsidR="003325E7" w:rsidRDefault="001D022A">
      <w:pPr>
        <w:pBdr>
          <w:top w:val="nil"/>
          <w:left w:val="nil"/>
          <w:bottom w:val="nil"/>
          <w:right w:val="nil"/>
          <w:between w:val="nil"/>
        </w:pBdr>
        <w:tabs>
          <w:tab w:val="right" w:pos="6480"/>
          <w:tab w:val="left" w:pos="6379"/>
        </w:tabs>
        <w:spacing w:line="276" w:lineRule="auto"/>
        <w:ind w:right="-30"/>
        <w:rPr>
          <w:b/>
          <w:color w:val="000000"/>
        </w:rPr>
      </w:pPr>
      <w:r>
        <w:rPr>
          <w:noProof/>
        </w:rPr>
        <mc:AlternateContent>
          <mc:Choice Requires="wpg">
            <w:drawing>
              <wp:anchor distT="0" distB="0" distL="114300" distR="114300" simplePos="0" relativeHeight="251658240" behindDoc="0" locked="0" layoutInCell="1" hidden="0" allowOverlap="1" wp14:anchorId="0B4168C8" wp14:editId="675D7B40">
                <wp:simplePos x="0" y="0"/>
                <wp:positionH relativeFrom="column">
                  <wp:posOffset>1</wp:posOffset>
                </wp:positionH>
                <wp:positionV relativeFrom="paragraph">
                  <wp:posOffset>12700</wp:posOffset>
                </wp:positionV>
                <wp:extent cx="4667250" cy="38100"/>
                <wp:effectExtent l="0" t="0" r="0" b="0"/>
                <wp:wrapNone/>
                <wp:docPr id="4" name="Connettore 2 4"/>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4667250" cy="381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667250" cy="38100"/>
                        </a:xfrm>
                        <a:prstGeom prst="rect"/>
                        <a:ln/>
                      </pic:spPr>
                    </pic:pic>
                  </a:graphicData>
                </a:graphic>
              </wp:anchor>
            </w:drawing>
          </mc:Fallback>
        </mc:AlternateContent>
      </w:r>
    </w:p>
    <w:p w14:paraId="6A1AE754" w14:textId="77777777" w:rsidR="003325E7" w:rsidRDefault="001D022A">
      <w:pPr>
        <w:pBdr>
          <w:top w:val="nil"/>
          <w:left w:val="nil"/>
          <w:bottom w:val="nil"/>
          <w:right w:val="nil"/>
          <w:between w:val="nil"/>
        </w:pBdr>
        <w:tabs>
          <w:tab w:val="right" w:pos="6480"/>
          <w:tab w:val="left" w:pos="6379"/>
        </w:tabs>
        <w:spacing w:line="276" w:lineRule="auto"/>
        <w:ind w:right="-30"/>
      </w:pPr>
      <w:r>
        <w:rPr>
          <w:b/>
          <w:color w:val="000000"/>
        </w:rPr>
        <w:t>Abstract.</w:t>
      </w:r>
      <w:r>
        <w:rPr>
          <w:color w:val="000000"/>
        </w:rPr>
        <w:t xml:space="preserve"> </w:t>
      </w:r>
      <w:r>
        <w:rPr>
          <w:i/>
        </w:rPr>
        <w:t xml:space="preserve">The combined action of pandemic first and geopolitical tensions later have highlighted the fragility of many global supply chains. An unexpected event in a totally interconnected world requires companies to react quickly to respond to change. This chapter analyzes critical issues emerging in the Italian ceramic industry supply chain, which is characterized by a high intensity of natural and energy resource use and a sourcing system with high geopolitical risk. Using the methodological approach of </w:t>
      </w:r>
      <w:proofErr w:type="spellStart"/>
      <w:r>
        <w:rPr>
          <w:i/>
        </w:rPr>
        <w:t>transdisciplinarity</w:t>
      </w:r>
      <w:proofErr w:type="spellEnd"/>
      <w:r>
        <w:rPr>
          <w:i/>
        </w:rPr>
        <w:t xml:space="preserve"> as a perspective for solving complex problems in manufacturing, alternative supply chain scenarios are outlined </w:t>
      </w:r>
      <w:proofErr w:type="gramStart"/>
      <w:r>
        <w:rPr>
          <w:i/>
        </w:rPr>
        <w:t>in order to</w:t>
      </w:r>
      <w:proofErr w:type="gramEnd"/>
      <w:r>
        <w:rPr>
          <w:i/>
        </w:rPr>
        <w:t xml:space="preserve"> identify nearshoring and reshoring strategies for a more resilient and sustainable supply for the Italian ceramic industry.</w:t>
      </w:r>
    </w:p>
    <w:p w14:paraId="25296EC3" w14:textId="77777777" w:rsidR="003325E7" w:rsidRDefault="003325E7">
      <w:pPr>
        <w:pBdr>
          <w:top w:val="nil"/>
          <w:left w:val="nil"/>
          <w:bottom w:val="nil"/>
          <w:right w:val="nil"/>
          <w:between w:val="nil"/>
        </w:pBdr>
        <w:tabs>
          <w:tab w:val="right" w:pos="6480"/>
          <w:tab w:val="left" w:pos="6379"/>
        </w:tabs>
        <w:spacing w:line="276" w:lineRule="auto"/>
        <w:ind w:right="-30"/>
      </w:pPr>
    </w:p>
    <w:p w14:paraId="418B023C" w14:textId="77777777" w:rsidR="003325E7" w:rsidRDefault="001D022A">
      <w:pPr>
        <w:pBdr>
          <w:top w:val="nil"/>
          <w:left w:val="nil"/>
          <w:bottom w:val="nil"/>
          <w:right w:val="nil"/>
          <w:between w:val="nil"/>
        </w:pBdr>
        <w:tabs>
          <w:tab w:val="right" w:pos="6480"/>
          <w:tab w:val="left" w:pos="6379"/>
        </w:tabs>
        <w:spacing w:line="276" w:lineRule="auto"/>
        <w:ind w:right="-30"/>
      </w:pPr>
      <w:r>
        <w:rPr>
          <w:b/>
          <w:color w:val="000000"/>
        </w:rPr>
        <w:t>Keywords.</w:t>
      </w:r>
      <w:r>
        <w:rPr>
          <w:color w:val="000000"/>
        </w:rPr>
        <w:t xml:space="preserve"> </w:t>
      </w:r>
      <w:r>
        <w:t>Supply Chains Disruptions, Manufacturing, Reshoring, Nearshoring, Resilience, Sustainability</w:t>
      </w:r>
    </w:p>
    <w:p w14:paraId="0CE19802" w14:textId="77777777" w:rsidR="003325E7" w:rsidRDefault="001D022A">
      <w:pPr>
        <w:pBdr>
          <w:top w:val="nil"/>
          <w:left w:val="nil"/>
          <w:bottom w:val="nil"/>
          <w:right w:val="nil"/>
          <w:between w:val="nil"/>
        </w:pBdr>
        <w:tabs>
          <w:tab w:val="right" w:pos="6480"/>
          <w:tab w:val="left" w:pos="6379"/>
        </w:tabs>
        <w:spacing w:line="276" w:lineRule="auto"/>
        <w:ind w:right="-30"/>
        <w:rPr>
          <w:color w:val="000000"/>
        </w:rPr>
      </w:pPr>
      <w:r>
        <w:rPr>
          <w:noProof/>
        </w:rPr>
        <mc:AlternateContent>
          <mc:Choice Requires="wpg">
            <w:drawing>
              <wp:anchor distT="0" distB="0" distL="114300" distR="114300" simplePos="0" relativeHeight="251659264" behindDoc="0" locked="0" layoutInCell="1" hidden="0" allowOverlap="1" wp14:anchorId="084E21BE" wp14:editId="3871212F">
                <wp:simplePos x="0" y="0"/>
                <wp:positionH relativeFrom="column">
                  <wp:posOffset>1</wp:posOffset>
                </wp:positionH>
                <wp:positionV relativeFrom="paragraph">
                  <wp:posOffset>101600</wp:posOffset>
                </wp:positionV>
                <wp:extent cx="4667250" cy="38100"/>
                <wp:effectExtent l="0" t="0" r="0" b="0"/>
                <wp:wrapNone/>
                <wp:docPr id="2" name="Connettore 2 2"/>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4667250" cy="381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667250" cy="38100"/>
                        </a:xfrm>
                        <a:prstGeom prst="rect"/>
                        <a:ln/>
                      </pic:spPr>
                    </pic:pic>
                  </a:graphicData>
                </a:graphic>
              </wp:anchor>
            </w:drawing>
          </mc:Fallback>
        </mc:AlternateContent>
      </w:r>
    </w:p>
    <w:p w14:paraId="459140E5" w14:textId="77777777" w:rsidR="003325E7" w:rsidRDefault="003325E7">
      <w:pPr>
        <w:pBdr>
          <w:top w:val="nil"/>
          <w:left w:val="nil"/>
          <w:bottom w:val="nil"/>
          <w:right w:val="nil"/>
          <w:between w:val="nil"/>
        </w:pBdr>
        <w:tabs>
          <w:tab w:val="right" w:pos="6480"/>
          <w:tab w:val="left" w:pos="6379"/>
        </w:tabs>
        <w:spacing w:line="276" w:lineRule="auto"/>
        <w:ind w:right="-30"/>
        <w:rPr>
          <w:color w:val="000000"/>
        </w:rPr>
      </w:pPr>
    </w:p>
    <w:p w14:paraId="7073658F" w14:textId="77777777" w:rsidR="003325E7" w:rsidRDefault="001D022A">
      <w:pPr>
        <w:pStyle w:val="Titolo1"/>
        <w:numPr>
          <w:ilvl w:val="1"/>
          <w:numId w:val="2"/>
        </w:numPr>
        <w:spacing w:before="0" w:after="0" w:line="276" w:lineRule="auto"/>
      </w:pPr>
      <w:bookmarkStart w:id="0" w:name="_gjdgxs" w:colFirst="0" w:colLast="0"/>
      <w:bookmarkEnd w:id="0"/>
      <w:r>
        <w:t>Introduction</w:t>
      </w:r>
    </w:p>
    <w:p w14:paraId="160C0D06" w14:textId="77777777" w:rsidR="003325E7" w:rsidRDefault="001D022A">
      <w:pPr>
        <w:tabs>
          <w:tab w:val="right" w:pos="6480"/>
          <w:tab w:val="left" w:pos="6379"/>
        </w:tabs>
        <w:spacing w:line="276" w:lineRule="auto"/>
        <w:ind w:right="-30"/>
      </w:pPr>
      <w:r>
        <w:t>After years of globalization, world economic integration is slowing down due to the consequences of the crisis caused by the pandemic and global geopolitical tensions that push nations towards forms of protectionism (</w:t>
      </w:r>
      <w:proofErr w:type="spellStart"/>
      <w:r>
        <w:t>Hameiri</w:t>
      </w:r>
      <w:proofErr w:type="spellEnd"/>
      <w:r>
        <w:t xml:space="preserve">, 2021). In this context of global crisis, with disruptions in the supply chains of natural and energy resources, it becomes imperative for manufacturing companies to optimize the use of production factors and reconfigure supply chains with reshoring and nearshoring strategies (van Hoek and </w:t>
      </w:r>
      <w:proofErr w:type="spellStart"/>
      <w:r>
        <w:t>Dobrzykowski</w:t>
      </w:r>
      <w:proofErr w:type="spellEnd"/>
      <w:r>
        <w:t xml:space="preserve">, 2021). This implies a major effort by industries to innovate processes, organizational models, </w:t>
      </w:r>
      <w:proofErr w:type="gramStart"/>
      <w:r>
        <w:t>products</w:t>
      </w:r>
      <w:proofErr w:type="gramEnd"/>
      <w:r>
        <w:t xml:space="preserve"> and business models because the system of value creation and capture has radically changed (</w:t>
      </w:r>
      <w:proofErr w:type="spellStart"/>
      <w:r>
        <w:t>Magableh</w:t>
      </w:r>
      <w:proofErr w:type="spellEnd"/>
      <w:r>
        <w:t xml:space="preserve">, 2021). Therefore, diversification of supply sources and building new supply chains that are more resilient, </w:t>
      </w:r>
      <w:proofErr w:type="gramStart"/>
      <w:r>
        <w:t>agile</w:t>
      </w:r>
      <w:proofErr w:type="gramEnd"/>
      <w:r>
        <w:t xml:space="preserve"> and flexible to respond to sudden market disruptions is necessary (Miceli et al., 2021). The management of this change can be effectively supported </w:t>
      </w:r>
      <w:proofErr w:type="gramStart"/>
      <w:r>
        <w:t>by the use of</w:t>
      </w:r>
      <w:proofErr w:type="gramEnd"/>
      <w:r>
        <w:t xml:space="preserve"> appropriate design tools and a cross-disciplinary approach to innovation, namely no longer the mere overlap of technical and managerial knowledge, but their effective integration (</w:t>
      </w:r>
      <w:proofErr w:type="spellStart"/>
      <w:r>
        <w:t>Khanuja</w:t>
      </w:r>
      <w:proofErr w:type="spellEnd"/>
      <w:r>
        <w:t xml:space="preserve"> and Jain, 2021).</w:t>
      </w:r>
    </w:p>
    <w:p w14:paraId="675C4C36" w14:textId="77777777" w:rsidR="003325E7" w:rsidRDefault="003325E7">
      <w:pPr>
        <w:tabs>
          <w:tab w:val="right" w:pos="6480"/>
          <w:tab w:val="left" w:pos="6379"/>
        </w:tabs>
        <w:spacing w:line="276" w:lineRule="auto"/>
        <w:ind w:right="-30"/>
      </w:pPr>
    </w:p>
    <w:p w14:paraId="5AE493D3" w14:textId="77777777" w:rsidR="003325E7" w:rsidRDefault="001D022A">
      <w:pPr>
        <w:pStyle w:val="Titolo1"/>
        <w:numPr>
          <w:ilvl w:val="1"/>
          <w:numId w:val="2"/>
        </w:numPr>
        <w:spacing w:before="0" w:after="0" w:line="276" w:lineRule="auto"/>
      </w:pPr>
      <w:bookmarkStart w:id="1" w:name="_30j0zll" w:colFirst="0" w:colLast="0"/>
      <w:bookmarkEnd w:id="1"/>
      <w:r>
        <w:t>General overview on recent reshoring/nearshoring trends</w:t>
      </w:r>
    </w:p>
    <w:p w14:paraId="0E07E830" w14:textId="77777777" w:rsidR="003325E7" w:rsidRDefault="001D022A">
      <w:pPr>
        <w:tabs>
          <w:tab w:val="right" w:pos="6480"/>
          <w:tab w:val="left" w:pos="6379"/>
        </w:tabs>
        <w:spacing w:line="276" w:lineRule="auto"/>
        <w:ind w:right="-30"/>
      </w:pPr>
      <w:r>
        <w:t>In manufacturing, industrial location represents the geographic place where the company decides to source the factors of production (inputs) to process them and transform them into products (outputs) to be sold to its customers (</w:t>
      </w:r>
      <w:proofErr w:type="spellStart"/>
      <w:r>
        <w:t>Bogataj</w:t>
      </w:r>
      <w:proofErr w:type="spellEnd"/>
      <w:r>
        <w:t xml:space="preserve"> et al., 2011). It follows that localization is an integral part of the company's strategic planning process and helps determine its competitive strategy. The optimal plant location is closely related to the type of business the company develops and therefore must be identified </w:t>
      </w:r>
      <w:proofErr w:type="gramStart"/>
      <w:r>
        <w:t>taking into account</w:t>
      </w:r>
      <w:proofErr w:type="gramEnd"/>
      <w:r>
        <w:t xml:space="preserve"> the needs of all company areas, not just manufacturing ones (</w:t>
      </w:r>
      <w:proofErr w:type="spellStart"/>
      <w:r>
        <w:t>Gothwal</w:t>
      </w:r>
      <w:proofErr w:type="spellEnd"/>
      <w:r>
        <w:t xml:space="preserve"> and </w:t>
      </w:r>
      <w:proofErr w:type="spellStart"/>
      <w:r>
        <w:t>Saha</w:t>
      </w:r>
      <w:proofErr w:type="spellEnd"/>
      <w:r>
        <w:t xml:space="preserve">, 2015). Especially since the late 21st century, there has been a tendency for manufacturing firms to shift their production from developed to developing or emerging countries to reduce costs or to take advantage of sales opportunities offered by rapidly expanding markets. This phenomenon is known as offshoring and is related to the opening of nations to international trade, economic </w:t>
      </w:r>
      <w:proofErr w:type="gramStart"/>
      <w:r>
        <w:t>integration</w:t>
      </w:r>
      <w:proofErr w:type="gramEnd"/>
      <w:r>
        <w:t xml:space="preserve"> and globalization (Krieger-Bode and </w:t>
      </w:r>
      <w:proofErr w:type="spellStart"/>
      <w:r>
        <w:t>Soltwedel</w:t>
      </w:r>
      <w:proofErr w:type="spellEnd"/>
      <w:r>
        <w:t xml:space="preserve">, 2013). Stated another way, manufacturing offshoring is a strategy that responds to changes in the competitive environment of firms seeking greater competitiveness through the achievement of new comparative advantages. Offshoring can save on production costs in the short term, but over a longer time horizon it carries the risk of losing control of operations due to distance from the parent company, cultural and legal differences, language barriers that make communication more difficult, and even geopolitical scenarios that can sometimes hinder performance (Baldwin and Venables, 2013). </w:t>
      </w:r>
    </w:p>
    <w:p w14:paraId="60632771" w14:textId="77777777" w:rsidR="003325E7" w:rsidRDefault="001D022A">
      <w:pPr>
        <w:tabs>
          <w:tab w:val="right" w:pos="6480"/>
          <w:tab w:val="left" w:pos="6379"/>
        </w:tabs>
        <w:spacing w:line="276" w:lineRule="auto"/>
        <w:ind w:right="-30"/>
      </w:pPr>
      <w:r>
        <w:t>Nowadays, however, the reasons that initially prompted manufacturing firms to relocate are no longer as pronounced. In fact, the labor cost gap between the West and emerging countries has rebalanced over time, and in addition, labor and environmental protection regulations in these countries have evolved closer to those of more developed ones. These causes have led to the rise of an opposing phenomenon known as reshoring, which consists of rethinking the location of a previously offshored industry (Johansson et al., 2019). This is an operational model in which manufacturing firms return to domestic production in response to the need to re-industrialize developed economies to mitigate the risks and fragility of supply chains (</w:t>
      </w:r>
      <w:proofErr w:type="spellStart"/>
      <w:r>
        <w:t>Fratocchi</w:t>
      </w:r>
      <w:proofErr w:type="spellEnd"/>
      <w:r>
        <w:t xml:space="preserve"> et al., 2014; Barbieri et al., 2020). However, it is not always possible to bring business back home, this happens because some sectors need raw materials that are absent at home, and in others because replicating manufacturing infrastructure would be too costly. In such cases, one option companies can undertake is friend-shoring, which is the relocation of industrial operations to friendly, albeit distant, countries that nonetheless share the value system and </w:t>
      </w:r>
      <w:r>
        <w:lastRenderedPageBreak/>
        <w:t>political alignment (</w:t>
      </w:r>
      <w:proofErr w:type="spellStart"/>
      <w:r>
        <w:t>Ciravegna</w:t>
      </w:r>
      <w:proofErr w:type="spellEnd"/>
      <w:r>
        <w:t xml:space="preserve"> and </w:t>
      </w:r>
      <w:proofErr w:type="spellStart"/>
      <w:r>
        <w:t>Michailova</w:t>
      </w:r>
      <w:proofErr w:type="spellEnd"/>
      <w:r>
        <w:t>, 2021). This minimizes the exposure of manufacturing operations to geopolitical risks. If this alternative is not viable either, firms can opt instead for nearshoring, a variant of offshoring that can be alternative or complementary to reshoring in that it involves a manufacturing firm relocating (or reapproaching from afar) its operational processes to countries close to its business headquarters (</w:t>
      </w:r>
      <w:proofErr w:type="spellStart"/>
      <w:r>
        <w:t>Piatanesi</w:t>
      </w:r>
      <w:proofErr w:type="spellEnd"/>
      <w:r>
        <w:t xml:space="preserve"> and </w:t>
      </w:r>
      <w:proofErr w:type="spellStart"/>
      <w:r>
        <w:t>Arauzo‐Carod</w:t>
      </w:r>
      <w:proofErr w:type="spellEnd"/>
      <w:r>
        <w:t>, 2019). Moreover, starting in 2020, the Covid-19 pandemic and subsequent geopolitical tensions related to regional conflicts disrupted many supply chains, highlighting their fragilities and raising the question of a paradigm change in globalization. All this has accelerated the phenomena of reshoring and/or nearshoring of production by many companies in more advanced economies (</w:t>
      </w:r>
      <w:proofErr w:type="spellStart"/>
      <w:r>
        <w:t>Colamatteo</w:t>
      </w:r>
      <w:proofErr w:type="spellEnd"/>
      <w:r>
        <w:t xml:space="preserve"> et al., 2021).</w:t>
      </w:r>
    </w:p>
    <w:p w14:paraId="56ED081F" w14:textId="77777777" w:rsidR="003325E7" w:rsidRDefault="001D022A">
      <w:pPr>
        <w:tabs>
          <w:tab w:val="right" w:pos="6480"/>
          <w:tab w:val="left" w:pos="6379"/>
        </w:tabs>
        <w:spacing w:line="276" w:lineRule="auto"/>
        <w:ind w:right="-30"/>
      </w:pPr>
      <w:r>
        <w:t xml:space="preserve">Although there is a large body of literature on reshoring and nearshoring strategies related to manufacturing processes (Merino et al., 2021), scholars have not yet sufficiently explored the same strategic options for input sourcing procedures (van Hoek and </w:t>
      </w:r>
      <w:proofErr w:type="spellStart"/>
      <w:r>
        <w:t>Dobrzykowski</w:t>
      </w:r>
      <w:proofErr w:type="spellEnd"/>
      <w:r>
        <w:t>, 2021). The raw material supply network represents one of the most critical elements of the production process in natural resource-intensive industries, such as the construction, concrete, glass, ceramics, metals, etc. industries are (</w:t>
      </w:r>
      <w:proofErr w:type="spellStart"/>
      <w:r>
        <w:t>Appolloni</w:t>
      </w:r>
      <w:proofErr w:type="spellEnd"/>
      <w:r>
        <w:t xml:space="preserve"> at al., 2022). The globalization process over the past three decades has allowed access to new markets for natural raw materials, and offshoring of sourcing has emerged as the best option for manufacturing firms to have resources in large quantities and good quality at affordable prices (</w:t>
      </w:r>
      <w:proofErr w:type="spellStart"/>
      <w:r>
        <w:t>Matyushok</w:t>
      </w:r>
      <w:proofErr w:type="spellEnd"/>
      <w:r>
        <w:t xml:space="preserve"> et al., 2021). However, the complexity of supply logistics became evident during the pandemic (Ikram et al., 2021) highlighting to manufacturing firms the need to equip themselves with appropriate systems for optimal management of the resources deployed from a perspective of operational excellence (Ma et al., 2021). Therefore, managing the increasing complexity of value chains in times of disruption requires the coexistence of a plurality of both engineering and socio-economic skills. However, a single multidisciplinary approach in which multiple disciplines operate simultaneously, and which therefore merely juxtaposes knowledge with an additive logic without fostering dialogue between different domains, does not solve the problem of complexity (</w:t>
      </w:r>
      <w:proofErr w:type="spellStart"/>
      <w:r>
        <w:t>Gligor</w:t>
      </w:r>
      <w:proofErr w:type="spellEnd"/>
      <w:r>
        <w:t xml:space="preserve"> et al., 2013). The first step toward more effective problem solving could be the integrated approach that characterizes interdisciplinarity, which occupies the space between knowledge domains where disciplines can combine concepts, </w:t>
      </w:r>
      <w:proofErr w:type="gramStart"/>
      <w:r>
        <w:t>methodologies</w:t>
      </w:r>
      <w:proofErr w:type="gramEnd"/>
      <w:r>
        <w:t xml:space="preserve"> or tools (Xu, 2020). This contamination of knowledge, however, occurs only among disciplines that are culturally close to each other and by their very nature have points of connection. The real paradigm shift for complexity analysis is the epistemological approach of </w:t>
      </w:r>
      <w:proofErr w:type="spellStart"/>
      <w:r>
        <w:t>transdisciplinarity</w:t>
      </w:r>
      <w:proofErr w:type="spellEnd"/>
      <w:r>
        <w:t xml:space="preserve">, which instead aspires to develop new knowledge </w:t>
      </w:r>
      <w:r>
        <w:lastRenderedPageBreak/>
        <w:t>by going beyond and interweaving concepts and methods of individual disciplines, even if they are far apart (Broo, 2022). This holistic and systemic view based on both engineering and socio-economic expertise may prove to be the most appropriate for interpreting the complexity of supply chains and for identifying solutions in response to sudden changes in the operating environment (</w:t>
      </w:r>
      <w:proofErr w:type="spellStart"/>
      <w:r>
        <w:t>Peruzzini</w:t>
      </w:r>
      <w:proofErr w:type="spellEnd"/>
      <w:r>
        <w:t xml:space="preserve"> and </w:t>
      </w:r>
      <w:proofErr w:type="spellStart"/>
      <w:r>
        <w:t>Stjepandić</w:t>
      </w:r>
      <w:proofErr w:type="spellEnd"/>
      <w:r>
        <w:t xml:space="preserve">, 2018). There are few examples in the literature of the application of </w:t>
      </w:r>
      <w:proofErr w:type="spellStart"/>
      <w:r>
        <w:t>transdisciplinarity</w:t>
      </w:r>
      <w:proofErr w:type="spellEnd"/>
      <w:r>
        <w:t xml:space="preserve"> in an operational environment as a perspective for solving complex problems in industry (</w:t>
      </w:r>
      <w:proofErr w:type="spellStart"/>
      <w:r>
        <w:t>Peruzzini</w:t>
      </w:r>
      <w:proofErr w:type="spellEnd"/>
      <w:r>
        <w:t xml:space="preserve"> et al., 2020). This study aims to fill this gap, analyzing the criticalities emerging in the Italian ceramic industry, which is characterized by a high intensity of use of natural and energy resources and by a supply system with a high geopolitical risk. </w:t>
      </w:r>
    </w:p>
    <w:p w14:paraId="5E5D6095" w14:textId="77777777" w:rsidR="003325E7" w:rsidRDefault="003325E7">
      <w:pPr>
        <w:tabs>
          <w:tab w:val="right" w:pos="6480"/>
          <w:tab w:val="left" w:pos="6379"/>
        </w:tabs>
        <w:spacing w:line="276" w:lineRule="auto"/>
        <w:ind w:right="-30"/>
      </w:pPr>
    </w:p>
    <w:p w14:paraId="3F4F0D5E" w14:textId="77777777" w:rsidR="003325E7" w:rsidRDefault="001D022A">
      <w:pPr>
        <w:pStyle w:val="Titolo1"/>
        <w:numPr>
          <w:ilvl w:val="1"/>
          <w:numId w:val="2"/>
        </w:numPr>
        <w:spacing w:before="0" w:after="0" w:line="276" w:lineRule="auto"/>
      </w:pPr>
      <w:bookmarkStart w:id="2" w:name="_1fob9te" w:colFirst="0" w:colLast="0"/>
      <w:bookmarkEnd w:id="2"/>
      <w:r>
        <w:t>Research context and methodological approach</w:t>
      </w:r>
    </w:p>
    <w:p w14:paraId="56C0B5CD" w14:textId="77777777" w:rsidR="003325E7" w:rsidRDefault="001D022A">
      <w:pPr>
        <w:tabs>
          <w:tab w:val="right" w:pos="6480"/>
          <w:tab w:val="left" w:pos="6379"/>
        </w:tabs>
        <w:spacing w:line="276" w:lineRule="auto"/>
        <w:ind w:right="-30"/>
      </w:pPr>
      <w:r>
        <w:t xml:space="preserve">The ceramic industry, which produces floor and wall coverings for buildings, is also among the natural resource- and energy-intensive industries (García-Muiña et al., 2020). In this context, the Italian and Spanish ceramic industries with the two production hubs of </w:t>
      </w:r>
      <w:proofErr w:type="spellStart"/>
      <w:r>
        <w:t>Sassuolo</w:t>
      </w:r>
      <w:proofErr w:type="spellEnd"/>
      <w:r>
        <w:t xml:space="preserve"> and </w:t>
      </w:r>
      <w:proofErr w:type="spellStart"/>
      <w:r>
        <w:t>Castellón</w:t>
      </w:r>
      <w:proofErr w:type="spellEnd"/>
      <w:r>
        <w:t xml:space="preserve"> are the most important clusters in the European ceramic supply chain (</w:t>
      </w:r>
      <w:proofErr w:type="spellStart"/>
      <w:r>
        <w:t>Appolloni</w:t>
      </w:r>
      <w:proofErr w:type="spellEnd"/>
      <w:r>
        <w:t xml:space="preserve"> et al., 2021) since together, both domestic industries have a turnover of about 11,000 million euros in 2021, generating direct employment for more than 36,000 employees (Table 1).</w:t>
      </w:r>
    </w:p>
    <w:p w14:paraId="3A0B4D78" w14:textId="77777777" w:rsidR="003325E7" w:rsidRDefault="003325E7">
      <w:pPr>
        <w:tabs>
          <w:tab w:val="right" w:pos="6480"/>
          <w:tab w:val="left" w:pos="6379"/>
        </w:tabs>
        <w:spacing w:line="276" w:lineRule="auto"/>
        <w:ind w:right="-30"/>
      </w:pPr>
    </w:p>
    <w:tbl>
      <w:tblPr>
        <w:tblStyle w:val="a"/>
        <w:tblW w:w="7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tblGrid>
      <w:tr w:rsidR="003325E7" w14:paraId="6476C336" w14:textId="77777777" w:rsidTr="00AD4341">
        <w:trPr>
          <w:trHeight w:val="420"/>
          <w:jc w:val="center"/>
        </w:trPr>
        <w:tc>
          <w:tcPr>
            <w:tcW w:w="7200" w:type="dxa"/>
            <w:gridSpan w:val="5"/>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EA7BFD2" w14:textId="77777777" w:rsidR="003325E7" w:rsidRDefault="001D022A">
            <w:pPr>
              <w:widowControl w:val="0"/>
              <w:pBdr>
                <w:top w:val="nil"/>
                <w:left w:val="nil"/>
                <w:bottom w:val="nil"/>
                <w:right w:val="nil"/>
                <w:between w:val="nil"/>
              </w:pBdr>
              <w:spacing w:line="240" w:lineRule="auto"/>
              <w:rPr>
                <w:sz w:val="18"/>
                <w:szCs w:val="18"/>
              </w:rPr>
            </w:pPr>
            <w:r>
              <w:rPr>
                <w:sz w:val="18"/>
                <w:szCs w:val="18"/>
              </w:rPr>
              <w:t>Table 1. Key figures of the Italian and Spanish ceramic industry relative to the year 2021.</w:t>
            </w:r>
          </w:p>
        </w:tc>
      </w:tr>
      <w:tr w:rsidR="003325E7" w14:paraId="2138482C" w14:textId="77777777" w:rsidTr="00AD4341">
        <w:trPr>
          <w:trHeight w:val="420"/>
          <w:jc w:val="center"/>
        </w:trPr>
        <w:tc>
          <w:tcPr>
            <w:tcW w:w="144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3B2BEC59" w14:textId="77777777" w:rsidR="003325E7" w:rsidRDefault="001D022A">
            <w:pPr>
              <w:widowControl w:val="0"/>
              <w:spacing w:line="240" w:lineRule="auto"/>
              <w:jc w:val="center"/>
              <w:rPr>
                <w:sz w:val="18"/>
                <w:szCs w:val="18"/>
              </w:rPr>
            </w:pPr>
            <w:r>
              <w:rPr>
                <w:sz w:val="18"/>
                <w:szCs w:val="18"/>
              </w:rPr>
              <w:t>CERAMIC INDUSTRY</w:t>
            </w:r>
          </w:p>
        </w:tc>
        <w:tc>
          <w:tcPr>
            <w:tcW w:w="144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1F16E43B"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Tiles Production (millions of m</w:t>
            </w:r>
            <w:r>
              <w:rPr>
                <w:sz w:val="18"/>
                <w:szCs w:val="18"/>
                <w:vertAlign w:val="superscript"/>
              </w:rPr>
              <w:t>2</w:t>
            </w:r>
            <w:r>
              <w:rPr>
                <w:sz w:val="18"/>
                <w:szCs w:val="18"/>
              </w:rPr>
              <w:t>)</w:t>
            </w:r>
          </w:p>
        </w:tc>
        <w:tc>
          <w:tcPr>
            <w:tcW w:w="144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4C3E735D"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 xml:space="preserve">Turnover </w:t>
            </w:r>
          </w:p>
          <w:p w14:paraId="12DC9F03"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 million)</w:t>
            </w:r>
          </w:p>
        </w:tc>
        <w:tc>
          <w:tcPr>
            <w:tcW w:w="144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34CD02F8"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Exports</w:t>
            </w:r>
          </w:p>
          <w:p w14:paraId="37F7A582"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 xml:space="preserve"> (%)</w:t>
            </w:r>
          </w:p>
        </w:tc>
        <w:tc>
          <w:tcPr>
            <w:tcW w:w="144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329535A8"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No. of employees</w:t>
            </w:r>
          </w:p>
        </w:tc>
      </w:tr>
      <w:tr w:rsidR="003325E7" w14:paraId="1BE53DA5" w14:textId="77777777" w:rsidTr="00AD4341">
        <w:trPr>
          <w:trHeight w:val="420"/>
          <w:jc w:val="center"/>
        </w:trPr>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0735872C"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 xml:space="preserve">Italy: </w:t>
            </w:r>
            <w:proofErr w:type="spellStart"/>
            <w:r>
              <w:rPr>
                <w:sz w:val="18"/>
                <w:szCs w:val="18"/>
              </w:rPr>
              <w:t>Sassuolo</w:t>
            </w:r>
            <w:proofErr w:type="spellEnd"/>
            <w:r>
              <w:rPr>
                <w:sz w:val="18"/>
                <w:szCs w:val="18"/>
              </w:rPr>
              <w:t xml:space="preserve"> Cluster </w:t>
            </w:r>
          </w:p>
        </w:tc>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2B8F4587"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458</w:t>
            </w:r>
          </w:p>
        </w:tc>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326B1BC5"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6,100</w:t>
            </w:r>
          </w:p>
        </w:tc>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5215123B"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84</w:t>
            </w:r>
          </w:p>
        </w:tc>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0D694E15"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19,000</w:t>
            </w:r>
          </w:p>
        </w:tc>
      </w:tr>
      <w:tr w:rsidR="003325E7" w14:paraId="5E3B2FD8" w14:textId="77777777" w:rsidTr="00AD4341">
        <w:trPr>
          <w:trHeight w:val="420"/>
          <w:jc w:val="center"/>
        </w:trPr>
        <w:tc>
          <w:tcPr>
            <w:tcW w:w="144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447A9764"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 xml:space="preserve">Spain: </w:t>
            </w:r>
            <w:proofErr w:type="spellStart"/>
            <w:r>
              <w:rPr>
                <w:sz w:val="18"/>
                <w:szCs w:val="18"/>
              </w:rPr>
              <w:t>Castellón</w:t>
            </w:r>
            <w:proofErr w:type="spellEnd"/>
            <w:r>
              <w:rPr>
                <w:sz w:val="18"/>
                <w:szCs w:val="18"/>
              </w:rPr>
              <w:t xml:space="preserve"> Cluster</w:t>
            </w:r>
          </w:p>
        </w:tc>
        <w:tc>
          <w:tcPr>
            <w:tcW w:w="144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2E0EB6DD"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587</w:t>
            </w:r>
          </w:p>
        </w:tc>
        <w:tc>
          <w:tcPr>
            <w:tcW w:w="144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058A0678"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4,855</w:t>
            </w:r>
          </w:p>
        </w:tc>
        <w:tc>
          <w:tcPr>
            <w:tcW w:w="144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1B26D654"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75</w:t>
            </w:r>
          </w:p>
        </w:tc>
        <w:tc>
          <w:tcPr>
            <w:tcW w:w="144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3BF918DA"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17,180</w:t>
            </w:r>
          </w:p>
        </w:tc>
      </w:tr>
      <w:tr w:rsidR="003325E7" w14:paraId="74B5512E" w14:textId="77777777" w:rsidTr="00AD4341">
        <w:trPr>
          <w:trHeight w:val="420"/>
          <w:jc w:val="center"/>
        </w:trPr>
        <w:tc>
          <w:tcPr>
            <w:tcW w:w="7200" w:type="dxa"/>
            <w:gridSpan w:val="5"/>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1FA76AB4" w14:textId="77777777" w:rsidR="003325E7" w:rsidRDefault="001D022A">
            <w:pPr>
              <w:widowControl w:val="0"/>
              <w:pBdr>
                <w:top w:val="nil"/>
                <w:left w:val="nil"/>
                <w:bottom w:val="nil"/>
                <w:right w:val="nil"/>
                <w:between w:val="nil"/>
              </w:pBdr>
              <w:spacing w:line="240" w:lineRule="auto"/>
              <w:rPr>
                <w:sz w:val="18"/>
                <w:szCs w:val="18"/>
              </w:rPr>
            </w:pPr>
            <w:r>
              <w:rPr>
                <w:sz w:val="18"/>
                <w:szCs w:val="18"/>
              </w:rPr>
              <w:t>Sources: Values estimated for the year 2021 by industry associations in the two countries, Confindustria Ceramica (Italy) and ASCER (Spain).</w:t>
            </w:r>
          </w:p>
        </w:tc>
      </w:tr>
    </w:tbl>
    <w:p w14:paraId="6AF85116" w14:textId="77777777" w:rsidR="003325E7" w:rsidRDefault="003325E7">
      <w:pPr>
        <w:tabs>
          <w:tab w:val="right" w:pos="6480"/>
          <w:tab w:val="left" w:pos="6379"/>
        </w:tabs>
        <w:spacing w:line="276" w:lineRule="auto"/>
        <w:ind w:right="-30"/>
      </w:pPr>
    </w:p>
    <w:p w14:paraId="534BB11A" w14:textId="77777777" w:rsidR="003325E7" w:rsidRDefault="001D022A">
      <w:pPr>
        <w:tabs>
          <w:tab w:val="right" w:pos="6480"/>
          <w:tab w:val="left" w:pos="6379"/>
        </w:tabs>
        <w:spacing w:line="276" w:lineRule="auto"/>
        <w:ind w:right="-30"/>
      </w:pPr>
      <w:r>
        <w:t xml:space="preserve">Sectoral numbers also show how the two clusters are strongly export-oriented: 84 percent of turnover for Italy and 75 percent for Spain. On average, to manufacture one square meter of ceramic tiles requires about 21 kilograms of natural raw materials, which are currently also largely imported into Italy and Spain from foreign countries, including non-European ones. It follows that the total </w:t>
      </w:r>
      <w:r>
        <w:lastRenderedPageBreak/>
        <w:t xml:space="preserve">requirement of natural raw materials of the two industries in the year 2021 was about 9.6 million tons for Italy and 12.3 million tons for Spain. For both clusters Dondi et al. (2021), highlighted the complexity of the raw material supply chains and emphasized the high concentration in the supply of sodium feldspars from Turkey and ball clays from Ukraine. This dependence on two main raw material sources caused the supply chain disruption following the war that broke out in Ukraine in early 2021. </w:t>
      </w:r>
    </w:p>
    <w:p w14:paraId="19D612E1" w14:textId="77777777" w:rsidR="003325E7" w:rsidRDefault="001D022A">
      <w:pPr>
        <w:tabs>
          <w:tab w:val="right" w:pos="6480"/>
          <w:tab w:val="left" w:pos="6379"/>
        </w:tabs>
        <w:spacing w:line="276" w:lineRule="auto"/>
        <w:ind w:right="-30"/>
      </w:pPr>
      <w:r>
        <w:t xml:space="preserve">Based on these premises, a preliminary feasibility study is presented in this </w:t>
      </w:r>
      <w:r>
        <w:rPr>
          <w:shd w:val="clear" w:color="auto" w:fill="FCFCFC"/>
        </w:rPr>
        <w:t>chapter to identify the most resilient and sustainable sourcing strategies for the Italian ceramic industry. The methodological approach is transdisciplinary oriented, integrating and combining different technical and managerial analysis tools: sectoral scenario analysis, strategic design of alternative scenarios, environmental impact assessment, and technological performance analysis.</w:t>
      </w:r>
      <w:r>
        <w:t xml:space="preserve"> The study focuses on the Italian cluster because of the greater availability of sectoral data compared to the Spanish cluster. This difference in information between the two industries prevented a comparative analysis with the same degree of detail.</w:t>
      </w:r>
    </w:p>
    <w:p w14:paraId="449F12D0" w14:textId="77777777" w:rsidR="003325E7" w:rsidRDefault="003325E7">
      <w:pPr>
        <w:tabs>
          <w:tab w:val="right" w:pos="6480"/>
          <w:tab w:val="left" w:pos="6379"/>
        </w:tabs>
        <w:spacing w:line="276" w:lineRule="auto"/>
        <w:ind w:right="-30"/>
      </w:pPr>
    </w:p>
    <w:p w14:paraId="25A17D92" w14:textId="77777777" w:rsidR="003325E7" w:rsidRDefault="003325E7">
      <w:pPr>
        <w:tabs>
          <w:tab w:val="right" w:pos="6480"/>
          <w:tab w:val="left" w:pos="6379"/>
        </w:tabs>
        <w:spacing w:line="276" w:lineRule="auto"/>
        <w:ind w:right="-30"/>
      </w:pPr>
    </w:p>
    <w:p w14:paraId="3F5B12DF" w14:textId="77777777" w:rsidR="003325E7" w:rsidRDefault="001D022A">
      <w:pPr>
        <w:pStyle w:val="Titolo1"/>
        <w:numPr>
          <w:ilvl w:val="1"/>
          <w:numId w:val="2"/>
        </w:numPr>
        <w:spacing w:before="0" w:after="0" w:line="276" w:lineRule="auto"/>
      </w:pPr>
      <w:bookmarkStart w:id="3" w:name="_3znysh7" w:colFirst="0" w:colLast="0"/>
      <w:bookmarkEnd w:id="3"/>
      <w:r>
        <w:t>Results of the transdisciplinary analyses</w:t>
      </w:r>
    </w:p>
    <w:p w14:paraId="23EFBDC5" w14:textId="77777777" w:rsidR="003325E7" w:rsidRDefault="001D022A">
      <w:pPr>
        <w:pStyle w:val="Titolo2"/>
        <w:numPr>
          <w:ilvl w:val="2"/>
          <w:numId w:val="2"/>
        </w:numPr>
        <w:spacing w:before="0" w:after="0" w:line="276" w:lineRule="auto"/>
      </w:pPr>
      <w:bookmarkStart w:id="4" w:name="_2et92p0" w:colFirst="0" w:colLast="0"/>
      <w:bookmarkEnd w:id="4"/>
      <w:r>
        <w:t>Sectoral scenario analysis</w:t>
      </w:r>
    </w:p>
    <w:p w14:paraId="3F4FF05B" w14:textId="77777777" w:rsidR="003325E7" w:rsidRDefault="001D022A">
      <w:pPr>
        <w:tabs>
          <w:tab w:val="right" w:pos="6480"/>
          <w:tab w:val="left" w:pos="6379"/>
        </w:tabs>
        <w:spacing w:line="276" w:lineRule="auto"/>
        <w:ind w:right="-30"/>
      </w:pPr>
      <w:r>
        <w:t>The ceramic tile manufacturing process consists of several production steps and the sequence of operations is shown in the flowchart in Figure 1 (Ros-</w:t>
      </w:r>
      <w:proofErr w:type="spellStart"/>
      <w:r>
        <w:t>Dosdá</w:t>
      </w:r>
      <w:proofErr w:type="spellEnd"/>
      <w:r>
        <w:t xml:space="preserve"> et al., 2018). Raw materials, extracted from the mines are transported to the factories by employing different means also in combination with each other (ship, train, truck) and depending on the origin: foreign (mainly Ukraine, Turkey, Germany) or domestic (mainly Tuscany, Sardinia, Piedmont, Calabria, Emilia Romagna) (Vacchi et al., 2021). After storage in warehouses, raw materials are introduced into rotary mills for their water milling using silica pebbles and/or sintered alumina spheres as grinding bodies. At the end of milling, a semi-finished product called slurry is obtained, consisting of a suspension of solid (66 %) in water (33 %) that is subsequently dried in a vertical spray dryer to obtain a granular powder with a residual humidity of about 6-7 % The spray-dried powders are then pressed with hydraulic presses to form ceramic manufacturers, which after drying (to remove residual humidity), are digitally </w:t>
      </w:r>
      <w:proofErr w:type="gramStart"/>
      <w:r>
        <w:t>glazed</w:t>
      </w:r>
      <w:proofErr w:type="gramEnd"/>
      <w:r>
        <w:t xml:space="preserve"> and decorated. The glazed and decorated tiles are then transferred to roller kilns for firing, which takes place at a maximum temperature of 1200-1230 °C with cycles of 30-50 minutes. After firing, the tiles can undergo further finishing processes (cutting and squaring), or be transferred </w:t>
      </w:r>
      <w:r>
        <w:lastRenderedPageBreak/>
        <w:t xml:space="preserve">directly to the quality selection, </w:t>
      </w:r>
      <w:proofErr w:type="gramStart"/>
      <w:r>
        <w:t>packaging</w:t>
      </w:r>
      <w:proofErr w:type="gramEnd"/>
      <w:r>
        <w:t xml:space="preserve"> and palletizing department for the finished product, which is then ready to be sold to distributors or consumers.</w:t>
      </w:r>
    </w:p>
    <w:p w14:paraId="78C498F7" w14:textId="77777777" w:rsidR="003325E7" w:rsidRDefault="001D022A">
      <w:pPr>
        <w:tabs>
          <w:tab w:val="right" w:pos="6480"/>
          <w:tab w:val="left" w:pos="6379"/>
        </w:tabs>
        <w:spacing w:line="276" w:lineRule="auto"/>
        <w:ind w:right="-30"/>
      </w:pPr>
      <w:r>
        <w:rPr>
          <w:noProof/>
        </w:rPr>
        <w:drawing>
          <wp:inline distT="114300" distB="114300" distL="114300" distR="114300" wp14:anchorId="6712D386" wp14:editId="5849B882">
            <wp:extent cx="4569785" cy="25908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569785" cy="2590800"/>
                    </a:xfrm>
                    <a:prstGeom prst="rect">
                      <a:avLst/>
                    </a:prstGeom>
                    <a:ln/>
                  </pic:spPr>
                </pic:pic>
              </a:graphicData>
            </a:graphic>
          </wp:inline>
        </w:drawing>
      </w:r>
    </w:p>
    <w:p w14:paraId="292D27A1" w14:textId="77777777" w:rsidR="003325E7" w:rsidRDefault="001D022A">
      <w:pPr>
        <w:spacing w:line="276" w:lineRule="auto"/>
      </w:pPr>
      <w:r>
        <w:rPr>
          <w:sz w:val="18"/>
          <w:szCs w:val="18"/>
        </w:rPr>
        <w:t>Fig. 1. Flow chart of the steps of the ceramic tile manufacturing process. Sources: Adapted from Garcia-Muiña et al., (2018).</w:t>
      </w:r>
    </w:p>
    <w:p w14:paraId="4456148B" w14:textId="77777777" w:rsidR="003325E7" w:rsidRDefault="003325E7">
      <w:pPr>
        <w:tabs>
          <w:tab w:val="right" w:pos="6480"/>
          <w:tab w:val="left" w:pos="6379"/>
        </w:tabs>
        <w:spacing w:line="276" w:lineRule="auto"/>
        <w:ind w:right="-30"/>
      </w:pPr>
    </w:p>
    <w:p w14:paraId="355EF628" w14:textId="77777777" w:rsidR="003325E7" w:rsidRDefault="001D022A">
      <w:pPr>
        <w:tabs>
          <w:tab w:val="right" w:pos="6480"/>
          <w:tab w:val="left" w:pos="6379"/>
        </w:tabs>
        <w:spacing w:line="276" w:lineRule="auto"/>
        <w:ind w:right="-30"/>
      </w:pPr>
      <w:r>
        <w:t xml:space="preserve">The leading type of tiles manufactured by Italian producers is porcelain tile whose body is mainly composed of three main categories of raw materials: (1) kaolinitic or </w:t>
      </w:r>
      <w:proofErr w:type="spellStart"/>
      <w:r>
        <w:t>illitic</w:t>
      </w:r>
      <w:proofErr w:type="spellEnd"/>
      <w:r>
        <w:t xml:space="preserve">-kaolinitic clays (ball </w:t>
      </w:r>
      <w:proofErr w:type="spellStart"/>
      <w:r>
        <w:t>calys</w:t>
      </w:r>
      <w:proofErr w:type="spellEnd"/>
      <w:r>
        <w:t>), which provide the plasticity necessary for tile forming; (2) sodic, potassium or sodium-potassium feldspars, which melt during firing to form a glassy phase of adequate viscosity for complete sintering of the product; and (3) feldspathic or quartz sands with a structural function necessary to limit dimensional changes in drying and firing (Dondi et al., 2014).</w:t>
      </w:r>
    </w:p>
    <w:p w14:paraId="17163852" w14:textId="77777777" w:rsidR="003325E7" w:rsidRDefault="001D022A">
      <w:pPr>
        <w:tabs>
          <w:tab w:val="right" w:pos="6480"/>
          <w:tab w:val="left" w:pos="6379"/>
        </w:tabs>
        <w:spacing w:line="276" w:lineRule="auto"/>
        <w:ind w:right="-30"/>
      </w:pPr>
      <w:r>
        <w:t>With the disruption of the supply chain due to the war in Ukraine, clay supplies from the Donbass region were suddenly disrupted in the first half of 2022, causing serious problems for ceramic companies. This event dramatically highlighted how risk analysis and management have not yet fully entered the corporate culture as an integral part of the corporate sustainability assessment system. Had geopolitical risk been considered as early as 2014 with the Crimean crisis, ceramic companies today would have had strategic plans and alternative sourcing scenarios for Ukrainian clays. As with all complex problems, a possible solution can be found through functional decomposition, that is, separating the complex problem into several elementary subproblems (Guo et al., 2021). Following this logic, Figure 2 shows the functional decomposition scheme of the main complex problem into subproblems and three possible solution assumptions.</w:t>
      </w:r>
    </w:p>
    <w:p w14:paraId="4A7B68D2" w14:textId="77777777" w:rsidR="003325E7" w:rsidRDefault="001D022A">
      <w:pPr>
        <w:tabs>
          <w:tab w:val="right" w:pos="6480"/>
          <w:tab w:val="left" w:pos="6379"/>
        </w:tabs>
        <w:spacing w:line="276" w:lineRule="auto"/>
        <w:ind w:right="-30"/>
        <w:jc w:val="center"/>
      </w:pPr>
      <w:r>
        <w:rPr>
          <w:noProof/>
        </w:rPr>
        <w:lastRenderedPageBreak/>
        <w:drawing>
          <wp:inline distT="114300" distB="114300" distL="114300" distR="114300" wp14:anchorId="1F384498" wp14:editId="4CAC4E3D">
            <wp:extent cx="4569785" cy="36449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69785" cy="3644900"/>
                    </a:xfrm>
                    <a:prstGeom prst="rect">
                      <a:avLst/>
                    </a:prstGeom>
                    <a:ln/>
                  </pic:spPr>
                </pic:pic>
              </a:graphicData>
            </a:graphic>
          </wp:inline>
        </w:drawing>
      </w:r>
    </w:p>
    <w:p w14:paraId="7B71219E" w14:textId="77777777" w:rsidR="003325E7" w:rsidRDefault="001D022A">
      <w:pPr>
        <w:spacing w:line="276" w:lineRule="auto"/>
      </w:pPr>
      <w:r>
        <w:rPr>
          <w:sz w:val="18"/>
          <w:szCs w:val="18"/>
        </w:rPr>
        <w:t>Fig. 2. Framework for the functional decomposition of critical issues in the Italian ceramic industry sourcing system. Sources: own elaboration.</w:t>
      </w:r>
    </w:p>
    <w:p w14:paraId="3E23A8BA" w14:textId="77777777" w:rsidR="003325E7" w:rsidRDefault="003325E7">
      <w:pPr>
        <w:tabs>
          <w:tab w:val="right" w:pos="6480"/>
          <w:tab w:val="left" w:pos="6379"/>
        </w:tabs>
        <w:spacing w:line="276" w:lineRule="auto"/>
        <w:ind w:right="-30"/>
      </w:pPr>
    </w:p>
    <w:p w14:paraId="790CCAFF" w14:textId="77777777" w:rsidR="003325E7" w:rsidRDefault="001D022A">
      <w:pPr>
        <w:tabs>
          <w:tab w:val="right" w:pos="6480"/>
          <w:tab w:val="left" w:pos="6379"/>
        </w:tabs>
        <w:spacing w:line="276" w:lineRule="auto"/>
        <w:ind w:right="-30"/>
      </w:pPr>
      <w:r>
        <w:t>In the case of the ceramic industry, the main problem is the disruption of the supply chain of imported extra-EU raw materials, which can be decomposed into three main sub-problems: (1) Ukrainian clays are no longer available, (2) German clays are not as plastic as Ukrainian clays, and (3) Turkish feldspar is no longer available in the same quantities with the same quality. Corresponding to these are three other sub-problems, respectively: (1) very plastic clays are needed to produce the large ceramic slabs, (2) Italian clays are not as plastic as German clays, and (3) regional geopolitical tensions could make the Turkish feldspar sourcing system critical in the medium term. Following the logic of abductive inference already adopted in other managerial studies (</w:t>
      </w:r>
      <w:proofErr w:type="spellStart"/>
      <w:r>
        <w:t>Zucchella</w:t>
      </w:r>
      <w:proofErr w:type="spellEnd"/>
      <w:r>
        <w:t xml:space="preserve"> and </w:t>
      </w:r>
      <w:proofErr w:type="spellStart"/>
      <w:r>
        <w:t>Previtali</w:t>
      </w:r>
      <w:proofErr w:type="spellEnd"/>
      <w:r>
        <w:t xml:space="preserve">, 2019; </w:t>
      </w:r>
      <w:proofErr w:type="spellStart"/>
      <w:r>
        <w:t>Settembre</w:t>
      </w:r>
      <w:proofErr w:type="spellEnd"/>
      <w:r>
        <w:t xml:space="preserve"> </w:t>
      </w:r>
      <w:proofErr w:type="spellStart"/>
      <w:r>
        <w:t>Blundo</w:t>
      </w:r>
      <w:proofErr w:type="spellEnd"/>
      <w:r>
        <w:t xml:space="preserve"> et al., 2019) the following three corresponding explanatory hypotheses were assumed for each of the three subproblem categories, respectively: (1) alternative plastic clays to Ukrainian clays, given their low availability in terms of quantity, could be destined exclusively for the production of the large slabs; (2) Italian and German clays, of lower plasticity than Ukrainian ones and available in larger quantities, </w:t>
      </w:r>
      <w:r>
        <w:lastRenderedPageBreak/>
        <w:t>could be destined for the production of the smaller sizes of ceramic tiles; and (3) sodium, sodium-potassium and potassium feldspars could be more widely used for at least partial replacement of imported ones.</w:t>
      </w:r>
    </w:p>
    <w:p w14:paraId="7AD49A42" w14:textId="77777777" w:rsidR="003325E7" w:rsidRDefault="003325E7">
      <w:pPr>
        <w:tabs>
          <w:tab w:val="right" w:pos="6480"/>
          <w:tab w:val="left" w:pos="6379"/>
        </w:tabs>
        <w:spacing w:line="276" w:lineRule="auto"/>
        <w:ind w:right="-30"/>
      </w:pPr>
    </w:p>
    <w:p w14:paraId="492EDF78" w14:textId="77777777" w:rsidR="003325E7" w:rsidRDefault="001D022A">
      <w:pPr>
        <w:pStyle w:val="Titolo2"/>
        <w:numPr>
          <w:ilvl w:val="2"/>
          <w:numId w:val="2"/>
        </w:numPr>
        <w:spacing w:before="0" w:after="0" w:line="276" w:lineRule="auto"/>
      </w:pPr>
      <w:bookmarkStart w:id="5" w:name="_tyjcwt" w:colFirst="0" w:colLast="0"/>
      <w:bookmarkEnd w:id="5"/>
      <w:r>
        <w:t>Strategic design of sourcing alternative</w:t>
      </w:r>
    </w:p>
    <w:p w14:paraId="263FE46C" w14:textId="77777777" w:rsidR="003325E7" w:rsidRDefault="001D022A">
      <w:pPr>
        <w:tabs>
          <w:tab w:val="right" w:pos="6480"/>
          <w:tab w:val="left" w:pos="6379"/>
        </w:tabs>
        <w:spacing w:line="276" w:lineRule="auto"/>
        <w:ind w:right="-30"/>
      </w:pPr>
      <w:r>
        <w:t>Following the criticality functional decomposition scheme (Figure 2) and abductive inference, five possible ceramic body compositions (S1÷S5) were hypothesized as alternatives to the sector average (S0), shown in Table 2.</w:t>
      </w:r>
    </w:p>
    <w:p w14:paraId="7C2AD74D" w14:textId="77777777" w:rsidR="003325E7" w:rsidRDefault="003325E7">
      <w:pPr>
        <w:tabs>
          <w:tab w:val="right" w:pos="6480"/>
          <w:tab w:val="left" w:pos="6379"/>
        </w:tabs>
        <w:spacing w:line="276" w:lineRule="auto"/>
        <w:ind w:right="-30"/>
      </w:pPr>
    </w:p>
    <w:p w14:paraId="12929D89" w14:textId="77777777" w:rsidR="003325E7" w:rsidRDefault="001D022A">
      <w:pPr>
        <w:widowControl w:val="0"/>
        <w:spacing w:line="240" w:lineRule="auto"/>
        <w:rPr>
          <w:sz w:val="18"/>
          <w:szCs w:val="18"/>
        </w:rPr>
      </w:pPr>
      <w:r>
        <w:rPr>
          <w:sz w:val="18"/>
          <w:szCs w:val="18"/>
        </w:rPr>
        <w:t>Table 2. Overview of ceramic body compositions corresponding to different sourcing scenarios.</w:t>
      </w:r>
    </w:p>
    <w:p w14:paraId="1DB24E4A" w14:textId="77777777" w:rsidR="003325E7" w:rsidRDefault="003325E7">
      <w:pPr>
        <w:widowControl w:val="0"/>
        <w:spacing w:line="240" w:lineRule="auto"/>
        <w:rPr>
          <w:sz w:val="18"/>
          <w:szCs w:val="18"/>
        </w:rPr>
      </w:pPr>
    </w:p>
    <w:tbl>
      <w:tblPr>
        <w:tblStyle w:val="a0"/>
        <w:tblW w:w="7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720"/>
        <w:gridCol w:w="720"/>
        <w:gridCol w:w="720"/>
        <w:gridCol w:w="720"/>
        <w:gridCol w:w="720"/>
        <w:gridCol w:w="720"/>
      </w:tblGrid>
      <w:tr w:rsidR="003325E7" w14:paraId="70B6D6E2"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5C72253A" w14:textId="77777777" w:rsidR="003325E7" w:rsidRDefault="001D022A">
            <w:pPr>
              <w:widowControl w:val="0"/>
              <w:pBdr>
                <w:top w:val="nil"/>
                <w:left w:val="nil"/>
                <w:bottom w:val="nil"/>
                <w:right w:val="nil"/>
                <w:between w:val="nil"/>
              </w:pBdr>
              <w:spacing w:line="240" w:lineRule="auto"/>
              <w:jc w:val="center"/>
              <w:rPr>
                <w:sz w:val="20"/>
                <w:szCs w:val="20"/>
              </w:rPr>
            </w:pPr>
            <w:r>
              <w:rPr>
                <w:sz w:val="20"/>
                <w:szCs w:val="20"/>
              </w:rPr>
              <w:t>RAW MATERIALS</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20B12B1" w14:textId="77777777" w:rsidR="003325E7" w:rsidRDefault="001D022A">
            <w:pPr>
              <w:widowControl w:val="0"/>
              <w:pBdr>
                <w:top w:val="nil"/>
                <w:left w:val="nil"/>
                <w:bottom w:val="nil"/>
                <w:right w:val="nil"/>
                <w:between w:val="nil"/>
              </w:pBdr>
              <w:spacing w:line="240" w:lineRule="auto"/>
              <w:jc w:val="center"/>
              <w:rPr>
                <w:sz w:val="20"/>
                <w:szCs w:val="20"/>
              </w:rPr>
            </w:pPr>
            <w:r>
              <w:rPr>
                <w:sz w:val="20"/>
                <w:szCs w:val="20"/>
              </w:rPr>
              <w:t>SOURCING CRITICISMS</w:t>
            </w:r>
          </w:p>
        </w:tc>
        <w:tc>
          <w:tcPr>
            <w:tcW w:w="720" w:type="dxa"/>
            <w:tcBorders>
              <w:left w:val="nil"/>
              <w:right w:val="single" w:sz="8" w:space="0" w:color="FFFFFF"/>
            </w:tcBorders>
            <w:shd w:val="clear" w:color="auto" w:fill="auto"/>
            <w:tcMar>
              <w:top w:w="100" w:type="dxa"/>
              <w:left w:w="100" w:type="dxa"/>
              <w:bottom w:w="100" w:type="dxa"/>
              <w:right w:w="100" w:type="dxa"/>
            </w:tcMar>
          </w:tcPr>
          <w:p w14:paraId="1DD8C401" w14:textId="77777777" w:rsidR="003325E7" w:rsidRDefault="001D022A">
            <w:pPr>
              <w:widowControl w:val="0"/>
              <w:pBdr>
                <w:top w:val="nil"/>
                <w:left w:val="nil"/>
                <w:bottom w:val="nil"/>
                <w:right w:val="nil"/>
                <w:between w:val="nil"/>
              </w:pBdr>
              <w:spacing w:line="240" w:lineRule="auto"/>
              <w:jc w:val="center"/>
            </w:pPr>
            <w:r>
              <w:t>S0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1FE41A94" w14:textId="77777777" w:rsidR="003325E7" w:rsidRDefault="001D022A">
            <w:pPr>
              <w:widowControl w:val="0"/>
              <w:pBdr>
                <w:top w:val="nil"/>
                <w:left w:val="nil"/>
                <w:bottom w:val="nil"/>
                <w:right w:val="nil"/>
                <w:between w:val="nil"/>
              </w:pBdr>
              <w:spacing w:line="240" w:lineRule="auto"/>
              <w:jc w:val="center"/>
            </w:pPr>
            <w:r>
              <w:t>S1</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0CDC6CCC" w14:textId="77777777" w:rsidR="003325E7" w:rsidRDefault="001D022A">
            <w:pPr>
              <w:widowControl w:val="0"/>
              <w:pBdr>
                <w:top w:val="nil"/>
                <w:left w:val="nil"/>
                <w:bottom w:val="nil"/>
                <w:right w:val="nil"/>
                <w:between w:val="nil"/>
              </w:pBdr>
              <w:spacing w:line="240" w:lineRule="auto"/>
              <w:jc w:val="center"/>
            </w:pPr>
            <w:r>
              <w:t>S2</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7F467717" w14:textId="77777777" w:rsidR="003325E7" w:rsidRDefault="001D022A">
            <w:pPr>
              <w:widowControl w:val="0"/>
              <w:pBdr>
                <w:top w:val="nil"/>
                <w:left w:val="nil"/>
                <w:bottom w:val="nil"/>
                <w:right w:val="nil"/>
                <w:between w:val="nil"/>
              </w:pBdr>
              <w:spacing w:line="240" w:lineRule="auto"/>
              <w:jc w:val="center"/>
            </w:pPr>
            <w:r>
              <w:t>S3</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D53BB45" w14:textId="77777777" w:rsidR="003325E7" w:rsidRDefault="001D022A">
            <w:pPr>
              <w:widowControl w:val="0"/>
              <w:pBdr>
                <w:top w:val="nil"/>
                <w:left w:val="nil"/>
                <w:bottom w:val="nil"/>
                <w:right w:val="nil"/>
                <w:between w:val="nil"/>
              </w:pBdr>
              <w:spacing w:line="240" w:lineRule="auto"/>
              <w:jc w:val="center"/>
            </w:pPr>
            <w:r>
              <w:t>S4</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044211B" w14:textId="77777777" w:rsidR="003325E7" w:rsidRDefault="001D022A">
            <w:pPr>
              <w:widowControl w:val="0"/>
              <w:pBdr>
                <w:top w:val="nil"/>
                <w:left w:val="nil"/>
                <w:bottom w:val="nil"/>
                <w:right w:val="nil"/>
                <w:between w:val="nil"/>
              </w:pBdr>
              <w:spacing w:line="240" w:lineRule="auto"/>
              <w:jc w:val="center"/>
            </w:pPr>
            <w:r>
              <w:t>S5</w:t>
            </w:r>
          </w:p>
        </w:tc>
      </w:tr>
      <w:tr w:rsidR="003325E7" w14:paraId="5183AD62"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315E8048"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High plasticity ball clay (Ukraine)</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16C1E74"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5</w:t>
            </w:r>
          </w:p>
        </w:tc>
        <w:tc>
          <w:tcPr>
            <w:tcW w:w="720" w:type="dxa"/>
            <w:tcBorders>
              <w:left w:val="nil"/>
              <w:right w:val="single" w:sz="8" w:space="0" w:color="FFFFFF"/>
            </w:tcBorders>
            <w:shd w:val="clear" w:color="auto" w:fill="auto"/>
            <w:tcMar>
              <w:top w:w="100" w:type="dxa"/>
              <w:left w:w="100" w:type="dxa"/>
              <w:bottom w:w="100" w:type="dxa"/>
              <w:right w:w="100" w:type="dxa"/>
            </w:tcMar>
          </w:tcPr>
          <w:p w14:paraId="7BD908E0"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25%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036772E"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486F8A6"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8FDE972"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1FF19EE5"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136980ED" w14:textId="77777777" w:rsidR="003325E7" w:rsidRDefault="003325E7">
            <w:pPr>
              <w:widowControl w:val="0"/>
              <w:pBdr>
                <w:top w:val="nil"/>
                <w:left w:val="nil"/>
                <w:bottom w:val="nil"/>
                <w:right w:val="nil"/>
                <w:between w:val="nil"/>
              </w:pBdr>
              <w:spacing w:line="240" w:lineRule="auto"/>
              <w:jc w:val="center"/>
              <w:rPr>
                <w:sz w:val="18"/>
                <w:szCs w:val="18"/>
              </w:rPr>
            </w:pPr>
          </w:p>
        </w:tc>
      </w:tr>
      <w:tr w:rsidR="003325E7" w14:paraId="703A9ECB"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439F65AA" w14:textId="77777777" w:rsidR="003325E7" w:rsidRDefault="001D022A">
            <w:pPr>
              <w:widowControl w:val="0"/>
              <w:spacing w:line="240" w:lineRule="auto"/>
              <w:jc w:val="left"/>
              <w:rPr>
                <w:sz w:val="16"/>
                <w:szCs w:val="16"/>
              </w:rPr>
            </w:pPr>
            <w:r>
              <w:rPr>
                <w:sz w:val="16"/>
                <w:szCs w:val="16"/>
              </w:rPr>
              <w:t>Medium plasticity ball clay (Germany)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50BF529" w14:textId="77777777" w:rsidR="003325E7" w:rsidRDefault="001D022A">
            <w:pPr>
              <w:widowControl w:val="0"/>
              <w:spacing w:line="240" w:lineRule="auto"/>
              <w:jc w:val="center"/>
              <w:rPr>
                <w:sz w:val="18"/>
                <w:szCs w:val="18"/>
              </w:rPr>
            </w:pPr>
            <w:r>
              <w:rPr>
                <w:sz w:val="18"/>
                <w:szCs w:val="18"/>
              </w:rPr>
              <w:t>2</w:t>
            </w:r>
          </w:p>
        </w:tc>
        <w:tc>
          <w:tcPr>
            <w:tcW w:w="720" w:type="dxa"/>
            <w:tcBorders>
              <w:left w:val="nil"/>
              <w:right w:val="single" w:sz="8" w:space="0" w:color="FFFFFF"/>
            </w:tcBorders>
            <w:shd w:val="clear" w:color="auto" w:fill="auto"/>
            <w:tcMar>
              <w:top w:w="100" w:type="dxa"/>
              <w:left w:w="100" w:type="dxa"/>
              <w:bottom w:w="100" w:type="dxa"/>
              <w:right w:w="100" w:type="dxa"/>
            </w:tcMar>
          </w:tcPr>
          <w:p w14:paraId="46C90DE5"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A26E887" w14:textId="77777777" w:rsidR="003325E7" w:rsidRDefault="001D022A">
            <w:pPr>
              <w:widowControl w:val="0"/>
              <w:spacing w:line="240" w:lineRule="auto"/>
              <w:jc w:val="center"/>
              <w:rPr>
                <w:sz w:val="18"/>
                <w:szCs w:val="18"/>
              </w:rPr>
            </w:pPr>
            <w:r>
              <w:rPr>
                <w:sz w:val="18"/>
                <w:szCs w:val="18"/>
              </w:rPr>
              <w:t>25%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31B350D2" w14:textId="77777777" w:rsidR="003325E7" w:rsidRDefault="001D022A">
            <w:pPr>
              <w:widowControl w:val="0"/>
              <w:spacing w:line="240" w:lineRule="auto"/>
              <w:jc w:val="center"/>
              <w:rPr>
                <w:sz w:val="18"/>
                <w:szCs w:val="18"/>
              </w:rPr>
            </w:pPr>
            <w:r>
              <w:rPr>
                <w:sz w:val="18"/>
                <w:szCs w:val="18"/>
              </w:rPr>
              <w:t>30%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7305098" w14:textId="77777777" w:rsidR="003325E7" w:rsidRDefault="001D022A">
            <w:pPr>
              <w:widowControl w:val="0"/>
              <w:spacing w:line="240" w:lineRule="auto"/>
              <w:jc w:val="center"/>
              <w:rPr>
                <w:sz w:val="18"/>
                <w:szCs w:val="18"/>
              </w:rPr>
            </w:pPr>
            <w:r>
              <w:rPr>
                <w:sz w:val="18"/>
                <w:szCs w:val="18"/>
              </w:rPr>
              <w:t>30%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390BBED" w14:textId="77777777" w:rsidR="003325E7" w:rsidRDefault="001D022A">
            <w:pPr>
              <w:widowControl w:val="0"/>
              <w:spacing w:line="240" w:lineRule="auto"/>
              <w:jc w:val="center"/>
              <w:rPr>
                <w:sz w:val="18"/>
                <w:szCs w:val="18"/>
              </w:rPr>
            </w:pPr>
            <w:r>
              <w:rPr>
                <w:sz w:val="18"/>
                <w:szCs w:val="18"/>
              </w:rPr>
              <w:t>25%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02862B5F" w14:textId="77777777" w:rsidR="003325E7" w:rsidRDefault="001D022A">
            <w:pPr>
              <w:widowControl w:val="0"/>
              <w:spacing w:line="240" w:lineRule="auto"/>
              <w:jc w:val="center"/>
              <w:rPr>
                <w:sz w:val="18"/>
                <w:szCs w:val="18"/>
              </w:rPr>
            </w:pPr>
            <w:r>
              <w:rPr>
                <w:sz w:val="18"/>
                <w:szCs w:val="18"/>
              </w:rPr>
              <w:t>20%</w:t>
            </w:r>
          </w:p>
        </w:tc>
      </w:tr>
      <w:tr w:rsidR="003325E7" w14:paraId="0931544E"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13EAD64D"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Low plasticity kaolinitic clay (Italy)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32BF874" w14:textId="77777777" w:rsidR="003325E7" w:rsidRDefault="001D022A">
            <w:pPr>
              <w:widowControl w:val="0"/>
              <w:spacing w:line="240" w:lineRule="auto"/>
              <w:jc w:val="center"/>
              <w:rPr>
                <w:sz w:val="18"/>
                <w:szCs w:val="18"/>
              </w:rPr>
            </w:pPr>
            <w:r>
              <w:rPr>
                <w:sz w:val="18"/>
                <w:szCs w:val="18"/>
              </w:rPr>
              <w:t>1</w:t>
            </w:r>
          </w:p>
        </w:tc>
        <w:tc>
          <w:tcPr>
            <w:tcW w:w="720" w:type="dxa"/>
            <w:tcBorders>
              <w:left w:val="nil"/>
              <w:right w:val="single" w:sz="8" w:space="0" w:color="FFFFFF"/>
            </w:tcBorders>
            <w:shd w:val="clear" w:color="auto" w:fill="auto"/>
            <w:tcMar>
              <w:top w:w="100" w:type="dxa"/>
              <w:left w:w="100" w:type="dxa"/>
              <w:bottom w:w="100" w:type="dxa"/>
              <w:right w:w="100" w:type="dxa"/>
            </w:tcMar>
          </w:tcPr>
          <w:p w14:paraId="38E7419F"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1ACD558B"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25774BC"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002635D4"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30%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4EBBE36"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25%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72ED004C"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30%</w:t>
            </w:r>
          </w:p>
        </w:tc>
      </w:tr>
      <w:tr w:rsidR="003325E7" w14:paraId="75B53AD3"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447BEF01"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Medium plasticity red beds clays (Italy)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18CDBD1" w14:textId="77777777" w:rsidR="003325E7" w:rsidRDefault="001D022A">
            <w:pPr>
              <w:widowControl w:val="0"/>
              <w:spacing w:line="240" w:lineRule="auto"/>
              <w:jc w:val="center"/>
              <w:rPr>
                <w:sz w:val="18"/>
                <w:szCs w:val="18"/>
              </w:rPr>
            </w:pPr>
            <w:r>
              <w:rPr>
                <w:sz w:val="18"/>
                <w:szCs w:val="18"/>
              </w:rPr>
              <w:t>3</w:t>
            </w:r>
          </w:p>
        </w:tc>
        <w:tc>
          <w:tcPr>
            <w:tcW w:w="720" w:type="dxa"/>
            <w:tcBorders>
              <w:left w:val="nil"/>
              <w:right w:val="single" w:sz="8" w:space="0" w:color="FFFFFF"/>
            </w:tcBorders>
            <w:shd w:val="clear" w:color="auto" w:fill="auto"/>
            <w:tcMar>
              <w:top w:w="100" w:type="dxa"/>
              <w:left w:w="100" w:type="dxa"/>
              <w:bottom w:w="100" w:type="dxa"/>
              <w:right w:w="100" w:type="dxa"/>
            </w:tcMar>
          </w:tcPr>
          <w:p w14:paraId="73D9D4B0"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06C15622" w14:textId="77777777" w:rsidR="003325E7" w:rsidRDefault="003325E7">
            <w:pPr>
              <w:widowControl w:val="0"/>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21202EF" w14:textId="77777777" w:rsidR="003325E7" w:rsidRDefault="003325E7">
            <w:pPr>
              <w:widowControl w:val="0"/>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8076796"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F1DBA62"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12843A17"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15%</w:t>
            </w:r>
          </w:p>
        </w:tc>
      </w:tr>
      <w:tr w:rsidR="003325E7" w14:paraId="24251C49"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449EB2E1"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Sodium feldspar (Turkey)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17412FE4" w14:textId="77777777" w:rsidR="003325E7" w:rsidRDefault="001D022A">
            <w:pPr>
              <w:widowControl w:val="0"/>
              <w:spacing w:line="240" w:lineRule="auto"/>
              <w:jc w:val="center"/>
              <w:rPr>
                <w:sz w:val="18"/>
                <w:szCs w:val="18"/>
              </w:rPr>
            </w:pPr>
            <w:r>
              <w:rPr>
                <w:sz w:val="18"/>
                <w:szCs w:val="18"/>
              </w:rPr>
              <w:t>4</w:t>
            </w:r>
          </w:p>
        </w:tc>
        <w:tc>
          <w:tcPr>
            <w:tcW w:w="720" w:type="dxa"/>
            <w:tcBorders>
              <w:left w:val="nil"/>
              <w:right w:val="single" w:sz="8" w:space="0" w:color="FFFFFF"/>
            </w:tcBorders>
            <w:shd w:val="clear" w:color="auto" w:fill="auto"/>
            <w:tcMar>
              <w:top w:w="100" w:type="dxa"/>
              <w:left w:w="100" w:type="dxa"/>
              <w:bottom w:w="100" w:type="dxa"/>
              <w:right w:w="100" w:type="dxa"/>
            </w:tcMar>
          </w:tcPr>
          <w:p w14:paraId="3AD7029D" w14:textId="77777777" w:rsidR="003325E7" w:rsidRDefault="001D022A">
            <w:pPr>
              <w:widowControl w:val="0"/>
              <w:spacing w:line="240" w:lineRule="auto"/>
              <w:jc w:val="center"/>
              <w:rPr>
                <w:sz w:val="18"/>
                <w:szCs w:val="18"/>
              </w:rPr>
            </w:pPr>
            <w:r>
              <w:rPr>
                <w:sz w:val="18"/>
                <w:szCs w:val="18"/>
              </w:rPr>
              <w:t>35%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658C1122" w14:textId="77777777" w:rsidR="003325E7" w:rsidRDefault="001D022A">
            <w:pPr>
              <w:widowControl w:val="0"/>
              <w:spacing w:line="240" w:lineRule="auto"/>
              <w:jc w:val="center"/>
              <w:rPr>
                <w:sz w:val="18"/>
                <w:szCs w:val="18"/>
              </w:rPr>
            </w:pPr>
            <w:r>
              <w:rPr>
                <w:sz w:val="18"/>
                <w:szCs w:val="18"/>
              </w:rPr>
              <w:t>35%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97A25DC" w14:textId="77777777" w:rsidR="003325E7" w:rsidRDefault="001D022A">
            <w:pPr>
              <w:widowControl w:val="0"/>
              <w:spacing w:line="240" w:lineRule="auto"/>
              <w:jc w:val="center"/>
              <w:rPr>
                <w:sz w:val="18"/>
                <w:szCs w:val="18"/>
              </w:rPr>
            </w:pPr>
            <w:r>
              <w:rPr>
                <w:sz w:val="18"/>
                <w:szCs w:val="18"/>
              </w:rPr>
              <w:t>35%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6E0B40F6"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20%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40C8079E"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20%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54D901C1"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15%</w:t>
            </w:r>
          </w:p>
        </w:tc>
      </w:tr>
      <w:tr w:rsidR="003325E7" w14:paraId="785F7FB4"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3EBAE7D3"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Potassium feldspar (Italy)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35C522F" w14:textId="77777777" w:rsidR="003325E7" w:rsidRDefault="001D022A">
            <w:pPr>
              <w:widowControl w:val="0"/>
              <w:spacing w:line="240" w:lineRule="auto"/>
              <w:jc w:val="center"/>
              <w:rPr>
                <w:sz w:val="18"/>
                <w:szCs w:val="18"/>
              </w:rPr>
            </w:pPr>
            <w:r>
              <w:rPr>
                <w:sz w:val="18"/>
                <w:szCs w:val="18"/>
              </w:rPr>
              <w:t>1</w:t>
            </w:r>
          </w:p>
        </w:tc>
        <w:tc>
          <w:tcPr>
            <w:tcW w:w="720" w:type="dxa"/>
            <w:tcBorders>
              <w:left w:val="nil"/>
              <w:right w:val="single" w:sz="8" w:space="0" w:color="FFFFFF"/>
            </w:tcBorders>
            <w:shd w:val="clear" w:color="auto" w:fill="auto"/>
            <w:tcMar>
              <w:top w:w="100" w:type="dxa"/>
              <w:left w:w="100" w:type="dxa"/>
              <w:bottom w:w="100" w:type="dxa"/>
              <w:right w:w="100" w:type="dxa"/>
            </w:tcMar>
          </w:tcPr>
          <w:p w14:paraId="27C9A852"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7E4B240F"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3B33E39"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E66E467"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15%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3C551923"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7B225C3" w14:textId="77777777" w:rsidR="003325E7" w:rsidRDefault="001D022A">
            <w:pPr>
              <w:widowControl w:val="0"/>
              <w:spacing w:line="240" w:lineRule="auto"/>
              <w:jc w:val="center"/>
              <w:rPr>
                <w:sz w:val="18"/>
                <w:szCs w:val="18"/>
              </w:rPr>
            </w:pPr>
            <w:r>
              <w:rPr>
                <w:sz w:val="18"/>
                <w:szCs w:val="18"/>
              </w:rPr>
              <w:t>10%</w:t>
            </w:r>
          </w:p>
        </w:tc>
      </w:tr>
      <w:tr w:rsidR="003325E7" w14:paraId="7ED96587"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02B322BE"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Quartz sand (Italy)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D487A5D" w14:textId="77777777" w:rsidR="003325E7" w:rsidRDefault="001D022A">
            <w:pPr>
              <w:widowControl w:val="0"/>
              <w:spacing w:line="240" w:lineRule="auto"/>
              <w:jc w:val="center"/>
              <w:rPr>
                <w:sz w:val="18"/>
                <w:szCs w:val="18"/>
              </w:rPr>
            </w:pPr>
            <w:r>
              <w:rPr>
                <w:sz w:val="18"/>
                <w:szCs w:val="18"/>
              </w:rPr>
              <w:t xml:space="preserve">1 </w:t>
            </w:r>
          </w:p>
        </w:tc>
        <w:tc>
          <w:tcPr>
            <w:tcW w:w="720" w:type="dxa"/>
            <w:tcBorders>
              <w:left w:val="nil"/>
              <w:right w:val="single" w:sz="8" w:space="0" w:color="FFFFFF"/>
            </w:tcBorders>
            <w:shd w:val="clear" w:color="auto" w:fill="auto"/>
            <w:tcMar>
              <w:top w:w="100" w:type="dxa"/>
              <w:left w:w="100" w:type="dxa"/>
              <w:bottom w:w="100" w:type="dxa"/>
              <w:right w:w="100" w:type="dxa"/>
            </w:tcMar>
          </w:tcPr>
          <w:p w14:paraId="508B0320"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0003BC18"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A53938D"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63504FDB"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1B145EBD"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7783301B" w14:textId="77777777" w:rsidR="003325E7" w:rsidRDefault="003325E7">
            <w:pPr>
              <w:widowControl w:val="0"/>
              <w:pBdr>
                <w:top w:val="nil"/>
                <w:left w:val="nil"/>
                <w:bottom w:val="nil"/>
                <w:right w:val="nil"/>
                <w:between w:val="nil"/>
              </w:pBdr>
              <w:spacing w:line="240" w:lineRule="auto"/>
              <w:jc w:val="center"/>
              <w:rPr>
                <w:sz w:val="18"/>
                <w:szCs w:val="18"/>
              </w:rPr>
            </w:pPr>
          </w:p>
        </w:tc>
      </w:tr>
      <w:tr w:rsidR="003325E7" w14:paraId="1A405E65" w14:textId="77777777" w:rsidTr="00EF320F">
        <w:trPr>
          <w:trHeight w:val="420"/>
        </w:trPr>
        <w:tc>
          <w:tcPr>
            <w:tcW w:w="1440" w:type="dxa"/>
            <w:tcBorders>
              <w:left w:val="single" w:sz="8" w:space="0" w:color="FFFFFF"/>
              <w:right w:val="nil"/>
            </w:tcBorders>
            <w:shd w:val="clear" w:color="auto" w:fill="auto"/>
            <w:tcMar>
              <w:top w:w="100" w:type="dxa"/>
              <w:left w:w="100" w:type="dxa"/>
              <w:bottom w:w="100" w:type="dxa"/>
              <w:right w:w="100" w:type="dxa"/>
            </w:tcMar>
          </w:tcPr>
          <w:p w14:paraId="7518F7A2" w14:textId="77777777" w:rsidR="003325E7" w:rsidRDefault="001D022A">
            <w:pPr>
              <w:widowControl w:val="0"/>
              <w:pBdr>
                <w:top w:val="nil"/>
                <w:left w:val="nil"/>
                <w:bottom w:val="nil"/>
                <w:right w:val="nil"/>
                <w:between w:val="nil"/>
              </w:pBdr>
              <w:spacing w:line="240" w:lineRule="auto"/>
              <w:jc w:val="left"/>
              <w:rPr>
                <w:sz w:val="16"/>
                <w:szCs w:val="16"/>
              </w:rPr>
            </w:pPr>
            <w:r>
              <w:rPr>
                <w:sz w:val="16"/>
                <w:szCs w:val="16"/>
              </w:rPr>
              <w:t>Feldspathic sand (Italy)</w:t>
            </w:r>
          </w:p>
        </w:tc>
        <w:tc>
          <w:tcPr>
            <w:tcW w:w="144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59E0EAFA" w14:textId="77777777" w:rsidR="003325E7" w:rsidRDefault="001D022A">
            <w:pPr>
              <w:widowControl w:val="0"/>
              <w:spacing w:line="240" w:lineRule="auto"/>
              <w:jc w:val="center"/>
              <w:rPr>
                <w:sz w:val="18"/>
                <w:szCs w:val="18"/>
              </w:rPr>
            </w:pPr>
            <w:r>
              <w:rPr>
                <w:sz w:val="18"/>
                <w:szCs w:val="18"/>
              </w:rPr>
              <w:t xml:space="preserve">1 </w:t>
            </w:r>
          </w:p>
        </w:tc>
        <w:tc>
          <w:tcPr>
            <w:tcW w:w="720" w:type="dxa"/>
            <w:tcBorders>
              <w:left w:val="nil"/>
              <w:right w:val="single" w:sz="8" w:space="0" w:color="FFFFFF"/>
            </w:tcBorders>
            <w:shd w:val="clear" w:color="auto" w:fill="auto"/>
            <w:tcMar>
              <w:top w:w="100" w:type="dxa"/>
              <w:left w:w="100" w:type="dxa"/>
              <w:bottom w:w="100" w:type="dxa"/>
              <w:right w:w="100" w:type="dxa"/>
            </w:tcMar>
          </w:tcPr>
          <w:p w14:paraId="24A34CAB"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7C0F96A"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312D2150" w14:textId="77777777" w:rsidR="003325E7" w:rsidRDefault="003325E7">
            <w:pPr>
              <w:widowControl w:val="0"/>
              <w:pBdr>
                <w:top w:val="nil"/>
                <w:left w:val="nil"/>
                <w:bottom w:val="nil"/>
                <w:right w:val="nil"/>
                <w:between w:val="nil"/>
              </w:pBdr>
              <w:spacing w:line="240" w:lineRule="auto"/>
              <w:jc w:val="center"/>
              <w:rPr>
                <w:sz w:val="18"/>
                <w:szCs w:val="18"/>
              </w:rPr>
            </w:pP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B63D0AE"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5%</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2F497C27" w14:textId="77777777" w:rsidR="003325E7" w:rsidRDefault="001D022A">
            <w:pPr>
              <w:widowControl w:val="0"/>
              <w:spacing w:line="240" w:lineRule="auto"/>
              <w:jc w:val="center"/>
              <w:rPr>
                <w:sz w:val="18"/>
                <w:szCs w:val="18"/>
              </w:rPr>
            </w:pPr>
            <w:r>
              <w:rPr>
                <w:sz w:val="18"/>
                <w:szCs w:val="18"/>
              </w:rPr>
              <w:t>10%</w:t>
            </w:r>
          </w:p>
        </w:tc>
        <w:tc>
          <w:tcPr>
            <w:tcW w:w="720" w:type="dxa"/>
            <w:tcBorders>
              <w:left w:val="single" w:sz="8" w:space="0" w:color="FFFFFF"/>
              <w:right w:val="single" w:sz="8" w:space="0" w:color="FFFFFF"/>
            </w:tcBorders>
            <w:shd w:val="clear" w:color="auto" w:fill="auto"/>
            <w:tcMar>
              <w:top w:w="100" w:type="dxa"/>
              <w:left w:w="100" w:type="dxa"/>
              <w:bottom w:w="100" w:type="dxa"/>
              <w:right w:w="100" w:type="dxa"/>
            </w:tcMar>
          </w:tcPr>
          <w:p w14:paraId="312CAEF3" w14:textId="77777777" w:rsidR="003325E7" w:rsidRDefault="001D022A">
            <w:pPr>
              <w:widowControl w:val="0"/>
              <w:spacing w:line="240" w:lineRule="auto"/>
              <w:jc w:val="center"/>
              <w:rPr>
                <w:sz w:val="18"/>
                <w:szCs w:val="18"/>
              </w:rPr>
            </w:pPr>
            <w:r>
              <w:rPr>
                <w:sz w:val="18"/>
                <w:szCs w:val="18"/>
              </w:rPr>
              <w:t>10%</w:t>
            </w:r>
          </w:p>
        </w:tc>
      </w:tr>
    </w:tbl>
    <w:p w14:paraId="3272126C" w14:textId="77777777" w:rsidR="003325E7" w:rsidRDefault="001D022A">
      <w:pPr>
        <w:spacing w:line="276" w:lineRule="auto"/>
      </w:pPr>
      <w:r>
        <w:rPr>
          <w:sz w:val="18"/>
          <w:szCs w:val="18"/>
        </w:rPr>
        <w:t>Sources: own elaboration.</w:t>
      </w:r>
    </w:p>
    <w:p w14:paraId="5D3988E2" w14:textId="77777777" w:rsidR="003325E7" w:rsidRDefault="003325E7">
      <w:pPr>
        <w:tabs>
          <w:tab w:val="right" w:pos="6480"/>
          <w:tab w:val="left" w:pos="6379"/>
        </w:tabs>
        <w:spacing w:line="276" w:lineRule="auto"/>
        <w:ind w:right="-30"/>
      </w:pPr>
    </w:p>
    <w:p w14:paraId="0345232B" w14:textId="77777777" w:rsidR="003325E7" w:rsidRDefault="001D022A">
      <w:pPr>
        <w:spacing w:after="120" w:line="276" w:lineRule="auto"/>
        <w:ind w:right="-13"/>
      </w:pPr>
      <w:bookmarkStart w:id="6" w:name="_3dy6vkm" w:colFirst="0" w:colLast="0"/>
      <w:bookmarkEnd w:id="6"/>
      <w:r>
        <w:t xml:space="preserve">The S0 composition represents the average for the entire industry, obtained by cross-referencing data on raw material arrivals by ships at the port of Ravenna and trains directly to the </w:t>
      </w:r>
      <w:proofErr w:type="spellStart"/>
      <w:r>
        <w:t>Sassuolo</w:t>
      </w:r>
      <w:proofErr w:type="spellEnd"/>
      <w:r>
        <w:t xml:space="preserve"> ceramic district, during 2019. This is in fact a full </w:t>
      </w:r>
      <w:r>
        <w:lastRenderedPageBreak/>
        <w:t xml:space="preserve">and regular production year for the Italian ceramic </w:t>
      </w:r>
      <w:proofErr w:type="gramStart"/>
      <w:r>
        <w:t>industry, before</w:t>
      </w:r>
      <w:proofErr w:type="gramEnd"/>
      <w:r>
        <w:t xml:space="preserve"> the spread of the pandemic and the war in Ukraine.</w:t>
      </w:r>
    </w:p>
    <w:p w14:paraId="0E62CCAA" w14:textId="25CDB691" w:rsidR="003325E7" w:rsidRDefault="001D022A">
      <w:pPr>
        <w:spacing w:after="120" w:line="276" w:lineRule="auto"/>
        <w:ind w:right="-13"/>
      </w:pPr>
      <w:bookmarkStart w:id="7" w:name="_1t3h5sf" w:colFirst="0" w:colLast="0"/>
      <w:bookmarkEnd w:id="7"/>
      <w:r>
        <w:t xml:space="preserve">Composition S1 is in response to the first assumption, which is to minimize the use of high plasticity clays from Ukraine by allocating them to the large ceramic slab production segment. Composition S2 offers a solution to the second assumption because it proposes a composition without high supply criticality clays, employing </w:t>
      </w:r>
      <w:proofErr w:type="gramStart"/>
      <w:r>
        <w:t>less</w:t>
      </w:r>
      <w:proofErr w:type="gramEnd"/>
      <w:r>
        <w:t xml:space="preserve"> plastic clays from Germany and Italy. Composition 3, on the other hand, aims to address the third assumption, which is to reduce the amount of imported feldspar in favor of domestic ones. Compositions S4 and S5, on the other hand, go beyond the previous three assumptions because they consider a type of raw material not currently considered in ceramic tile production: red beds clays (Fiori et al., 2011; Vázquez and Jiménez-</w:t>
      </w:r>
      <w:proofErr w:type="spellStart"/>
      <w:r>
        <w:t>Millán</w:t>
      </w:r>
      <w:proofErr w:type="spellEnd"/>
      <w:r>
        <w:t xml:space="preserve">, 2004). These are clay materials that are very rich in iron oxide, but plastic and quite melting, once mined in large quantities </w:t>
      </w:r>
      <w:proofErr w:type="gramStart"/>
      <w:r>
        <w:t>in the area of</w:t>
      </w:r>
      <w:proofErr w:type="gramEnd"/>
      <w:r>
        <w:t xml:space="preserve"> both the </w:t>
      </w:r>
      <w:proofErr w:type="spellStart"/>
      <w:r>
        <w:t>Sassuolo</w:t>
      </w:r>
      <w:proofErr w:type="spellEnd"/>
      <w:r>
        <w:t xml:space="preserve"> ceramic district in Italy and the </w:t>
      </w:r>
      <w:proofErr w:type="spellStart"/>
      <w:r>
        <w:t>Castellón</w:t>
      </w:r>
      <w:proofErr w:type="spellEnd"/>
      <w:r>
        <w:t xml:space="preserve"> ceramic district in Spain. In both countries they were used as the main raw material for tile production until the early 1990s in Italy and the 2000s in Spain, giving the ceramic body a characteristic red color. Later they were replaced with imported clay materials with low iron content to meet the growing market demand for tiles that no longer had a red body but a clear one.  With the S4 and S5 compositions, ancient materials are recovered for a new need: to reduce the criticality of the ceramic industry's supply chain. The plasticity property of these clays is given by their </w:t>
      </w:r>
      <w:proofErr w:type="spellStart"/>
      <w:r>
        <w:t>illitic</w:t>
      </w:r>
      <w:proofErr w:type="spellEnd"/>
      <w:r>
        <w:t xml:space="preserve"> nature while fusibility is given by their high iron oxide content. Therefore, with their use, the aim was to rebalance the clay component of the ceramic body to the advantage of a local raw material (S4) </w:t>
      </w:r>
      <w:proofErr w:type="gramStart"/>
      <w:r>
        <w:t>and also</w:t>
      </w:r>
      <w:proofErr w:type="gramEnd"/>
      <w:r>
        <w:t xml:space="preserve"> reduce the amount of imported feldspar due to the iron acting as a melting agent (S5). Table 2 Also provides an estimate of the level of supply criticality for each raw material considered and expressed on a scale of 1 to 5: [1] very low, [2] low, [3] medium, [4] high, and [5] very high. The highest criticality is attributed to Ukrainian clay due to supply disruption, followed by Turkish sodium feldspar due to quality problems and regional geopolitical instability. German clay and domestic raw materials are assigned low or very low criticality, respectively. The exception is red beds clays, which are given a medium criticality due to the fact that the mines where these materials were mined have been </w:t>
      </w:r>
      <w:proofErr w:type="gramStart"/>
      <w:r>
        <w:t>closed, and</w:t>
      </w:r>
      <w:proofErr w:type="gramEnd"/>
      <w:r>
        <w:t xml:space="preserve"> restoring mining operations to meet potential demand could take quite some time for the necessary permissions, which could also be refused by the regulatory authorities.</w:t>
      </w:r>
    </w:p>
    <w:p w14:paraId="5FE1A7A6" w14:textId="77777777" w:rsidR="00AD4341" w:rsidRDefault="00AD4341">
      <w:pPr>
        <w:spacing w:after="120" w:line="276" w:lineRule="auto"/>
        <w:ind w:right="-13"/>
      </w:pPr>
    </w:p>
    <w:p w14:paraId="7F525765" w14:textId="77777777" w:rsidR="003325E7" w:rsidRDefault="003325E7">
      <w:pPr>
        <w:widowControl w:val="0"/>
        <w:spacing w:line="240" w:lineRule="auto"/>
        <w:rPr>
          <w:b/>
          <w:sz w:val="24"/>
          <w:szCs w:val="24"/>
        </w:rPr>
      </w:pPr>
    </w:p>
    <w:p w14:paraId="14EFB308" w14:textId="77777777" w:rsidR="003325E7" w:rsidRDefault="001D022A">
      <w:pPr>
        <w:widowControl w:val="0"/>
        <w:spacing w:line="240" w:lineRule="auto"/>
        <w:rPr>
          <w:sz w:val="18"/>
          <w:szCs w:val="18"/>
        </w:rPr>
      </w:pPr>
      <w:r>
        <w:rPr>
          <w:sz w:val="18"/>
          <w:szCs w:val="18"/>
        </w:rPr>
        <w:t>Table 3. Chemical composition and criticism level of ceramic body sourcing.</w:t>
      </w:r>
    </w:p>
    <w:p w14:paraId="4AB3FEC4" w14:textId="77777777" w:rsidR="003325E7" w:rsidRDefault="003325E7">
      <w:pPr>
        <w:widowControl w:val="0"/>
        <w:spacing w:line="240" w:lineRule="auto"/>
        <w:rPr>
          <w:sz w:val="18"/>
          <w:szCs w:val="18"/>
        </w:rPr>
      </w:pPr>
    </w:p>
    <w:tbl>
      <w:tblPr>
        <w:tblStyle w:val="a1"/>
        <w:tblW w:w="719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1"/>
        <w:gridCol w:w="970"/>
        <w:gridCol w:w="971"/>
        <w:gridCol w:w="971"/>
        <w:gridCol w:w="971"/>
        <w:gridCol w:w="971"/>
        <w:gridCol w:w="971"/>
      </w:tblGrid>
      <w:tr w:rsidR="003325E7" w14:paraId="7B2C02CC" w14:textId="77777777">
        <w:trPr>
          <w:trHeight w:val="415"/>
        </w:trPr>
        <w:tc>
          <w:tcPr>
            <w:tcW w:w="1371"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76417C44" w14:textId="77777777" w:rsidR="003325E7" w:rsidRDefault="001D022A">
            <w:pPr>
              <w:widowControl w:val="0"/>
              <w:pBdr>
                <w:top w:val="nil"/>
                <w:left w:val="nil"/>
                <w:bottom w:val="nil"/>
                <w:right w:val="nil"/>
                <w:between w:val="nil"/>
              </w:pBdr>
              <w:spacing w:line="240" w:lineRule="auto"/>
              <w:jc w:val="center"/>
            </w:pPr>
            <w:proofErr w:type="spellStart"/>
            <w:r>
              <w:t>wt</w:t>
            </w:r>
            <w:proofErr w:type="spellEnd"/>
            <w:r>
              <w:t>%</w:t>
            </w:r>
          </w:p>
        </w:tc>
        <w:tc>
          <w:tcPr>
            <w:tcW w:w="970"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49493F74" w14:textId="77777777" w:rsidR="003325E7" w:rsidRDefault="001D022A">
            <w:pPr>
              <w:widowControl w:val="0"/>
              <w:pBdr>
                <w:top w:val="nil"/>
                <w:left w:val="nil"/>
                <w:bottom w:val="nil"/>
                <w:right w:val="nil"/>
                <w:between w:val="nil"/>
              </w:pBdr>
              <w:spacing w:line="240" w:lineRule="auto"/>
              <w:jc w:val="center"/>
            </w:pPr>
            <w:r>
              <w:t>S0</w:t>
            </w:r>
          </w:p>
        </w:tc>
        <w:tc>
          <w:tcPr>
            <w:tcW w:w="971"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1A141DA2" w14:textId="77777777" w:rsidR="003325E7" w:rsidRDefault="001D022A">
            <w:pPr>
              <w:widowControl w:val="0"/>
              <w:pBdr>
                <w:top w:val="nil"/>
                <w:left w:val="nil"/>
                <w:bottom w:val="nil"/>
                <w:right w:val="nil"/>
                <w:between w:val="nil"/>
              </w:pBdr>
              <w:spacing w:line="240" w:lineRule="auto"/>
              <w:jc w:val="center"/>
            </w:pPr>
            <w:r>
              <w:t>S1</w:t>
            </w:r>
          </w:p>
        </w:tc>
        <w:tc>
          <w:tcPr>
            <w:tcW w:w="971"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10C19730" w14:textId="77777777" w:rsidR="003325E7" w:rsidRDefault="001D022A">
            <w:pPr>
              <w:widowControl w:val="0"/>
              <w:pBdr>
                <w:top w:val="nil"/>
                <w:left w:val="nil"/>
                <w:bottom w:val="nil"/>
                <w:right w:val="nil"/>
                <w:between w:val="nil"/>
              </w:pBdr>
              <w:spacing w:line="240" w:lineRule="auto"/>
              <w:jc w:val="center"/>
            </w:pPr>
            <w:r>
              <w:t>S2</w:t>
            </w:r>
          </w:p>
        </w:tc>
        <w:tc>
          <w:tcPr>
            <w:tcW w:w="971"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6DD1BCEA" w14:textId="77777777" w:rsidR="003325E7" w:rsidRDefault="001D022A">
            <w:pPr>
              <w:widowControl w:val="0"/>
              <w:pBdr>
                <w:top w:val="nil"/>
                <w:left w:val="nil"/>
                <w:bottom w:val="nil"/>
                <w:right w:val="nil"/>
                <w:between w:val="nil"/>
              </w:pBdr>
              <w:spacing w:line="240" w:lineRule="auto"/>
              <w:jc w:val="center"/>
            </w:pPr>
            <w:r>
              <w:t>S3</w:t>
            </w:r>
          </w:p>
        </w:tc>
        <w:tc>
          <w:tcPr>
            <w:tcW w:w="971"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22494ADB" w14:textId="77777777" w:rsidR="003325E7" w:rsidRDefault="001D022A">
            <w:pPr>
              <w:widowControl w:val="0"/>
              <w:pBdr>
                <w:top w:val="nil"/>
                <w:left w:val="nil"/>
                <w:bottom w:val="nil"/>
                <w:right w:val="nil"/>
                <w:between w:val="nil"/>
              </w:pBdr>
              <w:spacing w:line="240" w:lineRule="auto"/>
              <w:jc w:val="center"/>
            </w:pPr>
            <w:r>
              <w:t>S4</w:t>
            </w:r>
          </w:p>
        </w:tc>
        <w:tc>
          <w:tcPr>
            <w:tcW w:w="971" w:type="dxa"/>
            <w:tcBorders>
              <w:top w:val="single" w:sz="8" w:space="0" w:color="222222"/>
              <w:left w:val="nil"/>
              <w:bottom w:val="single" w:sz="8" w:space="0" w:color="000000"/>
              <w:right w:val="nil"/>
            </w:tcBorders>
            <w:tcMar>
              <w:top w:w="20" w:type="dxa"/>
              <w:left w:w="20" w:type="dxa"/>
              <w:bottom w:w="100" w:type="dxa"/>
              <w:right w:w="20" w:type="dxa"/>
            </w:tcMar>
            <w:vAlign w:val="bottom"/>
          </w:tcPr>
          <w:p w14:paraId="70C9721F" w14:textId="77777777" w:rsidR="003325E7" w:rsidRDefault="001D022A">
            <w:pPr>
              <w:widowControl w:val="0"/>
              <w:pBdr>
                <w:top w:val="nil"/>
                <w:left w:val="nil"/>
                <w:bottom w:val="nil"/>
                <w:right w:val="nil"/>
                <w:between w:val="nil"/>
              </w:pBdr>
              <w:spacing w:line="240" w:lineRule="auto"/>
              <w:jc w:val="center"/>
            </w:pPr>
            <w:r>
              <w:t>S5</w:t>
            </w:r>
          </w:p>
        </w:tc>
      </w:tr>
      <w:tr w:rsidR="003325E7" w14:paraId="570C4C6E" w14:textId="77777777">
        <w:trPr>
          <w:trHeight w:val="445"/>
        </w:trPr>
        <w:tc>
          <w:tcPr>
            <w:tcW w:w="1371" w:type="dxa"/>
            <w:tcBorders>
              <w:top w:val="single" w:sz="8" w:space="0" w:color="000000"/>
              <w:left w:val="nil"/>
              <w:bottom w:val="nil"/>
              <w:right w:val="nil"/>
            </w:tcBorders>
            <w:tcMar>
              <w:top w:w="20" w:type="dxa"/>
              <w:left w:w="20" w:type="dxa"/>
              <w:bottom w:w="100" w:type="dxa"/>
              <w:right w:w="20" w:type="dxa"/>
            </w:tcMar>
            <w:vAlign w:val="bottom"/>
          </w:tcPr>
          <w:p w14:paraId="62744FE8" w14:textId="77777777" w:rsidR="003325E7" w:rsidRDefault="001D022A">
            <w:pPr>
              <w:tabs>
                <w:tab w:val="right" w:pos="6480"/>
                <w:tab w:val="left" w:pos="6379"/>
              </w:tabs>
              <w:spacing w:line="276" w:lineRule="auto"/>
              <w:ind w:right="-30"/>
              <w:jc w:val="center"/>
              <w:rPr>
                <w:sz w:val="18"/>
                <w:szCs w:val="18"/>
              </w:rPr>
            </w:pPr>
            <w:r>
              <w:rPr>
                <w:sz w:val="18"/>
                <w:szCs w:val="18"/>
              </w:rPr>
              <w:t>SiO</w:t>
            </w:r>
            <w:r>
              <w:rPr>
                <w:sz w:val="18"/>
                <w:szCs w:val="18"/>
                <w:vertAlign w:val="subscript"/>
              </w:rPr>
              <w:t>2</w:t>
            </w:r>
          </w:p>
        </w:tc>
        <w:tc>
          <w:tcPr>
            <w:tcW w:w="970" w:type="dxa"/>
            <w:tcBorders>
              <w:top w:val="single" w:sz="8" w:space="0" w:color="000000"/>
              <w:left w:val="nil"/>
              <w:bottom w:val="nil"/>
              <w:right w:val="nil"/>
            </w:tcBorders>
            <w:tcMar>
              <w:top w:w="20" w:type="dxa"/>
              <w:left w:w="20" w:type="dxa"/>
              <w:bottom w:w="100" w:type="dxa"/>
              <w:right w:w="20" w:type="dxa"/>
            </w:tcMar>
            <w:vAlign w:val="bottom"/>
          </w:tcPr>
          <w:p w14:paraId="232A649B" w14:textId="77777777" w:rsidR="003325E7" w:rsidRDefault="001D022A">
            <w:pPr>
              <w:tabs>
                <w:tab w:val="right" w:pos="6480"/>
                <w:tab w:val="left" w:pos="6379"/>
              </w:tabs>
              <w:spacing w:line="276" w:lineRule="auto"/>
              <w:ind w:right="-30"/>
              <w:jc w:val="center"/>
              <w:rPr>
                <w:sz w:val="20"/>
                <w:szCs w:val="20"/>
              </w:rPr>
            </w:pPr>
            <w:r>
              <w:rPr>
                <w:sz w:val="20"/>
                <w:szCs w:val="20"/>
              </w:rPr>
              <w:t>67.70</w:t>
            </w:r>
          </w:p>
        </w:tc>
        <w:tc>
          <w:tcPr>
            <w:tcW w:w="971" w:type="dxa"/>
            <w:tcBorders>
              <w:top w:val="single" w:sz="8" w:space="0" w:color="000000"/>
              <w:left w:val="nil"/>
              <w:bottom w:val="nil"/>
              <w:right w:val="nil"/>
            </w:tcBorders>
            <w:tcMar>
              <w:top w:w="20" w:type="dxa"/>
              <w:left w:w="20" w:type="dxa"/>
              <w:bottom w:w="100" w:type="dxa"/>
              <w:right w:w="20" w:type="dxa"/>
            </w:tcMar>
            <w:vAlign w:val="bottom"/>
          </w:tcPr>
          <w:p w14:paraId="2C62424F" w14:textId="77777777" w:rsidR="003325E7" w:rsidRDefault="001D022A">
            <w:pPr>
              <w:tabs>
                <w:tab w:val="right" w:pos="6480"/>
                <w:tab w:val="left" w:pos="6379"/>
              </w:tabs>
              <w:spacing w:line="276" w:lineRule="auto"/>
              <w:ind w:right="-30"/>
              <w:jc w:val="center"/>
              <w:rPr>
                <w:sz w:val="20"/>
                <w:szCs w:val="20"/>
              </w:rPr>
            </w:pPr>
            <w:r>
              <w:rPr>
                <w:sz w:val="20"/>
                <w:szCs w:val="20"/>
              </w:rPr>
              <w:t>68.76</w:t>
            </w:r>
          </w:p>
        </w:tc>
        <w:tc>
          <w:tcPr>
            <w:tcW w:w="971" w:type="dxa"/>
            <w:tcBorders>
              <w:top w:val="single" w:sz="8" w:space="0" w:color="000000"/>
              <w:left w:val="nil"/>
              <w:bottom w:val="nil"/>
              <w:right w:val="nil"/>
            </w:tcBorders>
            <w:tcMar>
              <w:top w:w="20" w:type="dxa"/>
              <w:left w:w="20" w:type="dxa"/>
              <w:bottom w:w="100" w:type="dxa"/>
              <w:right w:w="20" w:type="dxa"/>
            </w:tcMar>
            <w:vAlign w:val="bottom"/>
          </w:tcPr>
          <w:p w14:paraId="5096ACC9" w14:textId="77777777" w:rsidR="003325E7" w:rsidRDefault="001D022A">
            <w:pPr>
              <w:tabs>
                <w:tab w:val="right" w:pos="6480"/>
                <w:tab w:val="left" w:pos="6379"/>
              </w:tabs>
              <w:spacing w:line="276" w:lineRule="auto"/>
              <w:ind w:right="-30"/>
              <w:jc w:val="center"/>
              <w:rPr>
                <w:sz w:val="20"/>
                <w:szCs w:val="20"/>
              </w:rPr>
            </w:pPr>
            <w:r>
              <w:rPr>
                <w:sz w:val="20"/>
                <w:szCs w:val="20"/>
              </w:rPr>
              <w:t>69.73</w:t>
            </w:r>
          </w:p>
        </w:tc>
        <w:tc>
          <w:tcPr>
            <w:tcW w:w="971" w:type="dxa"/>
            <w:tcBorders>
              <w:top w:val="single" w:sz="8" w:space="0" w:color="000000"/>
              <w:left w:val="nil"/>
              <w:bottom w:val="nil"/>
              <w:right w:val="nil"/>
            </w:tcBorders>
            <w:tcMar>
              <w:top w:w="20" w:type="dxa"/>
              <w:left w:w="20" w:type="dxa"/>
              <w:bottom w:w="100" w:type="dxa"/>
              <w:right w:w="20" w:type="dxa"/>
            </w:tcMar>
            <w:vAlign w:val="bottom"/>
          </w:tcPr>
          <w:p w14:paraId="3F6F7DED" w14:textId="77777777" w:rsidR="003325E7" w:rsidRDefault="001D022A">
            <w:pPr>
              <w:tabs>
                <w:tab w:val="right" w:pos="6480"/>
                <w:tab w:val="left" w:pos="6379"/>
              </w:tabs>
              <w:spacing w:line="276" w:lineRule="auto"/>
              <w:ind w:right="-30"/>
              <w:jc w:val="center"/>
              <w:rPr>
                <w:sz w:val="20"/>
                <w:szCs w:val="20"/>
              </w:rPr>
            </w:pPr>
            <w:r>
              <w:rPr>
                <w:sz w:val="20"/>
                <w:szCs w:val="20"/>
              </w:rPr>
              <w:t>69.79</w:t>
            </w:r>
          </w:p>
        </w:tc>
        <w:tc>
          <w:tcPr>
            <w:tcW w:w="971" w:type="dxa"/>
            <w:tcBorders>
              <w:top w:val="single" w:sz="8" w:space="0" w:color="000000"/>
              <w:left w:val="nil"/>
              <w:bottom w:val="nil"/>
              <w:right w:val="nil"/>
            </w:tcBorders>
            <w:tcMar>
              <w:top w:w="20" w:type="dxa"/>
              <w:left w:w="20" w:type="dxa"/>
              <w:bottom w:w="100" w:type="dxa"/>
              <w:right w:w="20" w:type="dxa"/>
            </w:tcMar>
            <w:vAlign w:val="bottom"/>
          </w:tcPr>
          <w:p w14:paraId="333EBDF2" w14:textId="77777777" w:rsidR="003325E7" w:rsidRDefault="001D022A">
            <w:pPr>
              <w:tabs>
                <w:tab w:val="right" w:pos="6480"/>
                <w:tab w:val="left" w:pos="6379"/>
              </w:tabs>
              <w:spacing w:line="276" w:lineRule="auto"/>
              <w:ind w:right="-30"/>
              <w:jc w:val="center"/>
              <w:rPr>
                <w:sz w:val="20"/>
                <w:szCs w:val="20"/>
              </w:rPr>
            </w:pPr>
            <w:r>
              <w:rPr>
                <w:sz w:val="20"/>
                <w:szCs w:val="20"/>
              </w:rPr>
              <w:t>69.02</w:t>
            </w:r>
          </w:p>
        </w:tc>
        <w:tc>
          <w:tcPr>
            <w:tcW w:w="971" w:type="dxa"/>
            <w:tcBorders>
              <w:top w:val="single" w:sz="8" w:space="0" w:color="000000"/>
              <w:left w:val="nil"/>
              <w:bottom w:val="nil"/>
              <w:right w:val="nil"/>
            </w:tcBorders>
            <w:tcMar>
              <w:top w:w="20" w:type="dxa"/>
              <w:left w:w="20" w:type="dxa"/>
              <w:bottom w:w="100" w:type="dxa"/>
              <w:right w:w="20" w:type="dxa"/>
            </w:tcMar>
            <w:vAlign w:val="bottom"/>
          </w:tcPr>
          <w:p w14:paraId="0909C662" w14:textId="77777777" w:rsidR="003325E7" w:rsidRDefault="001D022A">
            <w:pPr>
              <w:tabs>
                <w:tab w:val="right" w:pos="6480"/>
                <w:tab w:val="left" w:pos="6379"/>
              </w:tabs>
              <w:spacing w:line="276" w:lineRule="auto"/>
              <w:ind w:right="-30"/>
              <w:jc w:val="center"/>
              <w:rPr>
                <w:sz w:val="20"/>
                <w:szCs w:val="20"/>
              </w:rPr>
            </w:pPr>
            <w:r>
              <w:rPr>
                <w:sz w:val="20"/>
                <w:szCs w:val="20"/>
              </w:rPr>
              <w:t>68.82</w:t>
            </w:r>
          </w:p>
        </w:tc>
      </w:tr>
      <w:tr w:rsidR="003325E7" w14:paraId="53E8A946" w14:textId="77777777">
        <w:trPr>
          <w:trHeight w:val="445"/>
        </w:trPr>
        <w:tc>
          <w:tcPr>
            <w:tcW w:w="1371" w:type="dxa"/>
            <w:tcBorders>
              <w:top w:val="nil"/>
              <w:left w:val="nil"/>
              <w:bottom w:val="nil"/>
              <w:right w:val="nil"/>
            </w:tcBorders>
            <w:tcMar>
              <w:top w:w="20" w:type="dxa"/>
              <w:left w:w="20" w:type="dxa"/>
              <w:bottom w:w="100" w:type="dxa"/>
              <w:right w:w="20" w:type="dxa"/>
            </w:tcMar>
            <w:vAlign w:val="bottom"/>
          </w:tcPr>
          <w:p w14:paraId="0DDD05F6" w14:textId="77777777" w:rsidR="003325E7" w:rsidRDefault="001D022A">
            <w:pPr>
              <w:tabs>
                <w:tab w:val="right" w:pos="6480"/>
                <w:tab w:val="left" w:pos="6379"/>
              </w:tabs>
              <w:spacing w:line="276" w:lineRule="auto"/>
              <w:ind w:right="-30"/>
              <w:jc w:val="center"/>
              <w:rPr>
                <w:sz w:val="18"/>
                <w:szCs w:val="18"/>
              </w:rPr>
            </w:pPr>
            <w:r>
              <w:rPr>
                <w:sz w:val="18"/>
                <w:szCs w:val="18"/>
              </w:rPr>
              <w:t>Al</w:t>
            </w:r>
            <w:r>
              <w:rPr>
                <w:sz w:val="18"/>
                <w:szCs w:val="18"/>
                <w:vertAlign w:val="subscript"/>
              </w:rPr>
              <w:t>2</w:t>
            </w:r>
            <w:r>
              <w:rPr>
                <w:sz w:val="18"/>
                <w:szCs w:val="18"/>
              </w:rPr>
              <w:t>O</w:t>
            </w:r>
            <w:r>
              <w:rPr>
                <w:sz w:val="18"/>
                <w:szCs w:val="18"/>
                <w:vertAlign w:val="subscript"/>
              </w:rPr>
              <w:t>3</w:t>
            </w:r>
          </w:p>
        </w:tc>
        <w:tc>
          <w:tcPr>
            <w:tcW w:w="970" w:type="dxa"/>
            <w:tcBorders>
              <w:top w:val="nil"/>
              <w:left w:val="nil"/>
              <w:bottom w:val="nil"/>
              <w:right w:val="nil"/>
            </w:tcBorders>
            <w:tcMar>
              <w:top w:w="20" w:type="dxa"/>
              <w:left w:w="20" w:type="dxa"/>
              <w:bottom w:w="100" w:type="dxa"/>
              <w:right w:w="20" w:type="dxa"/>
            </w:tcMar>
            <w:vAlign w:val="bottom"/>
          </w:tcPr>
          <w:p w14:paraId="733A545A" w14:textId="77777777" w:rsidR="003325E7" w:rsidRDefault="001D022A">
            <w:pPr>
              <w:tabs>
                <w:tab w:val="right" w:pos="6480"/>
                <w:tab w:val="left" w:pos="6379"/>
              </w:tabs>
              <w:spacing w:line="276" w:lineRule="auto"/>
              <w:ind w:right="-30"/>
              <w:jc w:val="center"/>
              <w:rPr>
                <w:sz w:val="20"/>
                <w:szCs w:val="20"/>
              </w:rPr>
            </w:pPr>
            <w:r>
              <w:rPr>
                <w:sz w:val="20"/>
                <w:szCs w:val="20"/>
              </w:rPr>
              <w:t>19.42</w:t>
            </w:r>
          </w:p>
        </w:tc>
        <w:tc>
          <w:tcPr>
            <w:tcW w:w="971" w:type="dxa"/>
            <w:tcBorders>
              <w:top w:val="nil"/>
              <w:left w:val="nil"/>
              <w:bottom w:val="nil"/>
              <w:right w:val="nil"/>
            </w:tcBorders>
            <w:tcMar>
              <w:top w:w="20" w:type="dxa"/>
              <w:left w:w="20" w:type="dxa"/>
              <w:bottom w:w="100" w:type="dxa"/>
              <w:right w:w="20" w:type="dxa"/>
            </w:tcMar>
            <w:vAlign w:val="bottom"/>
          </w:tcPr>
          <w:p w14:paraId="1FC3046C" w14:textId="77777777" w:rsidR="003325E7" w:rsidRDefault="001D022A">
            <w:pPr>
              <w:tabs>
                <w:tab w:val="right" w:pos="6480"/>
                <w:tab w:val="left" w:pos="6379"/>
              </w:tabs>
              <w:spacing w:line="276" w:lineRule="auto"/>
              <w:ind w:right="-30"/>
              <w:jc w:val="center"/>
              <w:rPr>
                <w:sz w:val="20"/>
                <w:szCs w:val="20"/>
              </w:rPr>
            </w:pPr>
            <w:r>
              <w:rPr>
                <w:sz w:val="20"/>
                <w:szCs w:val="20"/>
              </w:rPr>
              <w:t>18.40</w:t>
            </w:r>
          </w:p>
        </w:tc>
        <w:tc>
          <w:tcPr>
            <w:tcW w:w="971" w:type="dxa"/>
            <w:tcBorders>
              <w:top w:val="nil"/>
              <w:left w:val="nil"/>
              <w:bottom w:val="nil"/>
              <w:right w:val="nil"/>
            </w:tcBorders>
            <w:tcMar>
              <w:top w:w="20" w:type="dxa"/>
              <w:left w:w="20" w:type="dxa"/>
              <w:bottom w:w="100" w:type="dxa"/>
              <w:right w:w="20" w:type="dxa"/>
            </w:tcMar>
            <w:vAlign w:val="bottom"/>
          </w:tcPr>
          <w:p w14:paraId="178D634D" w14:textId="77777777" w:rsidR="003325E7" w:rsidRDefault="001D022A">
            <w:pPr>
              <w:tabs>
                <w:tab w:val="right" w:pos="6480"/>
                <w:tab w:val="left" w:pos="6379"/>
              </w:tabs>
              <w:spacing w:line="276" w:lineRule="auto"/>
              <w:ind w:right="-30"/>
              <w:jc w:val="center"/>
              <w:rPr>
                <w:sz w:val="20"/>
                <w:szCs w:val="20"/>
              </w:rPr>
            </w:pPr>
            <w:r>
              <w:rPr>
                <w:sz w:val="20"/>
                <w:szCs w:val="20"/>
              </w:rPr>
              <w:t>17.46</w:t>
            </w:r>
          </w:p>
        </w:tc>
        <w:tc>
          <w:tcPr>
            <w:tcW w:w="971" w:type="dxa"/>
            <w:tcBorders>
              <w:top w:val="nil"/>
              <w:left w:val="nil"/>
              <w:bottom w:val="nil"/>
              <w:right w:val="nil"/>
            </w:tcBorders>
            <w:tcMar>
              <w:top w:w="20" w:type="dxa"/>
              <w:left w:w="20" w:type="dxa"/>
              <w:bottom w:w="100" w:type="dxa"/>
              <w:right w:w="20" w:type="dxa"/>
            </w:tcMar>
            <w:vAlign w:val="bottom"/>
          </w:tcPr>
          <w:p w14:paraId="26274010" w14:textId="77777777" w:rsidR="003325E7" w:rsidRDefault="001D022A">
            <w:pPr>
              <w:tabs>
                <w:tab w:val="right" w:pos="6480"/>
                <w:tab w:val="left" w:pos="6379"/>
              </w:tabs>
              <w:spacing w:line="276" w:lineRule="auto"/>
              <w:ind w:right="-30"/>
              <w:jc w:val="center"/>
              <w:rPr>
                <w:sz w:val="20"/>
                <w:szCs w:val="20"/>
              </w:rPr>
            </w:pPr>
            <w:r>
              <w:rPr>
                <w:sz w:val="20"/>
                <w:szCs w:val="20"/>
              </w:rPr>
              <w:t>17.35</w:t>
            </w:r>
          </w:p>
        </w:tc>
        <w:tc>
          <w:tcPr>
            <w:tcW w:w="971" w:type="dxa"/>
            <w:tcBorders>
              <w:top w:val="nil"/>
              <w:left w:val="nil"/>
              <w:bottom w:val="nil"/>
              <w:right w:val="nil"/>
            </w:tcBorders>
            <w:tcMar>
              <w:top w:w="20" w:type="dxa"/>
              <w:left w:w="20" w:type="dxa"/>
              <w:bottom w:w="100" w:type="dxa"/>
              <w:right w:w="20" w:type="dxa"/>
            </w:tcMar>
            <w:vAlign w:val="bottom"/>
          </w:tcPr>
          <w:p w14:paraId="4AD17D67" w14:textId="77777777" w:rsidR="003325E7" w:rsidRDefault="001D022A">
            <w:pPr>
              <w:tabs>
                <w:tab w:val="right" w:pos="6480"/>
                <w:tab w:val="left" w:pos="6379"/>
              </w:tabs>
              <w:spacing w:line="276" w:lineRule="auto"/>
              <w:ind w:right="-30"/>
              <w:jc w:val="center"/>
              <w:rPr>
                <w:sz w:val="20"/>
                <w:szCs w:val="20"/>
              </w:rPr>
            </w:pPr>
            <w:r>
              <w:rPr>
                <w:sz w:val="20"/>
                <w:szCs w:val="20"/>
              </w:rPr>
              <w:t>17.46</w:t>
            </w:r>
          </w:p>
        </w:tc>
        <w:tc>
          <w:tcPr>
            <w:tcW w:w="971" w:type="dxa"/>
            <w:tcBorders>
              <w:top w:val="nil"/>
              <w:left w:val="nil"/>
              <w:bottom w:val="nil"/>
              <w:right w:val="nil"/>
            </w:tcBorders>
            <w:tcMar>
              <w:top w:w="20" w:type="dxa"/>
              <w:left w:w="20" w:type="dxa"/>
              <w:bottom w:w="100" w:type="dxa"/>
              <w:right w:w="20" w:type="dxa"/>
            </w:tcMar>
            <w:vAlign w:val="bottom"/>
          </w:tcPr>
          <w:p w14:paraId="61C4BF38" w14:textId="77777777" w:rsidR="003325E7" w:rsidRDefault="001D022A">
            <w:pPr>
              <w:tabs>
                <w:tab w:val="right" w:pos="6480"/>
                <w:tab w:val="left" w:pos="6379"/>
              </w:tabs>
              <w:spacing w:line="276" w:lineRule="auto"/>
              <w:ind w:right="-30"/>
              <w:jc w:val="center"/>
              <w:rPr>
                <w:sz w:val="20"/>
                <w:szCs w:val="20"/>
              </w:rPr>
            </w:pPr>
            <w:r>
              <w:rPr>
                <w:sz w:val="20"/>
                <w:szCs w:val="20"/>
              </w:rPr>
              <w:t>17.24</w:t>
            </w:r>
          </w:p>
        </w:tc>
      </w:tr>
      <w:tr w:rsidR="003325E7" w14:paraId="7CDFBD25" w14:textId="77777777">
        <w:trPr>
          <w:trHeight w:val="445"/>
        </w:trPr>
        <w:tc>
          <w:tcPr>
            <w:tcW w:w="1371" w:type="dxa"/>
            <w:tcBorders>
              <w:top w:val="nil"/>
              <w:left w:val="nil"/>
              <w:bottom w:val="nil"/>
              <w:right w:val="nil"/>
            </w:tcBorders>
            <w:tcMar>
              <w:top w:w="20" w:type="dxa"/>
              <w:left w:w="20" w:type="dxa"/>
              <w:bottom w:w="100" w:type="dxa"/>
              <w:right w:w="20" w:type="dxa"/>
            </w:tcMar>
            <w:vAlign w:val="bottom"/>
          </w:tcPr>
          <w:p w14:paraId="1FB2CBC8" w14:textId="77777777" w:rsidR="003325E7" w:rsidRDefault="001D022A">
            <w:pPr>
              <w:tabs>
                <w:tab w:val="right" w:pos="6480"/>
                <w:tab w:val="left" w:pos="6379"/>
              </w:tabs>
              <w:spacing w:line="276" w:lineRule="auto"/>
              <w:ind w:right="-30"/>
              <w:jc w:val="center"/>
              <w:rPr>
                <w:sz w:val="18"/>
                <w:szCs w:val="18"/>
              </w:rPr>
            </w:pPr>
            <w:r>
              <w:rPr>
                <w:sz w:val="18"/>
                <w:szCs w:val="18"/>
              </w:rPr>
              <w:t>Fe</w:t>
            </w:r>
            <w:r>
              <w:rPr>
                <w:sz w:val="18"/>
                <w:szCs w:val="18"/>
                <w:vertAlign w:val="subscript"/>
              </w:rPr>
              <w:t>2</w:t>
            </w:r>
            <w:r>
              <w:rPr>
                <w:sz w:val="18"/>
                <w:szCs w:val="18"/>
              </w:rPr>
              <w:t>O</w:t>
            </w:r>
            <w:r>
              <w:rPr>
                <w:sz w:val="18"/>
                <w:szCs w:val="18"/>
                <w:vertAlign w:val="subscript"/>
              </w:rPr>
              <w:t>3</w:t>
            </w:r>
          </w:p>
        </w:tc>
        <w:tc>
          <w:tcPr>
            <w:tcW w:w="970" w:type="dxa"/>
            <w:tcBorders>
              <w:top w:val="nil"/>
              <w:left w:val="nil"/>
              <w:bottom w:val="nil"/>
              <w:right w:val="nil"/>
            </w:tcBorders>
            <w:tcMar>
              <w:top w:w="20" w:type="dxa"/>
              <w:left w:w="20" w:type="dxa"/>
              <w:bottom w:w="100" w:type="dxa"/>
              <w:right w:w="20" w:type="dxa"/>
            </w:tcMar>
            <w:vAlign w:val="bottom"/>
          </w:tcPr>
          <w:p w14:paraId="294079F8" w14:textId="77777777" w:rsidR="003325E7" w:rsidRDefault="001D022A">
            <w:pPr>
              <w:tabs>
                <w:tab w:val="right" w:pos="6480"/>
                <w:tab w:val="left" w:pos="6379"/>
              </w:tabs>
              <w:spacing w:line="276" w:lineRule="auto"/>
              <w:ind w:right="-30"/>
              <w:jc w:val="center"/>
              <w:rPr>
                <w:sz w:val="20"/>
                <w:szCs w:val="20"/>
              </w:rPr>
            </w:pPr>
            <w:r>
              <w:rPr>
                <w:sz w:val="20"/>
                <w:szCs w:val="20"/>
              </w:rPr>
              <w:t>0.85</w:t>
            </w:r>
          </w:p>
        </w:tc>
        <w:tc>
          <w:tcPr>
            <w:tcW w:w="971" w:type="dxa"/>
            <w:tcBorders>
              <w:top w:val="nil"/>
              <w:left w:val="nil"/>
              <w:bottom w:val="nil"/>
              <w:right w:val="nil"/>
            </w:tcBorders>
            <w:tcMar>
              <w:top w:w="20" w:type="dxa"/>
              <w:left w:w="20" w:type="dxa"/>
              <w:bottom w:w="100" w:type="dxa"/>
              <w:right w:w="20" w:type="dxa"/>
            </w:tcMar>
            <w:vAlign w:val="bottom"/>
          </w:tcPr>
          <w:p w14:paraId="2993EF6B" w14:textId="77777777" w:rsidR="003325E7" w:rsidRDefault="001D022A">
            <w:pPr>
              <w:tabs>
                <w:tab w:val="right" w:pos="6480"/>
                <w:tab w:val="left" w:pos="6379"/>
              </w:tabs>
              <w:spacing w:line="276" w:lineRule="auto"/>
              <w:ind w:right="-30"/>
              <w:jc w:val="center"/>
              <w:rPr>
                <w:sz w:val="20"/>
                <w:szCs w:val="20"/>
              </w:rPr>
            </w:pPr>
            <w:r>
              <w:rPr>
                <w:sz w:val="20"/>
                <w:szCs w:val="20"/>
              </w:rPr>
              <w:t>0.89</w:t>
            </w:r>
          </w:p>
        </w:tc>
        <w:tc>
          <w:tcPr>
            <w:tcW w:w="971" w:type="dxa"/>
            <w:tcBorders>
              <w:top w:val="nil"/>
              <w:left w:val="nil"/>
              <w:bottom w:val="nil"/>
              <w:right w:val="nil"/>
            </w:tcBorders>
            <w:tcMar>
              <w:top w:w="20" w:type="dxa"/>
              <w:left w:w="20" w:type="dxa"/>
              <w:bottom w:w="100" w:type="dxa"/>
              <w:right w:w="20" w:type="dxa"/>
            </w:tcMar>
            <w:vAlign w:val="bottom"/>
          </w:tcPr>
          <w:p w14:paraId="2B54AAEC" w14:textId="77777777" w:rsidR="003325E7" w:rsidRDefault="001D022A">
            <w:pPr>
              <w:tabs>
                <w:tab w:val="right" w:pos="6480"/>
                <w:tab w:val="left" w:pos="6379"/>
              </w:tabs>
              <w:spacing w:line="276" w:lineRule="auto"/>
              <w:ind w:right="-30"/>
              <w:jc w:val="center"/>
              <w:rPr>
                <w:sz w:val="20"/>
                <w:szCs w:val="20"/>
              </w:rPr>
            </w:pPr>
            <w:r>
              <w:rPr>
                <w:sz w:val="20"/>
                <w:szCs w:val="20"/>
              </w:rPr>
              <w:t>0.91</w:t>
            </w:r>
          </w:p>
        </w:tc>
        <w:tc>
          <w:tcPr>
            <w:tcW w:w="971" w:type="dxa"/>
            <w:tcBorders>
              <w:top w:val="nil"/>
              <w:left w:val="nil"/>
              <w:bottom w:val="nil"/>
              <w:right w:val="nil"/>
            </w:tcBorders>
            <w:tcMar>
              <w:top w:w="20" w:type="dxa"/>
              <w:left w:w="20" w:type="dxa"/>
              <w:bottom w:w="100" w:type="dxa"/>
              <w:right w:w="20" w:type="dxa"/>
            </w:tcMar>
            <w:vAlign w:val="bottom"/>
          </w:tcPr>
          <w:p w14:paraId="6A2DEB69" w14:textId="77777777" w:rsidR="003325E7" w:rsidRDefault="001D022A">
            <w:pPr>
              <w:tabs>
                <w:tab w:val="right" w:pos="6480"/>
                <w:tab w:val="left" w:pos="6379"/>
              </w:tabs>
              <w:spacing w:line="276" w:lineRule="auto"/>
              <w:ind w:right="-30"/>
              <w:jc w:val="center"/>
              <w:rPr>
                <w:sz w:val="20"/>
                <w:szCs w:val="20"/>
              </w:rPr>
            </w:pPr>
            <w:r>
              <w:rPr>
                <w:sz w:val="20"/>
                <w:szCs w:val="20"/>
              </w:rPr>
              <w:t>1.09</w:t>
            </w:r>
          </w:p>
        </w:tc>
        <w:tc>
          <w:tcPr>
            <w:tcW w:w="971" w:type="dxa"/>
            <w:tcBorders>
              <w:top w:val="nil"/>
              <w:left w:val="nil"/>
              <w:bottom w:val="nil"/>
              <w:right w:val="nil"/>
            </w:tcBorders>
            <w:tcMar>
              <w:top w:w="20" w:type="dxa"/>
              <w:left w:w="20" w:type="dxa"/>
              <w:bottom w:w="100" w:type="dxa"/>
              <w:right w:w="20" w:type="dxa"/>
            </w:tcMar>
            <w:vAlign w:val="bottom"/>
          </w:tcPr>
          <w:p w14:paraId="7EAD0683" w14:textId="77777777" w:rsidR="003325E7" w:rsidRDefault="001D022A">
            <w:pPr>
              <w:tabs>
                <w:tab w:val="right" w:pos="6480"/>
                <w:tab w:val="left" w:pos="6379"/>
              </w:tabs>
              <w:spacing w:line="276" w:lineRule="auto"/>
              <w:ind w:right="-30"/>
              <w:jc w:val="center"/>
              <w:rPr>
                <w:sz w:val="20"/>
                <w:szCs w:val="20"/>
              </w:rPr>
            </w:pPr>
            <w:r>
              <w:rPr>
                <w:sz w:val="20"/>
                <w:szCs w:val="20"/>
              </w:rPr>
              <w:t>1.67</w:t>
            </w:r>
          </w:p>
        </w:tc>
        <w:tc>
          <w:tcPr>
            <w:tcW w:w="971" w:type="dxa"/>
            <w:tcBorders>
              <w:top w:val="nil"/>
              <w:left w:val="nil"/>
              <w:bottom w:val="nil"/>
              <w:right w:val="nil"/>
            </w:tcBorders>
            <w:tcMar>
              <w:top w:w="20" w:type="dxa"/>
              <w:left w:w="20" w:type="dxa"/>
              <w:bottom w:w="100" w:type="dxa"/>
              <w:right w:w="20" w:type="dxa"/>
            </w:tcMar>
            <w:vAlign w:val="bottom"/>
          </w:tcPr>
          <w:p w14:paraId="4EDFDAF5" w14:textId="77777777" w:rsidR="003325E7" w:rsidRDefault="001D022A">
            <w:pPr>
              <w:tabs>
                <w:tab w:val="right" w:pos="6480"/>
                <w:tab w:val="left" w:pos="6379"/>
              </w:tabs>
              <w:spacing w:line="276" w:lineRule="auto"/>
              <w:ind w:right="-30"/>
              <w:jc w:val="center"/>
              <w:rPr>
                <w:sz w:val="20"/>
                <w:szCs w:val="20"/>
              </w:rPr>
            </w:pPr>
            <w:r>
              <w:rPr>
                <w:sz w:val="20"/>
                <w:szCs w:val="20"/>
              </w:rPr>
              <w:t>2.03</w:t>
            </w:r>
          </w:p>
        </w:tc>
      </w:tr>
      <w:tr w:rsidR="003325E7" w14:paraId="701984AD" w14:textId="77777777">
        <w:trPr>
          <w:trHeight w:val="445"/>
        </w:trPr>
        <w:tc>
          <w:tcPr>
            <w:tcW w:w="1371" w:type="dxa"/>
            <w:tcBorders>
              <w:top w:val="nil"/>
              <w:left w:val="nil"/>
              <w:bottom w:val="nil"/>
              <w:right w:val="nil"/>
            </w:tcBorders>
            <w:tcMar>
              <w:top w:w="20" w:type="dxa"/>
              <w:left w:w="20" w:type="dxa"/>
              <w:bottom w:w="100" w:type="dxa"/>
              <w:right w:w="20" w:type="dxa"/>
            </w:tcMar>
            <w:vAlign w:val="bottom"/>
          </w:tcPr>
          <w:p w14:paraId="2E6833F9" w14:textId="77777777" w:rsidR="003325E7" w:rsidRDefault="001D022A">
            <w:pPr>
              <w:tabs>
                <w:tab w:val="right" w:pos="6480"/>
                <w:tab w:val="left" w:pos="6379"/>
              </w:tabs>
              <w:spacing w:line="276" w:lineRule="auto"/>
              <w:ind w:right="-30"/>
              <w:jc w:val="center"/>
              <w:rPr>
                <w:sz w:val="18"/>
                <w:szCs w:val="18"/>
              </w:rPr>
            </w:pPr>
            <w:r>
              <w:rPr>
                <w:sz w:val="18"/>
                <w:szCs w:val="18"/>
              </w:rPr>
              <w:t>TiO</w:t>
            </w:r>
            <w:r>
              <w:rPr>
                <w:sz w:val="18"/>
                <w:szCs w:val="18"/>
                <w:vertAlign w:val="subscript"/>
              </w:rPr>
              <w:t>2</w:t>
            </w:r>
          </w:p>
        </w:tc>
        <w:tc>
          <w:tcPr>
            <w:tcW w:w="970" w:type="dxa"/>
            <w:tcBorders>
              <w:top w:val="nil"/>
              <w:left w:val="nil"/>
              <w:bottom w:val="nil"/>
              <w:right w:val="nil"/>
            </w:tcBorders>
            <w:tcMar>
              <w:top w:w="20" w:type="dxa"/>
              <w:left w:w="20" w:type="dxa"/>
              <w:bottom w:w="100" w:type="dxa"/>
              <w:right w:w="20" w:type="dxa"/>
            </w:tcMar>
            <w:vAlign w:val="bottom"/>
          </w:tcPr>
          <w:p w14:paraId="6E9E90ED" w14:textId="77777777" w:rsidR="003325E7" w:rsidRDefault="001D022A">
            <w:pPr>
              <w:tabs>
                <w:tab w:val="right" w:pos="6480"/>
                <w:tab w:val="left" w:pos="6379"/>
              </w:tabs>
              <w:spacing w:line="276" w:lineRule="auto"/>
              <w:ind w:right="-30"/>
              <w:jc w:val="center"/>
              <w:rPr>
                <w:sz w:val="20"/>
                <w:szCs w:val="20"/>
              </w:rPr>
            </w:pPr>
            <w:r>
              <w:rPr>
                <w:sz w:val="20"/>
                <w:szCs w:val="20"/>
              </w:rPr>
              <w:t>0.64</w:t>
            </w:r>
          </w:p>
        </w:tc>
        <w:tc>
          <w:tcPr>
            <w:tcW w:w="971" w:type="dxa"/>
            <w:tcBorders>
              <w:top w:val="nil"/>
              <w:left w:val="nil"/>
              <w:bottom w:val="nil"/>
              <w:right w:val="nil"/>
            </w:tcBorders>
            <w:tcMar>
              <w:top w:w="20" w:type="dxa"/>
              <w:left w:w="20" w:type="dxa"/>
              <w:bottom w:w="100" w:type="dxa"/>
              <w:right w:w="20" w:type="dxa"/>
            </w:tcMar>
            <w:vAlign w:val="bottom"/>
          </w:tcPr>
          <w:p w14:paraId="542ABA26" w14:textId="77777777" w:rsidR="003325E7" w:rsidRDefault="001D022A">
            <w:pPr>
              <w:tabs>
                <w:tab w:val="right" w:pos="6480"/>
                <w:tab w:val="left" w:pos="6379"/>
              </w:tabs>
              <w:spacing w:line="276" w:lineRule="auto"/>
              <w:ind w:right="-30"/>
              <w:jc w:val="center"/>
              <w:rPr>
                <w:sz w:val="20"/>
                <w:szCs w:val="20"/>
              </w:rPr>
            </w:pPr>
            <w:r>
              <w:rPr>
                <w:sz w:val="20"/>
                <w:szCs w:val="20"/>
              </w:rPr>
              <w:t>0.64</w:t>
            </w:r>
          </w:p>
        </w:tc>
        <w:tc>
          <w:tcPr>
            <w:tcW w:w="971" w:type="dxa"/>
            <w:tcBorders>
              <w:top w:val="nil"/>
              <w:left w:val="nil"/>
              <w:bottom w:val="nil"/>
              <w:right w:val="nil"/>
            </w:tcBorders>
            <w:tcMar>
              <w:top w:w="20" w:type="dxa"/>
              <w:left w:w="20" w:type="dxa"/>
              <w:bottom w:w="100" w:type="dxa"/>
              <w:right w:w="20" w:type="dxa"/>
            </w:tcMar>
            <w:vAlign w:val="bottom"/>
          </w:tcPr>
          <w:p w14:paraId="06342CEF" w14:textId="77777777" w:rsidR="003325E7" w:rsidRDefault="001D022A">
            <w:pPr>
              <w:tabs>
                <w:tab w:val="right" w:pos="6480"/>
                <w:tab w:val="left" w:pos="6379"/>
              </w:tabs>
              <w:spacing w:line="276" w:lineRule="auto"/>
              <w:ind w:right="-30"/>
              <w:jc w:val="center"/>
              <w:rPr>
                <w:sz w:val="20"/>
                <w:szCs w:val="20"/>
              </w:rPr>
            </w:pPr>
            <w:r>
              <w:rPr>
                <w:sz w:val="20"/>
                <w:szCs w:val="20"/>
              </w:rPr>
              <w:t>0.59</w:t>
            </w:r>
          </w:p>
        </w:tc>
        <w:tc>
          <w:tcPr>
            <w:tcW w:w="971" w:type="dxa"/>
            <w:tcBorders>
              <w:top w:val="nil"/>
              <w:left w:val="nil"/>
              <w:bottom w:val="nil"/>
              <w:right w:val="nil"/>
            </w:tcBorders>
            <w:tcMar>
              <w:top w:w="20" w:type="dxa"/>
              <w:left w:w="20" w:type="dxa"/>
              <w:bottom w:w="100" w:type="dxa"/>
              <w:right w:w="20" w:type="dxa"/>
            </w:tcMar>
            <w:vAlign w:val="bottom"/>
          </w:tcPr>
          <w:p w14:paraId="1AAC7A3C" w14:textId="77777777" w:rsidR="003325E7" w:rsidRDefault="001D022A">
            <w:pPr>
              <w:tabs>
                <w:tab w:val="right" w:pos="6480"/>
                <w:tab w:val="left" w:pos="6379"/>
              </w:tabs>
              <w:spacing w:line="276" w:lineRule="auto"/>
              <w:ind w:right="-30"/>
              <w:jc w:val="center"/>
              <w:rPr>
                <w:sz w:val="20"/>
                <w:szCs w:val="20"/>
              </w:rPr>
            </w:pPr>
            <w:r>
              <w:rPr>
                <w:sz w:val="20"/>
                <w:szCs w:val="20"/>
              </w:rPr>
              <w:t>0.56</w:t>
            </w:r>
          </w:p>
        </w:tc>
        <w:tc>
          <w:tcPr>
            <w:tcW w:w="971" w:type="dxa"/>
            <w:tcBorders>
              <w:top w:val="nil"/>
              <w:left w:val="nil"/>
              <w:bottom w:val="nil"/>
              <w:right w:val="nil"/>
            </w:tcBorders>
            <w:tcMar>
              <w:top w:w="20" w:type="dxa"/>
              <w:left w:w="20" w:type="dxa"/>
              <w:bottom w:w="100" w:type="dxa"/>
              <w:right w:w="20" w:type="dxa"/>
            </w:tcMar>
            <w:vAlign w:val="bottom"/>
          </w:tcPr>
          <w:p w14:paraId="65DA061E" w14:textId="77777777" w:rsidR="003325E7" w:rsidRDefault="001D022A">
            <w:pPr>
              <w:tabs>
                <w:tab w:val="right" w:pos="6480"/>
                <w:tab w:val="left" w:pos="6379"/>
              </w:tabs>
              <w:spacing w:line="276" w:lineRule="auto"/>
              <w:ind w:right="-30"/>
              <w:jc w:val="center"/>
              <w:rPr>
                <w:sz w:val="20"/>
                <w:szCs w:val="20"/>
              </w:rPr>
            </w:pPr>
            <w:r>
              <w:rPr>
                <w:sz w:val="20"/>
                <w:szCs w:val="20"/>
              </w:rPr>
              <w:t>0.57</w:t>
            </w:r>
          </w:p>
        </w:tc>
        <w:tc>
          <w:tcPr>
            <w:tcW w:w="971" w:type="dxa"/>
            <w:tcBorders>
              <w:top w:val="nil"/>
              <w:left w:val="nil"/>
              <w:bottom w:val="nil"/>
              <w:right w:val="nil"/>
            </w:tcBorders>
            <w:tcMar>
              <w:top w:w="20" w:type="dxa"/>
              <w:left w:w="20" w:type="dxa"/>
              <w:bottom w:w="100" w:type="dxa"/>
              <w:right w:w="20" w:type="dxa"/>
            </w:tcMar>
            <w:vAlign w:val="bottom"/>
          </w:tcPr>
          <w:p w14:paraId="7829A12F" w14:textId="77777777" w:rsidR="003325E7" w:rsidRDefault="001D022A">
            <w:pPr>
              <w:tabs>
                <w:tab w:val="right" w:pos="6480"/>
                <w:tab w:val="left" w:pos="6379"/>
              </w:tabs>
              <w:spacing w:line="276" w:lineRule="auto"/>
              <w:ind w:right="-30"/>
              <w:jc w:val="center"/>
              <w:rPr>
                <w:sz w:val="20"/>
                <w:szCs w:val="20"/>
              </w:rPr>
            </w:pPr>
            <w:r>
              <w:rPr>
                <w:sz w:val="20"/>
                <w:szCs w:val="20"/>
              </w:rPr>
              <w:t>0.54</w:t>
            </w:r>
          </w:p>
        </w:tc>
      </w:tr>
      <w:tr w:rsidR="003325E7" w14:paraId="19108908" w14:textId="77777777">
        <w:trPr>
          <w:trHeight w:val="400"/>
        </w:trPr>
        <w:tc>
          <w:tcPr>
            <w:tcW w:w="1371" w:type="dxa"/>
            <w:tcBorders>
              <w:top w:val="nil"/>
              <w:left w:val="nil"/>
              <w:bottom w:val="nil"/>
              <w:right w:val="nil"/>
            </w:tcBorders>
            <w:tcMar>
              <w:top w:w="20" w:type="dxa"/>
              <w:left w:w="20" w:type="dxa"/>
              <w:bottom w:w="100" w:type="dxa"/>
              <w:right w:w="20" w:type="dxa"/>
            </w:tcMar>
            <w:vAlign w:val="bottom"/>
          </w:tcPr>
          <w:p w14:paraId="1E03E3C0" w14:textId="77777777" w:rsidR="003325E7" w:rsidRDefault="001D022A">
            <w:pPr>
              <w:tabs>
                <w:tab w:val="right" w:pos="6480"/>
                <w:tab w:val="left" w:pos="6379"/>
              </w:tabs>
              <w:spacing w:line="276" w:lineRule="auto"/>
              <w:ind w:right="-30"/>
              <w:jc w:val="center"/>
              <w:rPr>
                <w:sz w:val="18"/>
                <w:szCs w:val="18"/>
              </w:rPr>
            </w:pPr>
            <w:r>
              <w:rPr>
                <w:sz w:val="18"/>
                <w:szCs w:val="18"/>
              </w:rPr>
              <w:t>MgO</w:t>
            </w:r>
          </w:p>
        </w:tc>
        <w:tc>
          <w:tcPr>
            <w:tcW w:w="970" w:type="dxa"/>
            <w:tcBorders>
              <w:top w:val="nil"/>
              <w:left w:val="nil"/>
              <w:bottom w:val="nil"/>
              <w:right w:val="nil"/>
            </w:tcBorders>
            <w:tcMar>
              <w:top w:w="20" w:type="dxa"/>
              <w:left w:w="20" w:type="dxa"/>
              <w:bottom w:w="100" w:type="dxa"/>
              <w:right w:w="20" w:type="dxa"/>
            </w:tcMar>
            <w:vAlign w:val="bottom"/>
          </w:tcPr>
          <w:p w14:paraId="1644FCD1" w14:textId="77777777" w:rsidR="003325E7" w:rsidRDefault="001D022A">
            <w:pPr>
              <w:tabs>
                <w:tab w:val="right" w:pos="6480"/>
                <w:tab w:val="left" w:pos="6379"/>
              </w:tabs>
              <w:spacing w:line="276" w:lineRule="auto"/>
              <w:ind w:right="-30"/>
              <w:jc w:val="center"/>
              <w:rPr>
                <w:sz w:val="20"/>
                <w:szCs w:val="20"/>
              </w:rPr>
            </w:pPr>
            <w:r>
              <w:rPr>
                <w:sz w:val="20"/>
                <w:szCs w:val="20"/>
              </w:rPr>
              <w:t>0.44</w:t>
            </w:r>
          </w:p>
        </w:tc>
        <w:tc>
          <w:tcPr>
            <w:tcW w:w="971" w:type="dxa"/>
            <w:tcBorders>
              <w:top w:val="nil"/>
              <w:left w:val="nil"/>
              <w:bottom w:val="nil"/>
              <w:right w:val="nil"/>
            </w:tcBorders>
            <w:tcMar>
              <w:top w:w="20" w:type="dxa"/>
              <w:left w:w="20" w:type="dxa"/>
              <w:bottom w:w="100" w:type="dxa"/>
              <w:right w:w="20" w:type="dxa"/>
            </w:tcMar>
            <w:vAlign w:val="bottom"/>
          </w:tcPr>
          <w:p w14:paraId="6FA39D03" w14:textId="77777777" w:rsidR="003325E7" w:rsidRDefault="001D022A">
            <w:pPr>
              <w:tabs>
                <w:tab w:val="right" w:pos="6480"/>
                <w:tab w:val="left" w:pos="6379"/>
              </w:tabs>
              <w:spacing w:line="276" w:lineRule="auto"/>
              <w:ind w:right="-30"/>
              <w:jc w:val="center"/>
              <w:rPr>
                <w:sz w:val="20"/>
                <w:szCs w:val="20"/>
              </w:rPr>
            </w:pPr>
            <w:r>
              <w:rPr>
                <w:sz w:val="20"/>
                <w:szCs w:val="20"/>
              </w:rPr>
              <w:t>0.42</w:t>
            </w:r>
          </w:p>
        </w:tc>
        <w:tc>
          <w:tcPr>
            <w:tcW w:w="971" w:type="dxa"/>
            <w:tcBorders>
              <w:top w:val="nil"/>
              <w:left w:val="nil"/>
              <w:bottom w:val="nil"/>
              <w:right w:val="nil"/>
            </w:tcBorders>
            <w:tcMar>
              <w:top w:w="20" w:type="dxa"/>
              <w:left w:w="20" w:type="dxa"/>
              <w:bottom w:w="100" w:type="dxa"/>
              <w:right w:w="20" w:type="dxa"/>
            </w:tcMar>
            <w:vAlign w:val="bottom"/>
          </w:tcPr>
          <w:p w14:paraId="72CB7A0B" w14:textId="77777777" w:rsidR="003325E7" w:rsidRDefault="001D022A">
            <w:pPr>
              <w:tabs>
                <w:tab w:val="right" w:pos="6480"/>
                <w:tab w:val="left" w:pos="6379"/>
              </w:tabs>
              <w:spacing w:line="276" w:lineRule="auto"/>
              <w:ind w:right="-30"/>
              <w:jc w:val="center"/>
              <w:rPr>
                <w:sz w:val="20"/>
                <w:szCs w:val="20"/>
              </w:rPr>
            </w:pPr>
            <w:r>
              <w:rPr>
                <w:sz w:val="20"/>
                <w:szCs w:val="20"/>
              </w:rPr>
              <w:t>0.40</w:t>
            </w:r>
          </w:p>
        </w:tc>
        <w:tc>
          <w:tcPr>
            <w:tcW w:w="971" w:type="dxa"/>
            <w:tcBorders>
              <w:top w:val="nil"/>
              <w:left w:val="nil"/>
              <w:bottom w:val="nil"/>
              <w:right w:val="nil"/>
            </w:tcBorders>
            <w:tcMar>
              <w:top w:w="20" w:type="dxa"/>
              <w:left w:w="20" w:type="dxa"/>
              <w:bottom w:w="100" w:type="dxa"/>
              <w:right w:w="20" w:type="dxa"/>
            </w:tcMar>
            <w:vAlign w:val="bottom"/>
          </w:tcPr>
          <w:p w14:paraId="0315DEE0" w14:textId="77777777" w:rsidR="003325E7" w:rsidRDefault="001D022A">
            <w:pPr>
              <w:tabs>
                <w:tab w:val="right" w:pos="6480"/>
                <w:tab w:val="left" w:pos="6379"/>
              </w:tabs>
              <w:spacing w:line="276" w:lineRule="auto"/>
              <w:ind w:right="-30"/>
              <w:jc w:val="center"/>
              <w:rPr>
                <w:sz w:val="20"/>
                <w:szCs w:val="20"/>
              </w:rPr>
            </w:pPr>
            <w:r>
              <w:rPr>
                <w:sz w:val="20"/>
                <w:szCs w:val="20"/>
              </w:rPr>
              <w:t>0.,38</w:t>
            </w:r>
          </w:p>
        </w:tc>
        <w:tc>
          <w:tcPr>
            <w:tcW w:w="971" w:type="dxa"/>
            <w:tcBorders>
              <w:top w:val="nil"/>
              <w:left w:val="nil"/>
              <w:bottom w:val="nil"/>
              <w:right w:val="nil"/>
            </w:tcBorders>
            <w:tcMar>
              <w:top w:w="20" w:type="dxa"/>
              <w:left w:w="20" w:type="dxa"/>
              <w:bottom w:w="100" w:type="dxa"/>
              <w:right w:w="20" w:type="dxa"/>
            </w:tcMar>
            <w:vAlign w:val="bottom"/>
          </w:tcPr>
          <w:p w14:paraId="7913F9FC" w14:textId="77777777" w:rsidR="003325E7" w:rsidRDefault="001D022A">
            <w:pPr>
              <w:tabs>
                <w:tab w:val="right" w:pos="6480"/>
                <w:tab w:val="left" w:pos="6379"/>
              </w:tabs>
              <w:spacing w:line="276" w:lineRule="auto"/>
              <w:ind w:right="-30"/>
              <w:jc w:val="center"/>
              <w:rPr>
                <w:sz w:val="20"/>
                <w:szCs w:val="20"/>
              </w:rPr>
            </w:pPr>
            <w:r>
              <w:rPr>
                <w:sz w:val="20"/>
                <w:szCs w:val="20"/>
              </w:rPr>
              <w:t>0.57</w:t>
            </w:r>
          </w:p>
        </w:tc>
        <w:tc>
          <w:tcPr>
            <w:tcW w:w="971" w:type="dxa"/>
            <w:tcBorders>
              <w:top w:val="nil"/>
              <w:left w:val="nil"/>
              <w:bottom w:val="nil"/>
              <w:right w:val="nil"/>
            </w:tcBorders>
            <w:tcMar>
              <w:top w:w="20" w:type="dxa"/>
              <w:left w:w="20" w:type="dxa"/>
              <w:bottom w:w="100" w:type="dxa"/>
              <w:right w:w="20" w:type="dxa"/>
            </w:tcMar>
            <w:vAlign w:val="bottom"/>
          </w:tcPr>
          <w:p w14:paraId="0E6A24C0" w14:textId="77777777" w:rsidR="003325E7" w:rsidRDefault="001D022A">
            <w:pPr>
              <w:tabs>
                <w:tab w:val="right" w:pos="6480"/>
                <w:tab w:val="left" w:pos="6379"/>
              </w:tabs>
              <w:spacing w:line="276" w:lineRule="auto"/>
              <w:ind w:right="-30"/>
              <w:jc w:val="center"/>
              <w:rPr>
                <w:sz w:val="20"/>
                <w:szCs w:val="20"/>
              </w:rPr>
            </w:pPr>
            <w:r>
              <w:rPr>
                <w:sz w:val="20"/>
                <w:szCs w:val="20"/>
              </w:rPr>
              <w:t>0.65</w:t>
            </w:r>
          </w:p>
        </w:tc>
      </w:tr>
      <w:tr w:rsidR="003325E7" w14:paraId="752D7D55" w14:textId="77777777">
        <w:trPr>
          <w:trHeight w:val="400"/>
        </w:trPr>
        <w:tc>
          <w:tcPr>
            <w:tcW w:w="1371" w:type="dxa"/>
            <w:tcBorders>
              <w:top w:val="nil"/>
              <w:left w:val="nil"/>
              <w:bottom w:val="nil"/>
              <w:right w:val="nil"/>
            </w:tcBorders>
            <w:tcMar>
              <w:top w:w="20" w:type="dxa"/>
              <w:left w:w="20" w:type="dxa"/>
              <w:bottom w:w="100" w:type="dxa"/>
              <w:right w:w="20" w:type="dxa"/>
            </w:tcMar>
            <w:vAlign w:val="bottom"/>
          </w:tcPr>
          <w:p w14:paraId="2A65C2FC" w14:textId="77777777" w:rsidR="003325E7" w:rsidRDefault="001D022A">
            <w:pPr>
              <w:tabs>
                <w:tab w:val="right" w:pos="6480"/>
                <w:tab w:val="left" w:pos="6379"/>
              </w:tabs>
              <w:spacing w:line="276" w:lineRule="auto"/>
              <w:ind w:right="-30"/>
              <w:jc w:val="center"/>
              <w:rPr>
                <w:sz w:val="18"/>
                <w:szCs w:val="18"/>
              </w:rPr>
            </w:pPr>
            <w:proofErr w:type="spellStart"/>
            <w:r>
              <w:rPr>
                <w:sz w:val="18"/>
                <w:szCs w:val="18"/>
              </w:rPr>
              <w:t>CaO</w:t>
            </w:r>
            <w:proofErr w:type="spellEnd"/>
          </w:p>
        </w:tc>
        <w:tc>
          <w:tcPr>
            <w:tcW w:w="970" w:type="dxa"/>
            <w:tcBorders>
              <w:top w:val="nil"/>
              <w:left w:val="nil"/>
              <w:bottom w:val="nil"/>
              <w:right w:val="nil"/>
            </w:tcBorders>
            <w:tcMar>
              <w:top w:w="20" w:type="dxa"/>
              <w:left w:w="20" w:type="dxa"/>
              <w:bottom w:w="100" w:type="dxa"/>
              <w:right w:w="20" w:type="dxa"/>
            </w:tcMar>
            <w:vAlign w:val="bottom"/>
          </w:tcPr>
          <w:p w14:paraId="1CF6178A" w14:textId="77777777" w:rsidR="003325E7" w:rsidRDefault="001D022A">
            <w:pPr>
              <w:tabs>
                <w:tab w:val="right" w:pos="6480"/>
                <w:tab w:val="left" w:pos="6379"/>
              </w:tabs>
              <w:spacing w:line="276" w:lineRule="auto"/>
              <w:ind w:right="-30"/>
              <w:jc w:val="center"/>
              <w:rPr>
                <w:sz w:val="20"/>
                <w:szCs w:val="20"/>
              </w:rPr>
            </w:pPr>
            <w:r>
              <w:rPr>
                <w:sz w:val="20"/>
                <w:szCs w:val="20"/>
              </w:rPr>
              <w:t>0.87</w:t>
            </w:r>
          </w:p>
        </w:tc>
        <w:tc>
          <w:tcPr>
            <w:tcW w:w="971" w:type="dxa"/>
            <w:tcBorders>
              <w:top w:val="nil"/>
              <w:left w:val="nil"/>
              <w:bottom w:val="nil"/>
              <w:right w:val="nil"/>
            </w:tcBorders>
            <w:tcMar>
              <w:top w:w="20" w:type="dxa"/>
              <w:left w:w="20" w:type="dxa"/>
              <w:bottom w:w="100" w:type="dxa"/>
              <w:right w:w="20" w:type="dxa"/>
            </w:tcMar>
            <w:vAlign w:val="bottom"/>
          </w:tcPr>
          <w:p w14:paraId="27F1C261" w14:textId="77777777" w:rsidR="003325E7" w:rsidRDefault="001D022A">
            <w:pPr>
              <w:tabs>
                <w:tab w:val="right" w:pos="6480"/>
                <w:tab w:val="left" w:pos="6379"/>
              </w:tabs>
              <w:spacing w:line="276" w:lineRule="auto"/>
              <w:ind w:right="-30"/>
              <w:jc w:val="center"/>
              <w:rPr>
                <w:sz w:val="20"/>
                <w:szCs w:val="20"/>
              </w:rPr>
            </w:pPr>
            <w:r>
              <w:rPr>
                <w:sz w:val="20"/>
                <w:szCs w:val="20"/>
              </w:rPr>
              <w:t>0.86</w:t>
            </w:r>
          </w:p>
        </w:tc>
        <w:tc>
          <w:tcPr>
            <w:tcW w:w="971" w:type="dxa"/>
            <w:tcBorders>
              <w:top w:val="nil"/>
              <w:left w:val="nil"/>
              <w:bottom w:val="nil"/>
              <w:right w:val="nil"/>
            </w:tcBorders>
            <w:tcMar>
              <w:top w:w="20" w:type="dxa"/>
              <w:left w:w="20" w:type="dxa"/>
              <w:bottom w:w="100" w:type="dxa"/>
              <w:right w:w="20" w:type="dxa"/>
            </w:tcMar>
            <w:vAlign w:val="bottom"/>
          </w:tcPr>
          <w:p w14:paraId="00BAD464" w14:textId="77777777" w:rsidR="003325E7" w:rsidRDefault="001D022A">
            <w:pPr>
              <w:tabs>
                <w:tab w:val="right" w:pos="6480"/>
                <w:tab w:val="left" w:pos="6379"/>
              </w:tabs>
              <w:spacing w:line="276" w:lineRule="auto"/>
              <w:ind w:right="-30"/>
              <w:jc w:val="center"/>
              <w:rPr>
                <w:sz w:val="20"/>
                <w:szCs w:val="20"/>
              </w:rPr>
            </w:pPr>
            <w:r>
              <w:rPr>
                <w:sz w:val="20"/>
                <w:szCs w:val="20"/>
              </w:rPr>
              <w:t>0.86</w:t>
            </w:r>
          </w:p>
        </w:tc>
        <w:tc>
          <w:tcPr>
            <w:tcW w:w="971" w:type="dxa"/>
            <w:tcBorders>
              <w:top w:val="nil"/>
              <w:left w:val="nil"/>
              <w:bottom w:val="nil"/>
              <w:right w:val="nil"/>
            </w:tcBorders>
            <w:tcMar>
              <w:top w:w="20" w:type="dxa"/>
              <w:left w:w="20" w:type="dxa"/>
              <w:bottom w:w="100" w:type="dxa"/>
              <w:right w:w="20" w:type="dxa"/>
            </w:tcMar>
            <w:vAlign w:val="bottom"/>
          </w:tcPr>
          <w:p w14:paraId="1A72A8F1" w14:textId="77777777" w:rsidR="003325E7" w:rsidRDefault="001D022A">
            <w:pPr>
              <w:tabs>
                <w:tab w:val="right" w:pos="6480"/>
                <w:tab w:val="left" w:pos="6379"/>
              </w:tabs>
              <w:spacing w:line="276" w:lineRule="auto"/>
              <w:ind w:right="-30"/>
              <w:jc w:val="center"/>
              <w:rPr>
                <w:sz w:val="20"/>
                <w:szCs w:val="20"/>
              </w:rPr>
            </w:pPr>
            <w:r>
              <w:rPr>
                <w:sz w:val="20"/>
                <w:szCs w:val="20"/>
              </w:rPr>
              <w:t>0.61</w:t>
            </w:r>
          </w:p>
        </w:tc>
        <w:tc>
          <w:tcPr>
            <w:tcW w:w="971" w:type="dxa"/>
            <w:tcBorders>
              <w:top w:val="nil"/>
              <w:left w:val="nil"/>
              <w:bottom w:val="nil"/>
              <w:right w:val="nil"/>
            </w:tcBorders>
            <w:tcMar>
              <w:top w:w="20" w:type="dxa"/>
              <w:left w:w="20" w:type="dxa"/>
              <w:bottom w:w="100" w:type="dxa"/>
              <w:right w:w="20" w:type="dxa"/>
            </w:tcMar>
            <w:vAlign w:val="bottom"/>
          </w:tcPr>
          <w:p w14:paraId="3BC7EA43" w14:textId="77777777" w:rsidR="003325E7" w:rsidRDefault="001D022A">
            <w:pPr>
              <w:tabs>
                <w:tab w:val="right" w:pos="6480"/>
                <w:tab w:val="left" w:pos="6379"/>
              </w:tabs>
              <w:spacing w:line="276" w:lineRule="auto"/>
              <w:ind w:right="-30"/>
              <w:jc w:val="center"/>
              <w:rPr>
                <w:sz w:val="20"/>
                <w:szCs w:val="20"/>
              </w:rPr>
            </w:pPr>
            <w:r>
              <w:rPr>
                <w:sz w:val="20"/>
                <w:szCs w:val="20"/>
              </w:rPr>
              <w:t>0.56</w:t>
            </w:r>
          </w:p>
        </w:tc>
        <w:tc>
          <w:tcPr>
            <w:tcW w:w="971" w:type="dxa"/>
            <w:tcBorders>
              <w:top w:val="nil"/>
              <w:left w:val="nil"/>
              <w:bottom w:val="nil"/>
              <w:right w:val="nil"/>
            </w:tcBorders>
            <w:tcMar>
              <w:top w:w="20" w:type="dxa"/>
              <w:left w:w="20" w:type="dxa"/>
              <w:bottom w:w="100" w:type="dxa"/>
              <w:right w:w="20" w:type="dxa"/>
            </w:tcMar>
            <w:vAlign w:val="bottom"/>
          </w:tcPr>
          <w:p w14:paraId="7F72E0F8" w14:textId="77777777" w:rsidR="003325E7" w:rsidRDefault="001D022A">
            <w:pPr>
              <w:tabs>
                <w:tab w:val="right" w:pos="6480"/>
                <w:tab w:val="left" w:pos="6379"/>
              </w:tabs>
              <w:spacing w:line="276" w:lineRule="auto"/>
              <w:ind w:right="-30"/>
              <w:jc w:val="center"/>
              <w:rPr>
                <w:sz w:val="20"/>
                <w:szCs w:val="20"/>
              </w:rPr>
            </w:pPr>
            <w:r>
              <w:rPr>
                <w:sz w:val="20"/>
                <w:szCs w:val="20"/>
              </w:rPr>
              <w:t>0.53</w:t>
            </w:r>
          </w:p>
        </w:tc>
      </w:tr>
      <w:tr w:rsidR="003325E7" w14:paraId="379DF02E" w14:textId="77777777">
        <w:trPr>
          <w:trHeight w:val="445"/>
        </w:trPr>
        <w:tc>
          <w:tcPr>
            <w:tcW w:w="1371" w:type="dxa"/>
            <w:tcBorders>
              <w:top w:val="nil"/>
              <w:left w:val="nil"/>
              <w:bottom w:val="nil"/>
              <w:right w:val="nil"/>
            </w:tcBorders>
            <w:tcMar>
              <w:top w:w="20" w:type="dxa"/>
              <w:left w:w="20" w:type="dxa"/>
              <w:bottom w:w="100" w:type="dxa"/>
              <w:right w:w="20" w:type="dxa"/>
            </w:tcMar>
            <w:vAlign w:val="bottom"/>
          </w:tcPr>
          <w:p w14:paraId="6D2E0DCD" w14:textId="77777777" w:rsidR="003325E7" w:rsidRDefault="001D022A">
            <w:pPr>
              <w:tabs>
                <w:tab w:val="right" w:pos="6480"/>
                <w:tab w:val="left" w:pos="6379"/>
              </w:tabs>
              <w:spacing w:line="276" w:lineRule="auto"/>
              <w:ind w:right="-30"/>
              <w:jc w:val="center"/>
              <w:rPr>
                <w:sz w:val="18"/>
                <w:szCs w:val="18"/>
              </w:rPr>
            </w:pPr>
            <w:r>
              <w:rPr>
                <w:sz w:val="18"/>
                <w:szCs w:val="18"/>
              </w:rPr>
              <w:t>Na</w:t>
            </w:r>
            <w:r>
              <w:rPr>
                <w:sz w:val="18"/>
                <w:szCs w:val="18"/>
                <w:vertAlign w:val="subscript"/>
              </w:rPr>
              <w:t>2</w:t>
            </w:r>
            <w:r>
              <w:rPr>
                <w:sz w:val="18"/>
                <w:szCs w:val="18"/>
              </w:rPr>
              <w:t>O</w:t>
            </w:r>
          </w:p>
        </w:tc>
        <w:tc>
          <w:tcPr>
            <w:tcW w:w="970" w:type="dxa"/>
            <w:tcBorders>
              <w:top w:val="nil"/>
              <w:left w:val="nil"/>
              <w:bottom w:val="nil"/>
              <w:right w:val="nil"/>
            </w:tcBorders>
            <w:tcMar>
              <w:top w:w="20" w:type="dxa"/>
              <w:left w:w="20" w:type="dxa"/>
              <w:bottom w:w="100" w:type="dxa"/>
              <w:right w:w="20" w:type="dxa"/>
            </w:tcMar>
            <w:vAlign w:val="bottom"/>
          </w:tcPr>
          <w:p w14:paraId="1AD46F48" w14:textId="77777777" w:rsidR="003325E7" w:rsidRDefault="001D022A">
            <w:pPr>
              <w:tabs>
                <w:tab w:val="right" w:pos="6480"/>
                <w:tab w:val="left" w:pos="6379"/>
              </w:tabs>
              <w:spacing w:line="276" w:lineRule="auto"/>
              <w:ind w:right="-30"/>
              <w:jc w:val="center"/>
              <w:rPr>
                <w:sz w:val="18"/>
                <w:szCs w:val="18"/>
              </w:rPr>
            </w:pPr>
            <w:r>
              <w:rPr>
                <w:sz w:val="18"/>
                <w:szCs w:val="18"/>
              </w:rPr>
              <w:t>3.99</w:t>
            </w:r>
          </w:p>
        </w:tc>
        <w:tc>
          <w:tcPr>
            <w:tcW w:w="971" w:type="dxa"/>
            <w:tcBorders>
              <w:top w:val="nil"/>
              <w:left w:val="nil"/>
              <w:bottom w:val="nil"/>
              <w:right w:val="nil"/>
            </w:tcBorders>
            <w:tcMar>
              <w:top w:w="20" w:type="dxa"/>
              <w:left w:w="20" w:type="dxa"/>
              <w:bottom w:w="100" w:type="dxa"/>
              <w:right w:w="20" w:type="dxa"/>
            </w:tcMar>
            <w:vAlign w:val="bottom"/>
          </w:tcPr>
          <w:p w14:paraId="62BDCFBB" w14:textId="77777777" w:rsidR="003325E7" w:rsidRDefault="001D022A">
            <w:pPr>
              <w:tabs>
                <w:tab w:val="right" w:pos="6480"/>
                <w:tab w:val="left" w:pos="6379"/>
              </w:tabs>
              <w:spacing w:line="276" w:lineRule="auto"/>
              <w:ind w:right="-30"/>
              <w:jc w:val="center"/>
              <w:rPr>
                <w:sz w:val="18"/>
                <w:szCs w:val="18"/>
              </w:rPr>
            </w:pPr>
            <w:r>
              <w:rPr>
                <w:sz w:val="18"/>
                <w:szCs w:val="18"/>
              </w:rPr>
              <w:t>3.94</w:t>
            </w:r>
          </w:p>
        </w:tc>
        <w:tc>
          <w:tcPr>
            <w:tcW w:w="971" w:type="dxa"/>
            <w:tcBorders>
              <w:top w:val="nil"/>
              <w:left w:val="nil"/>
              <w:bottom w:val="nil"/>
              <w:right w:val="nil"/>
            </w:tcBorders>
            <w:tcMar>
              <w:top w:w="20" w:type="dxa"/>
              <w:left w:w="20" w:type="dxa"/>
              <w:bottom w:w="100" w:type="dxa"/>
              <w:right w:w="20" w:type="dxa"/>
            </w:tcMar>
            <w:vAlign w:val="bottom"/>
          </w:tcPr>
          <w:p w14:paraId="26D72A14" w14:textId="77777777" w:rsidR="003325E7" w:rsidRDefault="001D022A">
            <w:pPr>
              <w:tabs>
                <w:tab w:val="right" w:pos="6480"/>
                <w:tab w:val="left" w:pos="6379"/>
              </w:tabs>
              <w:spacing w:line="276" w:lineRule="auto"/>
              <w:ind w:right="-30"/>
              <w:jc w:val="center"/>
              <w:rPr>
                <w:sz w:val="18"/>
                <w:szCs w:val="18"/>
              </w:rPr>
            </w:pPr>
            <w:r>
              <w:rPr>
                <w:sz w:val="18"/>
                <w:szCs w:val="18"/>
              </w:rPr>
              <w:t>3.97</w:t>
            </w:r>
          </w:p>
        </w:tc>
        <w:tc>
          <w:tcPr>
            <w:tcW w:w="971" w:type="dxa"/>
            <w:tcBorders>
              <w:top w:val="nil"/>
              <w:left w:val="nil"/>
              <w:bottom w:val="nil"/>
              <w:right w:val="nil"/>
            </w:tcBorders>
            <w:tcMar>
              <w:top w:w="20" w:type="dxa"/>
              <w:left w:w="20" w:type="dxa"/>
              <w:bottom w:w="100" w:type="dxa"/>
              <w:right w:w="20" w:type="dxa"/>
            </w:tcMar>
            <w:vAlign w:val="bottom"/>
          </w:tcPr>
          <w:p w14:paraId="2775FF62" w14:textId="77777777" w:rsidR="003325E7" w:rsidRDefault="001D022A">
            <w:pPr>
              <w:tabs>
                <w:tab w:val="right" w:pos="6480"/>
                <w:tab w:val="left" w:pos="6379"/>
              </w:tabs>
              <w:spacing w:line="276" w:lineRule="auto"/>
              <w:ind w:right="-30"/>
              <w:jc w:val="center"/>
              <w:rPr>
                <w:sz w:val="18"/>
                <w:szCs w:val="18"/>
              </w:rPr>
            </w:pPr>
            <w:r>
              <w:rPr>
                <w:sz w:val="18"/>
                <w:szCs w:val="18"/>
              </w:rPr>
              <w:t>2.60</w:t>
            </w:r>
          </w:p>
        </w:tc>
        <w:tc>
          <w:tcPr>
            <w:tcW w:w="971" w:type="dxa"/>
            <w:tcBorders>
              <w:top w:val="nil"/>
              <w:left w:val="nil"/>
              <w:bottom w:val="nil"/>
              <w:right w:val="nil"/>
            </w:tcBorders>
            <w:tcMar>
              <w:top w:w="20" w:type="dxa"/>
              <w:left w:w="20" w:type="dxa"/>
              <w:bottom w:w="100" w:type="dxa"/>
              <w:right w:w="20" w:type="dxa"/>
            </w:tcMar>
            <w:vAlign w:val="bottom"/>
          </w:tcPr>
          <w:p w14:paraId="74D31C54" w14:textId="77777777" w:rsidR="003325E7" w:rsidRDefault="001D022A">
            <w:pPr>
              <w:tabs>
                <w:tab w:val="right" w:pos="6480"/>
                <w:tab w:val="left" w:pos="6379"/>
              </w:tabs>
              <w:spacing w:line="276" w:lineRule="auto"/>
              <w:ind w:right="-30"/>
              <w:jc w:val="center"/>
              <w:rPr>
                <w:sz w:val="18"/>
                <w:szCs w:val="18"/>
              </w:rPr>
            </w:pPr>
            <w:r>
              <w:rPr>
                <w:sz w:val="18"/>
                <w:szCs w:val="18"/>
              </w:rPr>
              <w:t>2.72</w:t>
            </w:r>
          </w:p>
        </w:tc>
        <w:tc>
          <w:tcPr>
            <w:tcW w:w="971" w:type="dxa"/>
            <w:tcBorders>
              <w:top w:val="nil"/>
              <w:left w:val="nil"/>
              <w:bottom w:val="nil"/>
              <w:right w:val="nil"/>
            </w:tcBorders>
            <w:tcMar>
              <w:top w:w="20" w:type="dxa"/>
              <w:left w:w="20" w:type="dxa"/>
              <w:bottom w:w="100" w:type="dxa"/>
              <w:right w:w="20" w:type="dxa"/>
            </w:tcMar>
            <w:vAlign w:val="bottom"/>
          </w:tcPr>
          <w:p w14:paraId="61F2B887" w14:textId="77777777" w:rsidR="003325E7" w:rsidRDefault="001D022A">
            <w:pPr>
              <w:tabs>
                <w:tab w:val="right" w:pos="6480"/>
                <w:tab w:val="left" w:pos="6379"/>
              </w:tabs>
              <w:spacing w:line="276" w:lineRule="auto"/>
              <w:ind w:right="-30"/>
              <w:jc w:val="center"/>
              <w:rPr>
                <w:sz w:val="18"/>
                <w:szCs w:val="18"/>
              </w:rPr>
            </w:pPr>
            <w:r>
              <w:rPr>
                <w:sz w:val="18"/>
                <w:szCs w:val="18"/>
              </w:rPr>
              <w:t>2.34</w:t>
            </w:r>
          </w:p>
        </w:tc>
      </w:tr>
      <w:tr w:rsidR="003325E7" w14:paraId="6D51C171" w14:textId="77777777">
        <w:trPr>
          <w:trHeight w:val="445"/>
        </w:trPr>
        <w:tc>
          <w:tcPr>
            <w:tcW w:w="1371" w:type="dxa"/>
            <w:tcBorders>
              <w:top w:val="nil"/>
              <w:left w:val="nil"/>
              <w:bottom w:val="nil"/>
              <w:right w:val="nil"/>
            </w:tcBorders>
            <w:tcMar>
              <w:top w:w="20" w:type="dxa"/>
              <w:left w:w="20" w:type="dxa"/>
              <w:bottom w:w="100" w:type="dxa"/>
              <w:right w:w="20" w:type="dxa"/>
            </w:tcMar>
            <w:vAlign w:val="bottom"/>
          </w:tcPr>
          <w:p w14:paraId="4113E615" w14:textId="77777777" w:rsidR="003325E7" w:rsidRDefault="001D022A">
            <w:pPr>
              <w:tabs>
                <w:tab w:val="right" w:pos="6480"/>
                <w:tab w:val="left" w:pos="6379"/>
              </w:tabs>
              <w:spacing w:line="276" w:lineRule="auto"/>
              <w:ind w:right="-30"/>
              <w:jc w:val="center"/>
              <w:rPr>
                <w:sz w:val="18"/>
                <w:szCs w:val="18"/>
              </w:rPr>
            </w:pPr>
            <w:r>
              <w:rPr>
                <w:sz w:val="18"/>
                <w:szCs w:val="18"/>
              </w:rPr>
              <w:t>K</w:t>
            </w:r>
            <w:r>
              <w:rPr>
                <w:sz w:val="18"/>
                <w:szCs w:val="18"/>
                <w:vertAlign w:val="subscript"/>
              </w:rPr>
              <w:t>2</w:t>
            </w:r>
            <w:r>
              <w:rPr>
                <w:sz w:val="18"/>
                <w:szCs w:val="18"/>
              </w:rPr>
              <w:t>O</w:t>
            </w:r>
          </w:p>
        </w:tc>
        <w:tc>
          <w:tcPr>
            <w:tcW w:w="970" w:type="dxa"/>
            <w:tcBorders>
              <w:top w:val="nil"/>
              <w:left w:val="nil"/>
              <w:bottom w:val="nil"/>
              <w:right w:val="nil"/>
            </w:tcBorders>
            <w:tcMar>
              <w:top w:w="20" w:type="dxa"/>
              <w:left w:w="20" w:type="dxa"/>
              <w:bottom w:w="100" w:type="dxa"/>
              <w:right w:w="20" w:type="dxa"/>
            </w:tcMar>
            <w:vAlign w:val="bottom"/>
          </w:tcPr>
          <w:p w14:paraId="336E9782" w14:textId="77777777" w:rsidR="003325E7" w:rsidRDefault="001D022A">
            <w:pPr>
              <w:tabs>
                <w:tab w:val="right" w:pos="6480"/>
                <w:tab w:val="left" w:pos="6379"/>
              </w:tabs>
              <w:spacing w:line="276" w:lineRule="auto"/>
              <w:ind w:right="-30"/>
              <w:jc w:val="center"/>
              <w:rPr>
                <w:sz w:val="18"/>
                <w:szCs w:val="18"/>
              </w:rPr>
            </w:pPr>
            <w:r>
              <w:rPr>
                <w:sz w:val="18"/>
                <w:szCs w:val="18"/>
              </w:rPr>
              <w:t>2.47</w:t>
            </w:r>
          </w:p>
        </w:tc>
        <w:tc>
          <w:tcPr>
            <w:tcW w:w="971" w:type="dxa"/>
            <w:tcBorders>
              <w:top w:val="nil"/>
              <w:left w:val="nil"/>
              <w:bottom w:val="nil"/>
              <w:right w:val="nil"/>
            </w:tcBorders>
            <w:tcMar>
              <w:top w:w="20" w:type="dxa"/>
              <w:left w:w="20" w:type="dxa"/>
              <w:bottom w:w="100" w:type="dxa"/>
              <w:right w:w="20" w:type="dxa"/>
            </w:tcMar>
            <w:vAlign w:val="bottom"/>
          </w:tcPr>
          <w:p w14:paraId="34B734F0" w14:textId="77777777" w:rsidR="003325E7" w:rsidRDefault="001D022A">
            <w:pPr>
              <w:tabs>
                <w:tab w:val="right" w:pos="6480"/>
                <w:tab w:val="left" w:pos="6379"/>
              </w:tabs>
              <w:spacing w:line="276" w:lineRule="auto"/>
              <w:ind w:right="-30"/>
              <w:jc w:val="center"/>
              <w:rPr>
                <w:sz w:val="18"/>
                <w:szCs w:val="18"/>
              </w:rPr>
            </w:pPr>
            <w:r>
              <w:rPr>
                <w:sz w:val="18"/>
                <w:szCs w:val="18"/>
              </w:rPr>
              <w:t>2.37</w:t>
            </w:r>
          </w:p>
        </w:tc>
        <w:tc>
          <w:tcPr>
            <w:tcW w:w="971" w:type="dxa"/>
            <w:tcBorders>
              <w:top w:val="nil"/>
              <w:left w:val="nil"/>
              <w:bottom w:val="nil"/>
              <w:right w:val="nil"/>
            </w:tcBorders>
            <w:tcMar>
              <w:top w:w="20" w:type="dxa"/>
              <w:left w:w="20" w:type="dxa"/>
              <w:bottom w:w="100" w:type="dxa"/>
              <w:right w:w="20" w:type="dxa"/>
            </w:tcMar>
            <w:vAlign w:val="bottom"/>
          </w:tcPr>
          <w:p w14:paraId="7376A570" w14:textId="77777777" w:rsidR="003325E7" w:rsidRDefault="001D022A">
            <w:pPr>
              <w:tabs>
                <w:tab w:val="right" w:pos="6480"/>
                <w:tab w:val="left" w:pos="6379"/>
              </w:tabs>
              <w:spacing w:line="276" w:lineRule="auto"/>
              <w:ind w:right="-30"/>
              <w:jc w:val="center"/>
              <w:rPr>
                <w:sz w:val="18"/>
                <w:szCs w:val="18"/>
              </w:rPr>
            </w:pPr>
            <w:r>
              <w:rPr>
                <w:sz w:val="18"/>
                <w:szCs w:val="18"/>
              </w:rPr>
              <w:t>2.44</w:t>
            </w:r>
          </w:p>
        </w:tc>
        <w:tc>
          <w:tcPr>
            <w:tcW w:w="971" w:type="dxa"/>
            <w:tcBorders>
              <w:top w:val="nil"/>
              <w:left w:val="nil"/>
              <w:bottom w:val="nil"/>
              <w:right w:val="nil"/>
            </w:tcBorders>
            <w:tcMar>
              <w:top w:w="20" w:type="dxa"/>
              <w:left w:w="20" w:type="dxa"/>
              <w:bottom w:w="100" w:type="dxa"/>
              <w:right w:w="20" w:type="dxa"/>
            </w:tcMar>
            <w:vAlign w:val="bottom"/>
          </w:tcPr>
          <w:p w14:paraId="29B5BA1E" w14:textId="77777777" w:rsidR="003325E7" w:rsidRDefault="001D022A">
            <w:pPr>
              <w:tabs>
                <w:tab w:val="right" w:pos="6480"/>
                <w:tab w:val="left" w:pos="6379"/>
              </w:tabs>
              <w:spacing w:line="276" w:lineRule="auto"/>
              <w:ind w:right="-30"/>
              <w:jc w:val="center"/>
              <w:rPr>
                <w:sz w:val="18"/>
                <w:szCs w:val="18"/>
              </w:rPr>
            </w:pPr>
            <w:r>
              <w:rPr>
                <w:sz w:val="18"/>
                <w:szCs w:val="18"/>
              </w:rPr>
              <w:t>3.22</w:t>
            </w:r>
          </w:p>
        </w:tc>
        <w:tc>
          <w:tcPr>
            <w:tcW w:w="971" w:type="dxa"/>
            <w:tcBorders>
              <w:top w:val="nil"/>
              <w:left w:val="nil"/>
              <w:bottom w:val="nil"/>
              <w:right w:val="nil"/>
            </w:tcBorders>
            <w:tcMar>
              <w:top w:w="20" w:type="dxa"/>
              <w:left w:w="20" w:type="dxa"/>
              <w:bottom w:w="100" w:type="dxa"/>
              <w:right w:w="20" w:type="dxa"/>
            </w:tcMar>
            <w:vAlign w:val="bottom"/>
          </w:tcPr>
          <w:p w14:paraId="3BB1D143" w14:textId="77777777" w:rsidR="003325E7" w:rsidRDefault="001D022A">
            <w:pPr>
              <w:tabs>
                <w:tab w:val="right" w:pos="6480"/>
                <w:tab w:val="left" w:pos="6379"/>
              </w:tabs>
              <w:spacing w:line="276" w:lineRule="auto"/>
              <w:ind w:right="-30"/>
              <w:jc w:val="center"/>
              <w:rPr>
                <w:sz w:val="18"/>
                <w:szCs w:val="18"/>
              </w:rPr>
            </w:pPr>
            <w:r>
              <w:rPr>
                <w:sz w:val="18"/>
                <w:szCs w:val="18"/>
              </w:rPr>
              <w:t>3.14</w:t>
            </w:r>
          </w:p>
        </w:tc>
        <w:tc>
          <w:tcPr>
            <w:tcW w:w="971" w:type="dxa"/>
            <w:tcBorders>
              <w:top w:val="nil"/>
              <w:left w:val="nil"/>
              <w:bottom w:val="nil"/>
              <w:right w:val="nil"/>
            </w:tcBorders>
            <w:tcMar>
              <w:top w:w="20" w:type="dxa"/>
              <w:left w:w="20" w:type="dxa"/>
              <w:bottom w:w="100" w:type="dxa"/>
              <w:right w:w="20" w:type="dxa"/>
            </w:tcMar>
            <w:vAlign w:val="bottom"/>
          </w:tcPr>
          <w:p w14:paraId="2FB5D24E" w14:textId="77777777" w:rsidR="003325E7" w:rsidRDefault="001D022A">
            <w:pPr>
              <w:tabs>
                <w:tab w:val="right" w:pos="6480"/>
                <w:tab w:val="left" w:pos="6379"/>
              </w:tabs>
              <w:spacing w:line="276" w:lineRule="auto"/>
              <w:ind w:right="-30"/>
              <w:jc w:val="center"/>
              <w:rPr>
                <w:sz w:val="18"/>
                <w:szCs w:val="18"/>
              </w:rPr>
            </w:pPr>
            <w:r>
              <w:rPr>
                <w:sz w:val="18"/>
                <w:szCs w:val="18"/>
              </w:rPr>
              <w:t>3.41</w:t>
            </w:r>
          </w:p>
        </w:tc>
      </w:tr>
      <w:tr w:rsidR="003325E7" w14:paraId="6DDA062C" w14:textId="77777777">
        <w:trPr>
          <w:trHeight w:val="400"/>
        </w:trPr>
        <w:tc>
          <w:tcPr>
            <w:tcW w:w="1371" w:type="dxa"/>
            <w:tcBorders>
              <w:top w:val="nil"/>
              <w:left w:val="nil"/>
              <w:bottom w:val="single" w:sz="8" w:space="0" w:color="000000"/>
              <w:right w:val="nil"/>
            </w:tcBorders>
            <w:tcMar>
              <w:top w:w="20" w:type="dxa"/>
              <w:left w:w="20" w:type="dxa"/>
              <w:bottom w:w="100" w:type="dxa"/>
              <w:right w:w="20" w:type="dxa"/>
            </w:tcMar>
            <w:vAlign w:val="bottom"/>
          </w:tcPr>
          <w:p w14:paraId="7476F459" w14:textId="77777777" w:rsidR="003325E7" w:rsidRDefault="001D022A">
            <w:pPr>
              <w:tabs>
                <w:tab w:val="right" w:pos="6480"/>
                <w:tab w:val="left" w:pos="6379"/>
              </w:tabs>
              <w:spacing w:line="276" w:lineRule="auto"/>
              <w:ind w:right="-30"/>
              <w:jc w:val="center"/>
              <w:rPr>
                <w:sz w:val="18"/>
                <w:szCs w:val="18"/>
              </w:rPr>
            </w:pPr>
            <w:r>
              <w:rPr>
                <w:sz w:val="18"/>
                <w:szCs w:val="18"/>
              </w:rPr>
              <w:t>Loss On Ignition</w:t>
            </w:r>
          </w:p>
        </w:tc>
        <w:tc>
          <w:tcPr>
            <w:tcW w:w="970" w:type="dxa"/>
            <w:tcBorders>
              <w:top w:val="nil"/>
              <w:left w:val="nil"/>
              <w:bottom w:val="single" w:sz="8" w:space="0" w:color="000000"/>
              <w:right w:val="nil"/>
            </w:tcBorders>
            <w:tcMar>
              <w:top w:w="20" w:type="dxa"/>
              <w:left w:w="20" w:type="dxa"/>
              <w:bottom w:w="100" w:type="dxa"/>
              <w:right w:w="20" w:type="dxa"/>
            </w:tcMar>
            <w:vAlign w:val="bottom"/>
          </w:tcPr>
          <w:p w14:paraId="1288F48B" w14:textId="77777777" w:rsidR="003325E7" w:rsidRDefault="001D022A">
            <w:pPr>
              <w:tabs>
                <w:tab w:val="right" w:pos="6480"/>
                <w:tab w:val="left" w:pos="6379"/>
              </w:tabs>
              <w:spacing w:line="276" w:lineRule="auto"/>
              <w:ind w:right="-30"/>
              <w:jc w:val="center"/>
              <w:rPr>
                <w:sz w:val="18"/>
                <w:szCs w:val="18"/>
              </w:rPr>
            </w:pPr>
            <w:r>
              <w:rPr>
                <w:sz w:val="18"/>
                <w:szCs w:val="18"/>
              </w:rPr>
              <w:t>3.70</w:t>
            </w:r>
          </w:p>
        </w:tc>
        <w:tc>
          <w:tcPr>
            <w:tcW w:w="971" w:type="dxa"/>
            <w:tcBorders>
              <w:top w:val="nil"/>
              <w:left w:val="nil"/>
              <w:bottom w:val="single" w:sz="8" w:space="0" w:color="000000"/>
              <w:right w:val="nil"/>
            </w:tcBorders>
            <w:tcMar>
              <w:top w:w="20" w:type="dxa"/>
              <w:left w:w="20" w:type="dxa"/>
              <w:bottom w:w="100" w:type="dxa"/>
              <w:right w:w="20" w:type="dxa"/>
            </w:tcMar>
            <w:vAlign w:val="bottom"/>
          </w:tcPr>
          <w:p w14:paraId="2B1A35DD" w14:textId="77777777" w:rsidR="003325E7" w:rsidRDefault="001D022A">
            <w:pPr>
              <w:tabs>
                <w:tab w:val="right" w:pos="6480"/>
                <w:tab w:val="left" w:pos="6379"/>
              </w:tabs>
              <w:spacing w:line="276" w:lineRule="auto"/>
              <w:ind w:right="-30"/>
              <w:jc w:val="center"/>
              <w:rPr>
                <w:sz w:val="18"/>
                <w:szCs w:val="18"/>
              </w:rPr>
            </w:pPr>
            <w:r>
              <w:rPr>
                <w:sz w:val="18"/>
                <w:szCs w:val="18"/>
              </w:rPr>
              <w:t>3.75</w:t>
            </w:r>
          </w:p>
        </w:tc>
        <w:tc>
          <w:tcPr>
            <w:tcW w:w="971" w:type="dxa"/>
            <w:tcBorders>
              <w:top w:val="nil"/>
              <w:left w:val="nil"/>
              <w:bottom w:val="single" w:sz="8" w:space="0" w:color="000000"/>
              <w:right w:val="nil"/>
            </w:tcBorders>
            <w:tcMar>
              <w:top w:w="20" w:type="dxa"/>
              <w:left w:w="20" w:type="dxa"/>
              <w:bottom w:w="100" w:type="dxa"/>
              <w:right w:w="20" w:type="dxa"/>
            </w:tcMar>
            <w:vAlign w:val="bottom"/>
          </w:tcPr>
          <w:p w14:paraId="2791300F" w14:textId="77777777" w:rsidR="003325E7" w:rsidRDefault="001D022A">
            <w:pPr>
              <w:tabs>
                <w:tab w:val="right" w:pos="6480"/>
                <w:tab w:val="left" w:pos="6379"/>
              </w:tabs>
              <w:spacing w:line="276" w:lineRule="auto"/>
              <w:ind w:right="-30"/>
              <w:jc w:val="center"/>
              <w:rPr>
                <w:sz w:val="18"/>
                <w:szCs w:val="18"/>
              </w:rPr>
            </w:pPr>
            <w:r>
              <w:rPr>
                <w:sz w:val="18"/>
                <w:szCs w:val="18"/>
              </w:rPr>
              <w:t>3.65</w:t>
            </w:r>
          </w:p>
        </w:tc>
        <w:tc>
          <w:tcPr>
            <w:tcW w:w="971" w:type="dxa"/>
            <w:tcBorders>
              <w:top w:val="nil"/>
              <w:left w:val="nil"/>
              <w:bottom w:val="single" w:sz="8" w:space="0" w:color="000000"/>
              <w:right w:val="nil"/>
            </w:tcBorders>
            <w:tcMar>
              <w:top w:w="20" w:type="dxa"/>
              <w:left w:w="20" w:type="dxa"/>
              <w:bottom w:w="100" w:type="dxa"/>
              <w:right w:w="20" w:type="dxa"/>
            </w:tcMar>
            <w:vAlign w:val="bottom"/>
          </w:tcPr>
          <w:p w14:paraId="07ED81F3" w14:textId="77777777" w:rsidR="003325E7" w:rsidRDefault="001D022A">
            <w:pPr>
              <w:tabs>
                <w:tab w:val="right" w:pos="6480"/>
                <w:tab w:val="left" w:pos="6379"/>
              </w:tabs>
              <w:spacing w:line="276" w:lineRule="auto"/>
              <w:ind w:right="-30"/>
              <w:jc w:val="center"/>
              <w:rPr>
                <w:sz w:val="18"/>
                <w:szCs w:val="18"/>
              </w:rPr>
            </w:pPr>
            <w:r>
              <w:rPr>
                <w:sz w:val="18"/>
                <w:szCs w:val="18"/>
              </w:rPr>
              <w:t>4.36</w:t>
            </w:r>
          </w:p>
        </w:tc>
        <w:tc>
          <w:tcPr>
            <w:tcW w:w="971" w:type="dxa"/>
            <w:tcBorders>
              <w:top w:val="nil"/>
              <w:left w:val="nil"/>
              <w:bottom w:val="single" w:sz="8" w:space="0" w:color="000000"/>
              <w:right w:val="nil"/>
            </w:tcBorders>
            <w:tcMar>
              <w:top w:w="20" w:type="dxa"/>
              <w:left w:w="20" w:type="dxa"/>
              <w:bottom w:w="100" w:type="dxa"/>
              <w:right w:w="20" w:type="dxa"/>
            </w:tcMar>
            <w:vAlign w:val="bottom"/>
          </w:tcPr>
          <w:p w14:paraId="3D9EFA3B" w14:textId="77777777" w:rsidR="003325E7" w:rsidRDefault="001D022A">
            <w:pPr>
              <w:tabs>
                <w:tab w:val="right" w:pos="6480"/>
                <w:tab w:val="left" w:pos="6379"/>
              </w:tabs>
              <w:spacing w:line="276" w:lineRule="auto"/>
              <w:ind w:right="-30"/>
              <w:jc w:val="center"/>
              <w:rPr>
                <w:sz w:val="18"/>
                <w:szCs w:val="18"/>
              </w:rPr>
            </w:pPr>
            <w:r>
              <w:rPr>
                <w:sz w:val="18"/>
                <w:szCs w:val="18"/>
              </w:rPr>
              <w:t>4.25</w:t>
            </w:r>
          </w:p>
        </w:tc>
        <w:tc>
          <w:tcPr>
            <w:tcW w:w="971" w:type="dxa"/>
            <w:tcBorders>
              <w:top w:val="nil"/>
              <w:left w:val="nil"/>
              <w:bottom w:val="single" w:sz="8" w:space="0" w:color="000000"/>
              <w:right w:val="nil"/>
            </w:tcBorders>
            <w:tcMar>
              <w:top w:w="20" w:type="dxa"/>
              <w:left w:w="20" w:type="dxa"/>
              <w:bottom w:w="100" w:type="dxa"/>
              <w:right w:w="20" w:type="dxa"/>
            </w:tcMar>
            <w:vAlign w:val="bottom"/>
          </w:tcPr>
          <w:p w14:paraId="16F270B1" w14:textId="77777777" w:rsidR="003325E7" w:rsidRDefault="001D022A">
            <w:pPr>
              <w:tabs>
                <w:tab w:val="right" w:pos="6480"/>
                <w:tab w:val="left" w:pos="6379"/>
              </w:tabs>
              <w:spacing w:line="276" w:lineRule="auto"/>
              <w:ind w:right="-30"/>
              <w:jc w:val="center"/>
              <w:rPr>
                <w:sz w:val="18"/>
                <w:szCs w:val="18"/>
              </w:rPr>
            </w:pPr>
            <w:r>
              <w:rPr>
                <w:sz w:val="18"/>
                <w:szCs w:val="18"/>
              </w:rPr>
              <w:t>4.34</w:t>
            </w:r>
          </w:p>
        </w:tc>
      </w:tr>
      <w:tr w:rsidR="003325E7" w14:paraId="29AF7BE4" w14:textId="77777777">
        <w:trPr>
          <w:trHeight w:val="400"/>
        </w:trPr>
        <w:tc>
          <w:tcPr>
            <w:tcW w:w="1371"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602BB7F3" w14:textId="77777777" w:rsidR="003325E7" w:rsidRDefault="001D022A">
            <w:pPr>
              <w:tabs>
                <w:tab w:val="right" w:pos="6480"/>
                <w:tab w:val="left" w:pos="6379"/>
              </w:tabs>
              <w:spacing w:line="276" w:lineRule="auto"/>
              <w:ind w:right="-30"/>
              <w:jc w:val="center"/>
              <w:rPr>
                <w:sz w:val="18"/>
                <w:szCs w:val="18"/>
              </w:rPr>
            </w:pPr>
            <w:r>
              <w:rPr>
                <w:sz w:val="18"/>
                <w:szCs w:val="18"/>
              </w:rPr>
              <w:t>Criticism level</w:t>
            </w:r>
          </w:p>
        </w:tc>
        <w:tc>
          <w:tcPr>
            <w:tcW w:w="970"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083CC9C3" w14:textId="77777777" w:rsidR="003325E7" w:rsidRDefault="001D022A">
            <w:pPr>
              <w:tabs>
                <w:tab w:val="right" w:pos="6480"/>
                <w:tab w:val="left" w:pos="6379"/>
              </w:tabs>
              <w:spacing w:line="276" w:lineRule="auto"/>
              <w:ind w:right="-30"/>
              <w:jc w:val="center"/>
              <w:rPr>
                <w:sz w:val="18"/>
                <w:szCs w:val="18"/>
              </w:rPr>
            </w:pPr>
            <w:r>
              <w:rPr>
                <w:sz w:val="18"/>
                <w:szCs w:val="18"/>
              </w:rPr>
              <w:t>3.15</w:t>
            </w:r>
          </w:p>
        </w:tc>
        <w:tc>
          <w:tcPr>
            <w:tcW w:w="971"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1F14E135" w14:textId="77777777" w:rsidR="003325E7" w:rsidRDefault="001D022A">
            <w:pPr>
              <w:tabs>
                <w:tab w:val="right" w:pos="6480"/>
                <w:tab w:val="left" w:pos="6379"/>
              </w:tabs>
              <w:spacing w:line="276" w:lineRule="auto"/>
              <w:ind w:right="-30"/>
              <w:jc w:val="center"/>
              <w:rPr>
                <w:sz w:val="18"/>
                <w:szCs w:val="18"/>
              </w:rPr>
            </w:pPr>
            <w:r>
              <w:rPr>
                <w:sz w:val="18"/>
                <w:szCs w:val="18"/>
              </w:rPr>
              <w:t>2.70</w:t>
            </w:r>
          </w:p>
        </w:tc>
        <w:tc>
          <w:tcPr>
            <w:tcW w:w="971"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7F107DE6" w14:textId="77777777" w:rsidR="003325E7" w:rsidRDefault="001D022A">
            <w:pPr>
              <w:tabs>
                <w:tab w:val="right" w:pos="6480"/>
                <w:tab w:val="left" w:pos="6379"/>
              </w:tabs>
              <w:spacing w:line="276" w:lineRule="auto"/>
              <w:ind w:right="-30"/>
              <w:jc w:val="center"/>
              <w:rPr>
                <w:sz w:val="18"/>
                <w:szCs w:val="18"/>
              </w:rPr>
            </w:pPr>
            <w:r>
              <w:rPr>
                <w:sz w:val="18"/>
                <w:szCs w:val="18"/>
              </w:rPr>
              <w:t>2.35</w:t>
            </w:r>
          </w:p>
        </w:tc>
        <w:tc>
          <w:tcPr>
            <w:tcW w:w="971"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36BAE3FB" w14:textId="77777777" w:rsidR="003325E7" w:rsidRDefault="001D022A">
            <w:pPr>
              <w:tabs>
                <w:tab w:val="right" w:pos="6480"/>
                <w:tab w:val="left" w:pos="6379"/>
              </w:tabs>
              <w:spacing w:line="276" w:lineRule="auto"/>
              <w:ind w:right="-30"/>
              <w:jc w:val="center"/>
              <w:rPr>
                <w:sz w:val="18"/>
                <w:szCs w:val="18"/>
              </w:rPr>
            </w:pPr>
            <w:r>
              <w:rPr>
                <w:sz w:val="18"/>
                <w:szCs w:val="18"/>
              </w:rPr>
              <w:t>1.90</w:t>
            </w:r>
          </w:p>
        </w:tc>
        <w:tc>
          <w:tcPr>
            <w:tcW w:w="971"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3AC8DEBD" w14:textId="77777777" w:rsidR="003325E7" w:rsidRDefault="001D022A">
            <w:pPr>
              <w:tabs>
                <w:tab w:val="right" w:pos="6480"/>
                <w:tab w:val="left" w:pos="6379"/>
              </w:tabs>
              <w:spacing w:line="276" w:lineRule="auto"/>
              <w:ind w:right="-30"/>
              <w:jc w:val="center"/>
              <w:rPr>
                <w:sz w:val="18"/>
                <w:szCs w:val="18"/>
              </w:rPr>
            </w:pPr>
            <w:r>
              <w:rPr>
                <w:sz w:val="18"/>
                <w:szCs w:val="18"/>
              </w:rPr>
              <w:t>2.05</w:t>
            </w:r>
          </w:p>
        </w:tc>
        <w:tc>
          <w:tcPr>
            <w:tcW w:w="971"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4715C83C" w14:textId="77777777" w:rsidR="003325E7" w:rsidRDefault="001D022A">
            <w:pPr>
              <w:tabs>
                <w:tab w:val="right" w:pos="6480"/>
                <w:tab w:val="left" w:pos="6379"/>
              </w:tabs>
              <w:spacing w:line="276" w:lineRule="auto"/>
              <w:ind w:right="-30"/>
              <w:jc w:val="center"/>
              <w:rPr>
                <w:sz w:val="18"/>
                <w:szCs w:val="18"/>
              </w:rPr>
            </w:pPr>
            <w:r>
              <w:rPr>
                <w:sz w:val="18"/>
                <w:szCs w:val="18"/>
              </w:rPr>
              <w:t>1.95</w:t>
            </w:r>
          </w:p>
        </w:tc>
      </w:tr>
    </w:tbl>
    <w:p w14:paraId="4C30A85A" w14:textId="77777777" w:rsidR="003325E7" w:rsidRDefault="003325E7">
      <w:pPr>
        <w:pBdr>
          <w:top w:val="nil"/>
          <w:left w:val="nil"/>
          <w:bottom w:val="nil"/>
          <w:right w:val="nil"/>
          <w:between w:val="nil"/>
        </w:pBdr>
        <w:tabs>
          <w:tab w:val="right" w:pos="6480"/>
          <w:tab w:val="left" w:pos="6379"/>
        </w:tabs>
        <w:spacing w:line="276" w:lineRule="auto"/>
        <w:ind w:right="-30"/>
        <w:rPr>
          <w:b/>
          <w:sz w:val="24"/>
          <w:szCs w:val="24"/>
        </w:rPr>
      </w:pPr>
    </w:p>
    <w:p w14:paraId="01B76C53" w14:textId="77777777" w:rsidR="003325E7" w:rsidRDefault="003325E7">
      <w:pPr>
        <w:pBdr>
          <w:top w:val="nil"/>
          <w:left w:val="nil"/>
          <w:bottom w:val="nil"/>
          <w:right w:val="nil"/>
          <w:between w:val="nil"/>
        </w:pBdr>
        <w:tabs>
          <w:tab w:val="right" w:pos="6480"/>
          <w:tab w:val="left" w:pos="6379"/>
        </w:tabs>
        <w:spacing w:line="276" w:lineRule="auto"/>
        <w:ind w:right="-30"/>
      </w:pPr>
    </w:p>
    <w:p w14:paraId="74C367A4" w14:textId="6EE97660" w:rsidR="003325E7" w:rsidRDefault="001D022A">
      <w:pPr>
        <w:pBdr>
          <w:top w:val="nil"/>
          <w:left w:val="nil"/>
          <w:bottom w:val="nil"/>
          <w:right w:val="nil"/>
          <w:between w:val="nil"/>
        </w:pBdr>
        <w:tabs>
          <w:tab w:val="right" w:pos="6480"/>
          <w:tab w:val="left" w:pos="6379"/>
        </w:tabs>
        <w:spacing w:line="276" w:lineRule="auto"/>
        <w:ind w:right="-30"/>
      </w:pPr>
      <w:r>
        <w:t xml:space="preserve">Table 3 shows the chemical analysis and criticism level of the alternative compositions (S1÷S5) to the one before the supply problems occurred (S0). The replacement of Ukrainian clay with less plastic ones causes a gradual decrease in the amount of aluminum oxide, and the introduction of red beds clays instead causes an increase in the amount of iron oxide. As a result, the new compositions should have less plasticity and a darker color in firing than the S0 body. On the other hand, </w:t>
      </w:r>
      <w:proofErr w:type="gramStart"/>
      <w:r>
        <w:t>with regard to</w:t>
      </w:r>
      <w:proofErr w:type="gramEnd"/>
      <w:r>
        <w:t xml:space="preserve"> souring criticism, the weighted level progressively changes from medium to low. The technological feasibility of these compositional assumptions will then need to be confirmed by empirical evidence. </w:t>
      </w:r>
    </w:p>
    <w:p w14:paraId="0D6F305F" w14:textId="77777777" w:rsidR="00AD4341" w:rsidRDefault="00AD4341">
      <w:pPr>
        <w:pBdr>
          <w:top w:val="nil"/>
          <w:left w:val="nil"/>
          <w:bottom w:val="nil"/>
          <w:right w:val="nil"/>
          <w:between w:val="nil"/>
        </w:pBdr>
        <w:tabs>
          <w:tab w:val="right" w:pos="6480"/>
          <w:tab w:val="left" w:pos="6379"/>
        </w:tabs>
        <w:spacing w:line="276" w:lineRule="auto"/>
        <w:ind w:right="-30"/>
      </w:pPr>
    </w:p>
    <w:p w14:paraId="5661D896" w14:textId="77777777" w:rsidR="003325E7" w:rsidRDefault="001D022A">
      <w:pPr>
        <w:pStyle w:val="Titolo2"/>
        <w:numPr>
          <w:ilvl w:val="2"/>
          <w:numId w:val="2"/>
        </w:numPr>
        <w:spacing w:before="0" w:after="0" w:line="276" w:lineRule="auto"/>
      </w:pPr>
      <w:bookmarkStart w:id="8" w:name="_4d34og8" w:colFirst="0" w:colLast="0"/>
      <w:bookmarkEnd w:id="8"/>
      <w:r>
        <w:lastRenderedPageBreak/>
        <w:t>Environmental assessment of sourcing alternative</w:t>
      </w:r>
    </w:p>
    <w:p w14:paraId="02BEDFBE" w14:textId="77777777" w:rsidR="003325E7" w:rsidRDefault="001D022A">
      <w:pPr>
        <w:tabs>
          <w:tab w:val="right" w:pos="6480"/>
          <w:tab w:val="left" w:pos="6379"/>
        </w:tabs>
        <w:spacing w:line="276" w:lineRule="auto"/>
        <w:ind w:right="-30"/>
        <w:rPr>
          <w:b/>
          <w:sz w:val="24"/>
          <w:szCs w:val="24"/>
        </w:rPr>
      </w:pPr>
      <w:proofErr w:type="gramStart"/>
      <w:r>
        <w:t>In order to</w:t>
      </w:r>
      <w:proofErr w:type="gramEnd"/>
      <w:r>
        <w:t xml:space="preserve"> verify the potential environmental performance of alternative sourcing scenarios, Life Cycle Assessment (LCA) methodology was used following the midpoint analysis approach to determine Global Warming Potential (GWP) as an impact category (</w:t>
      </w:r>
      <w:proofErr w:type="spellStart"/>
      <w:r>
        <w:t>Saracevic</w:t>
      </w:r>
      <w:proofErr w:type="spellEnd"/>
      <w:r>
        <w:t xml:space="preserve"> et al., 2019).</w:t>
      </w:r>
    </w:p>
    <w:p w14:paraId="6F9A290E" w14:textId="77777777" w:rsidR="003325E7" w:rsidRDefault="003325E7">
      <w:pPr>
        <w:pBdr>
          <w:top w:val="nil"/>
          <w:left w:val="nil"/>
          <w:bottom w:val="nil"/>
          <w:right w:val="nil"/>
          <w:between w:val="nil"/>
        </w:pBdr>
        <w:tabs>
          <w:tab w:val="right" w:pos="6480"/>
          <w:tab w:val="left" w:pos="6379"/>
        </w:tabs>
        <w:spacing w:line="276" w:lineRule="auto"/>
        <w:ind w:right="-30"/>
        <w:rPr>
          <w:b/>
          <w:sz w:val="24"/>
          <w:szCs w:val="24"/>
        </w:rPr>
      </w:pPr>
    </w:p>
    <w:p w14:paraId="0825DE4D" w14:textId="77777777" w:rsidR="003325E7" w:rsidRDefault="001D022A">
      <w:pPr>
        <w:pBdr>
          <w:top w:val="nil"/>
          <w:left w:val="nil"/>
          <w:bottom w:val="nil"/>
          <w:right w:val="nil"/>
          <w:between w:val="nil"/>
        </w:pBdr>
        <w:tabs>
          <w:tab w:val="right" w:pos="6480"/>
          <w:tab w:val="left" w:pos="6379"/>
        </w:tabs>
        <w:spacing w:line="276" w:lineRule="auto"/>
        <w:ind w:right="-30"/>
        <w:rPr>
          <w:b/>
          <w:sz w:val="24"/>
          <w:szCs w:val="24"/>
        </w:rPr>
      </w:pPr>
      <w:r>
        <w:rPr>
          <w:b/>
          <w:noProof/>
          <w:sz w:val="24"/>
          <w:szCs w:val="24"/>
        </w:rPr>
        <w:drawing>
          <wp:inline distT="114300" distB="114300" distL="114300" distR="114300" wp14:anchorId="09425DE5" wp14:editId="5218C49A">
            <wp:extent cx="4569785" cy="27432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569785" cy="2743200"/>
                    </a:xfrm>
                    <a:prstGeom prst="rect">
                      <a:avLst/>
                    </a:prstGeom>
                    <a:ln/>
                  </pic:spPr>
                </pic:pic>
              </a:graphicData>
            </a:graphic>
          </wp:inline>
        </w:drawing>
      </w:r>
    </w:p>
    <w:p w14:paraId="2FCDDCDB" w14:textId="77777777" w:rsidR="003325E7" w:rsidRDefault="001D022A">
      <w:pPr>
        <w:spacing w:line="276" w:lineRule="auto"/>
        <w:rPr>
          <w:b/>
          <w:sz w:val="24"/>
          <w:szCs w:val="24"/>
        </w:rPr>
      </w:pPr>
      <w:r>
        <w:rPr>
          <w:sz w:val="18"/>
          <w:szCs w:val="18"/>
        </w:rPr>
        <w:t>Fig. 3. Global Warming Potential (GWP) of 1 m</w:t>
      </w:r>
      <w:r>
        <w:rPr>
          <w:sz w:val="18"/>
          <w:szCs w:val="18"/>
          <w:vertAlign w:val="superscript"/>
        </w:rPr>
        <w:t>2</w:t>
      </w:r>
      <w:r>
        <w:rPr>
          <w:sz w:val="18"/>
          <w:szCs w:val="18"/>
        </w:rPr>
        <w:t xml:space="preserve"> of porcelain tiles, referring to the phase of extraction and transportation to factories of different compositions of ceramic bodies.</w:t>
      </w:r>
    </w:p>
    <w:p w14:paraId="079E8FD5" w14:textId="77777777" w:rsidR="003325E7" w:rsidRDefault="003325E7">
      <w:pPr>
        <w:pBdr>
          <w:top w:val="nil"/>
          <w:left w:val="nil"/>
          <w:bottom w:val="nil"/>
          <w:right w:val="nil"/>
          <w:between w:val="nil"/>
        </w:pBdr>
        <w:tabs>
          <w:tab w:val="right" w:pos="6480"/>
          <w:tab w:val="left" w:pos="6379"/>
        </w:tabs>
        <w:spacing w:line="276" w:lineRule="auto"/>
        <w:ind w:right="-30"/>
        <w:rPr>
          <w:b/>
          <w:sz w:val="24"/>
          <w:szCs w:val="24"/>
        </w:rPr>
      </w:pPr>
    </w:p>
    <w:p w14:paraId="6900A2C9" w14:textId="77777777" w:rsidR="003325E7" w:rsidRDefault="001D022A">
      <w:pPr>
        <w:tabs>
          <w:tab w:val="right" w:pos="6480"/>
          <w:tab w:val="left" w:pos="6379"/>
        </w:tabs>
        <w:spacing w:line="276" w:lineRule="auto"/>
        <w:ind w:right="-30"/>
      </w:pPr>
      <w:r>
        <w:t>The LCA analysis was conducted following the ISO 14040 and ISO 14044 standards, adopting. 1 m</w:t>
      </w:r>
      <w:r>
        <w:rPr>
          <w:vertAlign w:val="superscript"/>
        </w:rPr>
        <w:t>2</w:t>
      </w:r>
      <w:r>
        <w:t xml:space="preserve"> of porcelain tiles as a functional unit with a mass of 21 kg/m</w:t>
      </w:r>
      <w:r>
        <w:rPr>
          <w:vertAlign w:val="superscript"/>
        </w:rPr>
        <w:t>2</w:t>
      </w:r>
      <w:r>
        <w:t xml:space="preserve"> corresponding to the average value of the Italian ceramic industry. Instead, system boundaries were set from the cradle to the factory gate to include only the stages of raw material extraction and transportation to the manufacturing units (Cucchi et al., 2022). </w:t>
      </w:r>
      <w:proofErr w:type="gramStart"/>
      <w:r>
        <w:t>For the purpose of</w:t>
      </w:r>
      <w:proofErr w:type="gramEnd"/>
      <w:r>
        <w:t xml:space="preserve"> this study, the entire product life cycle was not considered, i.e., including the manufacturing, use and end-of-life phases (cradle-to-grave), because it was assumed that these phases would remain constant by varying the raw material sourcing strategy and, as a consequence, the composition of ceramic bodies changed. Furthermore, in this predictive environmental assessment, it was decided to consider only GWP as an impact category because it is a key indicator directly related to the use of fossil fuels in the logistics of transporting raw materials from mines to factories. Figure 3 shows the results of the environmental impact assessment clearly showing that the new </w:t>
      </w:r>
      <w:r>
        <w:lastRenderedPageBreak/>
        <w:t>strategies of reshoring (compositions S1÷S3) and nearshoring (compositions S4 and S5) for raw material sourcing, results in a drastic and progressive reduction of CO</w:t>
      </w:r>
      <w:r>
        <w:rPr>
          <w:vertAlign w:val="subscript"/>
        </w:rPr>
        <w:t>2</w:t>
      </w:r>
      <w:r>
        <w:t xml:space="preserve"> emissions compared to the current system (composition S0). </w:t>
      </w:r>
    </w:p>
    <w:p w14:paraId="5871F300" w14:textId="77777777" w:rsidR="003325E7" w:rsidRDefault="001D022A">
      <w:pPr>
        <w:pStyle w:val="Titolo2"/>
        <w:numPr>
          <w:ilvl w:val="2"/>
          <w:numId w:val="2"/>
        </w:numPr>
        <w:spacing w:before="0" w:after="0" w:line="276" w:lineRule="auto"/>
      </w:pPr>
      <w:bookmarkStart w:id="9" w:name="_2s8eyo1" w:colFirst="0" w:colLast="0"/>
      <w:bookmarkEnd w:id="9"/>
      <w:r>
        <w:t>Technological performance analysis</w:t>
      </w:r>
    </w:p>
    <w:p w14:paraId="26843C1D" w14:textId="77777777" w:rsidR="003325E7" w:rsidRDefault="001D022A">
      <w:pPr>
        <w:tabs>
          <w:tab w:val="right" w:pos="6480"/>
          <w:tab w:val="left" w:pos="6379"/>
        </w:tabs>
        <w:spacing w:line="276" w:lineRule="auto"/>
        <w:ind w:right="-30"/>
      </w:pPr>
      <w:r>
        <w:t xml:space="preserve">The hypotheses of different sourcing scenarios were tested in a pilot laboratory environment to verify their actual industrial feasibility. For this purpose, the six body compositions were processed following a laboratory protocol capable of reproducing industrial operating conditions. The 646×646 mm prototypes were fired in an industrial roller kiln at a maximum temperature of 1220°C with a 40-minute cycle. Table 4 shows the results obtained through the test. </w:t>
      </w:r>
    </w:p>
    <w:p w14:paraId="3A02FAB4" w14:textId="77777777" w:rsidR="003325E7" w:rsidRDefault="003325E7">
      <w:pPr>
        <w:pBdr>
          <w:top w:val="nil"/>
          <w:left w:val="nil"/>
          <w:bottom w:val="nil"/>
          <w:right w:val="nil"/>
          <w:between w:val="nil"/>
        </w:pBdr>
        <w:tabs>
          <w:tab w:val="right" w:pos="6480"/>
          <w:tab w:val="left" w:pos="6379"/>
        </w:tabs>
        <w:spacing w:line="276" w:lineRule="auto"/>
        <w:ind w:right="-30"/>
        <w:rPr>
          <w:b/>
          <w:sz w:val="24"/>
          <w:szCs w:val="24"/>
        </w:rPr>
      </w:pPr>
    </w:p>
    <w:p w14:paraId="1F58A0E3" w14:textId="77777777" w:rsidR="003325E7" w:rsidRDefault="001D022A">
      <w:pPr>
        <w:widowControl w:val="0"/>
        <w:spacing w:line="240" w:lineRule="auto"/>
        <w:rPr>
          <w:sz w:val="18"/>
          <w:szCs w:val="18"/>
        </w:rPr>
      </w:pPr>
      <w:r>
        <w:rPr>
          <w:sz w:val="18"/>
          <w:szCs w:val="18"/>
        </w:rPr>
        <w:t>Table 4. Technological properties of the ceramic bodies.</w:t>
      </w:r>
    </w:p>
    <w:p w14:paraId="2620E19C" w14:textId="77777777" w:rsidR="003325E7" w:rsidRDefault="003325E7">
      <w:pPr>
        <w:widowControl w:val="0"/>
        <w:spacing w:line="240" w:lineRule="auto"/>
        <w:rPr>
          <w:sz w:val="18"/>
          <w:szCs w:val="18"/>
        </w:rPr>
      </w:pPr>
    </w:p>
    <w:tbl>
      <w:tblPr>
        <w:tblStyle w:val="a2"/>
        <w:tblW w:w="7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800"/>
        <w:gridCol w:w="800"/>
        <w:gridCol w:w="800"/>
        <w:gridCol w:w="800"/>
        <w:gridCol w:w="800"/>
        <w:gridCol w:w="800"/>
      </w:tblGrid>
      <w:tr w:rsidR="003325E7" w14:paraId="2E9D2577" w14:textId="77777777" w:rsidTr="00BC0A82">
        <w:trPr>
          <w:trHeight w:val="440"/>
          <w:jc w:val="center"/>
        </w:trPr>
        <w:tc>
          <w:tcPr>
            <w:tcW w:w="2400" w:type="dxa"/>
            <w:vMerge w:val="restart"/>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67BD98A" w14:textId="77777777" w:rsidR="003325E7" w:rsidRDefault="001D022A">
            <w:pPr>
              <w:widowControl w:val="0"/>
              <w:pBdr>
                <w:top w:val="nil"/>
                <w:left w:val="nil"/>
                <w:bottom w:val="nil"/>
                <w:right w:val="nil"/>
                <w:between w:val="nil"/>
              </w:pBdr>
              <w:spacing w:line="240" w:lineRule="auto"/>
              <w:jc w:val="center"/>
              <w:rPr>
                <w:sz w:val="20"/>
                <w:szCs w:val="20"/>
              </w:rPr>
            </w:pPr>
            <w:r w:rsidRPr="00BC0A82">
              <w:t>Technological Performance</w:t>
            </w:r>
          </w:p>
        </w:tc>
        <w:tc>
          <w:tcPr>
            <w:tcW w:w="4800" w:type="dxa"/>
            <w:gridSpan w:val="6"/>
            <w:tcBorders>
              <w:top w:val="nil"/>
              <w:left w:val="nil"/>
              <w:bottom w:val="nil"/>
              <w:right w:val="nil"/>
            </w:tcBorders>
            <w:shd w:val="clear" w:color="auto" w:fill="auto"/>
            <w:tcMar>
              <w:top w:w="100" w:type="dxa"/>
              <w:left w:w="100" w:type="dxa"/>
              <w:bottom w:w="100" w:type="dxa"/>
              <w:right w:w="100" w:type="dxa"/>
            </w:tcMar>
            <w:vAlign w:val="center"/>
          </w:tcPr>
          <w:p w14:paraId="685561FD" w14:textId="77777777" w:rsidR="003325E7" w:rsidRDefault="001D022A">
            <w:pPr>
              <w:widowControl w:val="0"/>
              <w:pBdr>
                <w:top w:val="nil"/>
                <w:left w:val="nil"/>
                <w:bottom w:val="nil"/>
                <w:right w:val="nil"/>
                <w:between w:val="nil"/>
              </w:pBdr>
              <w:spacing w:line="240" w:lineRule="auto"/>
              <w:jc w:val="center"/>
            </w:pPr>
            <w:r>
              <w:t>Composition of Ceramic Bodies</w:t>
            </w:r>
          </w:p>
        </w:tc>
      </w:tr>
      <w:tr w:rsidR="003325E7" w14:paraId="5F6C8E68" w14:textId="77777777" w:rsidTr="00BC0A82">
        <w:trPr>
          <w:trHeight w:val="440"/>
          <w:jc w:val="center"/>
        </w:trPr>
        <w:tc>
          <w:tcPr>
            <w:tcW w:w="2400" w:type="dxa"/>
            <w:vMerge/>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DB3180D" w14:textId="77777777" w:rsidR="003325E7" w:rsidRDefault="003325E7">
            <w:pPr>
              <w:widowControl w:val="0"/>
              <w:pBdr>
                <w:top w:val="nil"/>
                <w:left w:val="nil"/>
                <w:bottom w:val="nil"/>
                <w:right w:val="nil"/>
                <w:between w:val="nil"/>
              </w:pBdr>
              <w:spacing w:line="276" w:lineRule="auto"/>
              <w:jc w:val="left"/>
            </w:pP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3AAE920D" w14:textId="77777777" w:rsidR="003325E7" w:rsidRPr="00BC0A82" w:rsidRDefault="001D022A">
            <w:pPr>
              <w:widowControl w:val="0"/>
              <w:pBdr>
                <w:top w:val="nil"/>
                <w:left w:val="nil"/>
                <w:bottom w:val="nil"/>
                <w:right w:val="nil"/>
                <w:between w:val="nil"/>
              </w:pBdr>
              <w:spacing w:line="240" w:lineRule="auto"/>
              <w:jc w:val="center"/>
            </w:pPr>
            <w:r w:rsidRPr="00BC0A82">
              <w:t>S0</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625C2B4" w14:textId="77777777" w:rsidR="003325E7" w:rsidRPr="00BC0A82" w:rsidRDefault="001D022A">
            <w:pPr>
              <w:widowControl w:val="0"/>
              <w:pBdr>
                <w:top w:val="nil"/>
                <w:left w:val="nil"/>
                <w:bottom w:val="nil"/>
                <w:right w:val="nil"/>
                <w:between w:val="nil"/>
              </w:pBdr>
              <w:spacing w:line="240" w:lineRule="auto"/>
              <w:jc w:val="center"/>
            </w:pPr>
            <w:r w:rsidRPr="00BC0A82">
              <w:t>S1</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01AB6643" w14:textId="77777777" w:rsidR="003325E7" w:rsidRPr="00BC0A82" w:rsidRDefault="001D022A">
            <w:pPr>
              <w:widowControl w:val="0"/>
              <w:pBdr>
                <w:top w:val="nil"/>
                <w:left w:val="nil"/>
                <w:bottom w:val="nil"/>
                <w:right w:val="nil"/>
                <w:between w:val="nil"/>
              </w:pBdr>
              <w:spacing w:line="240" w:lineRule="auto"/>
              <w:jc w:val="center"/>
            </w:pPr>
            <w:r w:rsidRPr="00BC0A82">
              <w:t>S2</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277EB6EA" w14:textId="77777777" w:rsidR="003325E7" w:rsidRPr="00BC0A82" w:rsidRDefault="001D022A">
            <w:pPr>
              <w:widowControl w:val="0"/>
              <w:pBdr>
                <w:top w:val="nil"/>
                <w:left w:val="nil"/>
                <w:bottom w:val="nil"/>
                <w:right w:val="nil"/>
                <w:between w:val="nil"/>
              </w:pBdr>
              <w:spacing w:line="240" w:lineRule="auto"/>
              <w:jc w:val="center"/>
            </w:pPr>
            <w:r w:rsidRPr="00BC0A82">
              <w:t>S3</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433BE6AF" w14:textId="77777777" w:rsidR="003325E7" w:rsidRPr="00BC0A82" w:rsidRDefault="001D022A">
            <w:pPr>
              <w:widowControl w:val="0"/>
              <w:pBdr>
                <w:top w:val="nil"/>
                <w:left w:val="nil"/>
                <w:bottom w:val="nil"/>
                <w:right w:val="nil"/>
                <w:between w:val="nil"/>
              </w:pBdr>
              <w:spacing w:line="240" w:lineRule="auto"/>
              <w:jc w:val="center"/>
            </w:pPr>
            <w:r w:rsidRPr="00BC0A82">
              <w:t>S4</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6C0D907A" w14:textId="77777777" w:rsidR="003325E7" w:rsidRPr="00BC0A82" w:rsidRDefault="001D022A">
            <w:pPr>
              <w:widowControl w:val="0"/>
              <w:pBdr>
                <w:top w:val="nil"/>
                <w:left w:val="nil"/>
                <w:bottom w:val="nil"/>
                <w:right w:val="nil"/>
                <w:between w:val="nil"/>
              </w:pBdr>
              <w:spacing w:line="240" w:lineRule="auto"/>
              <w:jc w:val="center"/>
            </w:pPr>
            <w:r w:rsidRPr="00BC0A82">
              <w:t>S5</w:t>
            </w:r>
          </w:p>
        </w:tc>
      </w:tr>
      <w:tr w:rsidR="003325E7" w14:paraId="780E48B0" w14:textId="77777777" w:rsidTr="00BC0A82">
        <w:trPr>
          <w:trHeight w:val="440"/>
          <w:jc w:val="center"/>
        </w:trPr>
        <w:tc>
          <w:tcPr>
            <w:tcW w:w="24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vAlign w:val="center"/>
          </w:tcPr>
          <w:p w14:paraId="62A00FCF" w14:textId="77777777" w:rsidR="003325E7" w:rsidRDefault="001D022A">
            <w:pPr>
              <w:widowControl w:val="0"/>
              <w:pBdr>
                <w:top w:val="nil"/>
                <w:left w:val="nil"/>
                <w:bottom w:val="nil"/>
                <w:right w:val="nil"/>
                <w:between w:val="nil"/>
              </w:pBdr>
              <w:spacing w:line="240" w:lineRule="auto"/>
              <w:jc w:val="center"/>
              <w:rPr>
                <w:b/>
              </w:rPr>
            </w:pPr>
            <w:r>
              <w:rPr>
                <w:sz w:val="18"/>
                <w:szCs w:val="18"/>
              </w:rPr>
              <w:t>Sourcing strategy</w:t>
            </w:r>
          </w:p>
        </w:tc>
        <w:tc>
          <w:tcPr>
            <w:tcW w:w="800"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vAlign w:val="center"/>
          </w:tcPr>
          <w:p w14:paraId="318B64D9" w14:textId="77777777" w:rsidR="003325E7" w:rsidRPr="00BC0A82" w:rsidRDefault="001D022A">
            <w:pPr>
              <w:widowControl w:val="0"/>
              <w:pBdr>
                <w:top w:val="nil"/>
                <w:left w:val="nil"/>
                <w:bottom w:val="nil"/>
                <w:right w:val="nil"/>
                <w:between w:val="nil"/>
              </w:pBdr>
              <w:spacing w:line="240" w:lineRule="auto"/>
              <w:jc w:val="center"/>
              <w:rPr>
                <w:b/>
                <w:sz w:val="18"/>
                <w:szCs w:val="18"/>
              </w:rPr>
            </w:pPr>
            <w:r w:rsidRPr="00BC0A82">
              <w:rPr>
                <w:sz w:val="18"/>
                <w:szCs w:val="18"/>
              </w:rPr>
              <w:t>Start point</w:t>
            </w:r>
          </w:p>
        </w:tc>
        <w:tc>
          <w:tcPr>
            <w:tcW w:w="2400" w:type="dxa"/>
            <w:gridSpan w:val="3"/>
            <w:tcBorders>
              <w:top w:val="single" w:sz="4" w:space="0" w:color="auto"/>
              <w:left w:val="nil"/>
              <w:bottom w:val="single" w:sz="4" w:space="0" w:color="auto"/>
              <w:right w:val="nil"/>
            </w:tcBorders>
            <w:shd w:val="clear" w:color="auto" w:fill="auto"/>
            <w:tcMar>
              <w:top w:w="100" w:type="dxa"/>
              <w:left w:w="100" w:type="dxa"/>
              <w:bottom w:w="100" w:type="dxa"/>
              <w:right w:w="100" w:type="dxa"/>
            </w:tcMar>
            <w:vAlign w:val="center"/>
          </w:tcPr>
          <w:p w14:paraId="4BA89AD8" w14:textId="77777777" w:rsidR="003325E7" w:rsidRPr="00BC0A82" w:rsidRDefault="001D022A">
            <w:pPr>
              <w:widowControl w:val="0"/>
              <w:pBdr>
                <w:top w:val="nil"/>
                <w:left w:val="nil"/>
                <w:bottom w:val="nil"/>
                <w:right w:val="nil"/>
                <w:between w:val="nil"/>
              </w:pBdr>
              <w:spacing w:line="240" w:lineRule="auto"/>
              <w:jc w:val="center"/>
              <w:rPr>
                <w:sz w:val="18"/>
                <w:szCs w:val="18"/>
              </w:rPr>
            </w:pPr>
            <w:r w:rsidRPr="00BC0A82">
              <w:rPr>
                <w:sz w:val="18"/>
                <w:szCs w:val="18"/>
              </w:rPr>
              <w:t>Reshoring</w:t>
            </w:r>
          </w:p>
        </w:tc>
        <w:tc>
          <w:tcPr>
            <w:tcW w:w="1600" w:type="dxa"/>
            <w:gridSpan w:val="2"/>
            <w:tcBorders>
              <w:top w:val="single" w:sz="4" w:space="0" w:color="auto"/>
              <w:left w:val="nil"/>
              <w:bottom w:val="single" w:sz="4" w:space="0" w:color="auto"/>
              <w:right w:val="nil"/>
            </w:tcBorders>
            <w:shd w:val="clear" w:color="auto" w:fill="auto"/>
            <w:tcMar>
              <w:top w:w="100" w:type="dxa"/>
              <w:left w:w="100" w:type="dxa"/>
              <w:bottom w:w="100" w:type="dxa"/>
              <w:right w:w="100" w:type="dxa"/>
            </w:tcMar>
            <w:vAlign w:val="center"/>
          </w:tcPr>
          <w:p w14:paraId="1E492B49" w14:textId="77777777" w:rsidR="003325E7" w:rsidRPr="00BC0A82" w:rsidRDefault="001D022A">
            <w:pPr>
              <w:widowControl w:val="0"/>
              <w:spacing w:line="240" w:lineRule="auto"/>
              <w:jc w:val="center"/>
              <w:rPr>
                <w:b/>
                <w:sz w:val="18"/>
                <w:szCs w:val="18"/>
              </w:rPr>
            </w:pPr>
            <w:r w:rsidRPr="00BC0A82">
              <w:rPr>
                <w:sz w:val="18"/>
                <w:szCs w:val="18"/>
              </w:rPr>
              <w:t>Nearshoring</w:t>
            </w:r>
          </w:p>
        </w:tc>
      </w:tr>
      <w:tr w:rsidR="003325E7" w14:paraId="715EA8BC" w14:textId="77777777" w:rsidTr="00BC0A82">
        <w:trPr>
          <w:trHeight w:val="440"/>
          <w:jc w:val="center"/>
        </w:trPr>
        <w:tc>
          <w:tcPr>
            <w:tcW w:w="24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5707787B"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Length</w:t>
            </w:r>
          </w:p>
          <w:p w14:paraId="54A5D9EE" w14:textId="1481E0E1" w:rsidR="003325E7" w:rsidRDefault="001D022A">
            <w:pPr>
              <w:widowControl w:val="0"/>
              <w:pBdr>
                <w:top w:val="nil"/>
                <w:left w:val="nil"/>
                <w:bottom w:val="nil"/>
                <w:right w:val="nil"/>
                <w:between w:val="nil"/>
              </w:pBdr>
              <w:spacing w:line="240" w:lineRule="auto"/>
              <w:jc w:val="center"/>
              <w:rPr>
                <w:sz w:val="18"/>
                <w:szCs w:val="18"/>
              </w:rPr>
            </w:pPr>
            <w:r>
              <w:rPr>
                <w:sz w:val="18"/>
                <w:szCs w:val="18"/>
              </w:rPr>
              <w:t>(</w:t>
            </w:r>
            <w:r w:rsidR="00BC0A82">
              <w:rPr>
                <w:sz w:val="18"/>
                <w:szCs w:val="18"/>
              </w:rPr>
              <w:t>Nominal</w:t>
            </w:r>
            <w:r>
              <w:rPr>
                <w:sz w:val="18"/>
                <w:szCs w:val="18"/>
              </w:rPr>
              <w:t xml:space="preserve"> L = 604 mm)</w:t>
            </w:r>
          </w:p>
        </w:tc>
        <w:tc>
          <w:tcPr>
            <w:tcW w:w="8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79A651BB"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603.8</w:t>
            </w:r>
          </w:p>
        </w:tc>
        <w:tc>
          <w:tcPr>
            <w:tcW w:w="8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7C9A5DB4"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603.5</w:t>
            </w:r>
          </w:p>
        </w:tc>
        <w:tc>
          <w:tcPr>
            <w:tcW w:w="8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4909BC73"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603.1</w:t>
            </w:r>
          </w:p>
        </w:tc>
        <w:tc>
          <w:tcPr>
            <w:tcW w:w="8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158F5D93"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602.9</w:t>
            </w:r>
          </w:p>
        </w:tc>
        <w:tc>
          <w:tcPr>
            <w:tcW w:w="8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3805830E"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602.5</w:t>
            </w:r>
          </w:p>
        </w:tc>
        <w:tc>
          <w:tcPr>
            <w:tcW w:w="80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468181D5"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601.9</w:t>
            </w:r>
          </w:p>
        </w:tc>
      </w:tr>
      <w:tr w:rsidR="003325E7" w14:paraId="06D9326A" w14:textId="77777777" w:rsidTr="00BC0A82">
        <w:trPr>
          <w:trHeight w:val="440"/>
          <w:jc w:val="center"/>
        </w:trPr>
        <w:tc>
          <w:tcPr>
            <w:tcW w:w="2400" w:type="dxa"/>
            <w:tcBorders>
              <w:top w:val="nil"/>
              <w:left w:val="nil"/>
              <w:bottom w:val="nil"/>
              <w:right w:val="nil"/>
            </w:tcBorders>
            <w:shd w:val="clear" w:color="auto" w:fill="auto"/>
            <w:tcMar>
              <w:top w:w="100" w:type="dxa"/>
              <w:left w:w="100" w:type="dxa"/>
              <w:bottom w:w="100" w:type="dxa"/>
              <w:right w:w="100" w:type="dxa"/>
            </w:tcMar>
            <w:vAlign w:val="center"/>
          </w:tcPr>
          <w:p w14:paraId="577C24C3"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Dimensional conformity (ISO 10545-2)</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509B3F68"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L ± 2.0 mm</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6EDC4834"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L ± 2.0 mm</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13CAE16A"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L ± 2.0 mm</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69364FFC"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L ± 2.0 mm</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63A76464"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L ± 2.0 mm</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27C3351C"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L ± 2.0 mm</w:t>
            </w:r>
          </w:p>
        </w:tc>
      </w:tr>
      <w:tr w:rsidR="003325E7" w14:paraId="6FECD0D2" w14:textId="77777777" w:rsidTr="00BC0A82">
        <w:trPr>
          <w:trHeight w:val="440"/>
          <w:jc w:val="center"/>
        </w:trPr>
        <w:tc>
          <w:tcPr>
            <w:tcW w:w="2400" w:type="dxa"/>
            <w:tcBorders>
              <w:top w:val="nil"/>
              <w:left w:val="nil"/>
              <w:bottom w:val="nil"/>
              <w:right w:val="nil"/>
            </w:tcBorders>
            <w:shd w:val="clear" w:color="auto" w:fill="auto"/>
            <w:tcMar>
              <w:top w:w="100" w:type="dxa"/>
              <w:left w:w="100" w:type="dxa"/>
              <w:bottom w:w="100" w:type="dxa"/>
              <w:right w:w="100" w:type="dxa"/>
            </w:tcMar>
            <w:vAlign w:val="center"/>
          </w:tcPr>
          <w:p w14:paraId="556FCBAC"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Water absorption (%)</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3CE5640B"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0.29</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473BDCAD"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0.31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5E8DBB27"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0.35</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7E51ACFE"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0.41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1E6686B5"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0.28</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5E4AA019"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0.18</w:t>
            </w:r>
          </w:p>
        </w:tc>
      </w:tr>
      <w:tr w:rsidR="003325E7" w14:paraId="11DC64C9" w14:textId="77777777" w:rsidTr="00BC0A82">
        <w:trPr>
          <w:trHeight w:val="440"/>
          <w:jc w:val="center"/>
        </w:trPr>
        <w:tc>
          <w:tcPr>
            <w:tcW w:w="2400" w:type="dxa"/>
            <w:tcBorders>
              <w:top w:val="nil"/>
              <w:left w:val="nil"/>
              <w:bottom w:val="nil"/>
              <w:right w:val="nil"/>
            </w:tcBorders>
            <w:shd w:val="clear" w:color="auto" w:fill="auto"/>
            <w:tcMar>
              <w:top w:w="100" w:type="dxa"/>
              <w:left w:w="100" w:type="dxa"/>
              <w:bottom w:w="100" w:type="dxa"/>
              <w:right w:w="100" w:type="dxa"/>
            </w:tcMar>
            <w:vAlign w:val="center"/>
          </w:tcPr>
          <w:p w14:paraId="6B13FE26"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Water absorption conformity (ISO 10545-3)</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7909ED5D" w14:textId="77777777" w:rsidR="003325E7" w:rsidRDefault="001D022A">
            <w:pPr>
              <w:widowControl w:val="0"/>
              <w:pBdr>
                <w:top w:val="nil"/>
                <w:left w:val="nil"/>
                <w:bottom w:val="nil"/>
                <w:right w:val="nil"/>
                <w:between w:val="nil"/>
              </w:pBdr>
              <w:spacing w:line="240" w:lineRule="auto"/>
              <w:jc w:val="center"/>
              <w:rPr>
                <w:sz w:val="14"/>
                <w:szCs w:val="14"/>
              </w:rPr>
            </w:pPr>
            <w:r>
              <w:rPr>
                <w:rFonts w:ascii="Gungsuh" w:eastAsia="Gungsuh" w:hAnsi="Gungsuh" w:cs="Gungsuh"/>
                <w:sz w:val="14"/>
                <w:szCs w:val="14"/>
              </w:rPr>
              <w:t>≤ 0.5%</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0CE408D7" w14:textId="77777777" w:rsidR="003325E7" w:rsidRDefault="001D022A">
            <w:pPr>
              <w:widowControl w:val="0"/>
              <w:pBdr>
                <w:top w:val="nil"/>
                <w:left w:val="nil"/>
                <w:bottom w:val="nil"/>
                <w:right w:val="nil"/>
                <w:between w:val="nil"/>
              </w:pBdr>
              <w:spacing w:line="240" w:lineRule="auto"/>
              <w:jc w:val="center"/>
              <w:rPr>
                <w:sz w:val="14"/>
                <w:szCs w:val="14"/>
              </w:rPr>
            </w:pPr>
            <w:r>
              <w:rPr>
                <w:rFonts w:ascii="Gungsuh" w:eastAsia="Gungsuh" w:hAnsi="Gungsuh" w:cs="Gungsuh"/>
                <w:sz w:val="14"/>
                <w:szCs w:val="14"/>
              </w:rPr>
              <w:t>≤ 0.5%</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2333E3EB" w14:textId="77777777" w:rsidR="003325E7" w:rsidRDefault="001D022A">
            <w:pPr>
              <w:widowControl w:val="0"/>
              <w:pBdr>
                <w:top w:val="nil"/>
                <w:left w:val="nil"/>
                <w:bottom w:val="nil"/>
                <w:right w:val="nil"/>
                <w:between w:val="nil"/>
              </w:pBdr>
              <w:spacing w:line="240" w:lineRule="auto"/>
              <w:jc w:val="center"/>
              <w:rPr>
                <w:sz w:val="14"/>
                <w:szCs w:val="14"/>
              </w:rPr>
            </w:pPr>
            <w:r>
              <w:rPr>
                <w:rFonts w:ascii="Gungsuh" w:eastAsia="Gungsuh" w:hAnsi="Gungsuh" w:cs="Gungsuh"/>
                <w:sz w:val="14"/>
                <w:szCs w:val="14"/>
              </w:rPr>
              <w:t>≤ 0.5%</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18BB709C" w14:textId="77777777" w:rsidR="003325E7" w:rsidRDefault="001D022A">
            <w:pPr>
              <w:widowControl w:val="0"/>
              <w:pBdr>
                <w:top w:val="nil"/>
                <w:left w:val="nil"/>
                <w:bottom w:val="nil"/>
                <w:right w:val="nil"/>
                <w:between w:val="nil"/>
              </w:pBdr>
              <w:spacing w:line="240" w:lineRule="auto"/>
              <w:jc w:val="center"/>
              <w:rPr>
                <w:sz w:val="14"/>
                <w:szCs w:val="14"/>
              </w:rPr>
            </w:pPr>
            <w:r>
              <w:rPr>
                <w:rFonts w:ascii="Gungsuh" w:eastAsia="Gungsuh" w:hAnsi="Gungsuh" w:cs="Gungsuh"/>
                <w:sz w:val="14"/>
                <w:szCs w:val="14"/>
              </w:rPr>
              <w:t>≤ 0.5%</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69DBDA06" w14:textId="77777777" w:rsidR="003325E7" w:rsidRDefault="001D022A">
            <w:pPr>
              <w:widowControl w:val="0"/>
              <w:pBdr>
                <w:top w:val="nil"/>
                <w:left w:val="nil"/>
                <w:bottom w:val="nil"/>
                <w:right w:val="nil"/>
                <w:between w:val="nil"/>
              </w:pBdr>
              <w:spacing w:line="240" w:lineRule="auto"/>
              <w:jc w:val="center"/>
              <w:rPr>
                <w:sz w:val="14"/>
                <w:szCs w:val="14"/>
              </w:rPr>
            </w:pPr>
            <w:r>
              <w:rPr>
                <w:rFonts w:ascii="Gungsuh" w:eastAsia="Gungsuh" w:hAnsi="Gungsuh" w:cs="Gungsuh"/>
                <w:sz w:val="14"/>
                <w:szCs w:val="14"/>
              </w:rPr>
              <w:t>≤ 0.5%</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324811B7" w14:textId="77777777" w:rsidR="003325E7" w:rsidRDefault="001D022A">
            <w:pPr>
              <w:widowControl w:val="0"/>
              <w:pBdr>
                <w:top w:val="nil"/>
                <w:left w:val="nil"/>
                <w:bottom w:val="nil"/>
                <w:right w:val="nil"/>
                <w:between w:val="nil"/>
              </w:pBdr>
              <w:spacing w:line="240" w:lineRule="auto"/>
              <w:jc w:val="center"/>
              <w:rPr>
                <w:sz w:val="14"/>
                <w:szCs w:val="14"/>
              </w:rPr>
            </w:pPr>
            <w:r>
              <w:rPr>
                <w:rFonts w:ascii="Gungsuh" w:eastAsia="Gungsuh" w:hAnsi="Gungsuh" w:cs="Gungsuh"/>
                <w:sz w:val="14"/>
                <w:szCs w:val="14"/>
              </w:rPr>
              <w:t>≤ 0.5%</w:t>
            </w:r>
          </w:p>
        </w:tc>
      </w:tr>
      <w:tr w:rsidR="003325E7" w14:paraId="3A185637" w14:textId="77777777" w:rsidTr="00BC0A82">
        <w:trPr>
          <w:trHeight w:val="440"/>
          <w:jc w:val="center"/>
        </w:trPr>
        <w:tc>
          <w:tcPr>
            <w:tcW w:w="2400" w:type="dxa"/>
            <w:tcBorders>
              <w:top w:val="nil"/>
              <w:left w:val="nil"/>
              <w:bottom w:val="nil"/>
              <w:right w:val="nil"/>
            </w:tcBorders>
            <w:shd w:val="clear" w:color="auto" w:fill="auto"/>
            <w:tcMar>
              <w:top w:w="100" w:type="dxa"/>
              <w:left w:w="100" w:type="dxa"/>
              <w:bottom w:w="100" w:type="dxa"/>
              <w:right w:w="100" w:type="dxa"/>
            </w:tcMar>
            <w:vAlign w:val="center"/>
          </w:tcPr>
          <w:p w14:paraId="4F133B8D"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Bending strength (N)</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2FE06378"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1780 ± 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4E54C4DD"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1759 ± 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25113D0F"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1734 ± 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21603C12"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1691 ± 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03ED4D4B"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1682 ± 1</w:t>
            </w:r>
          </w:p>
        </w:tc>
        <w:tc>
          <w:tcPr>
            <w:tcW w:w="800" w:type="dxa"/>
            <w:tcBorders>
              <w:top w:val="nil"/>
              <w:left w:val="nil"/>
              <w:bottom w:val="nil"/>
              <w:right w:val="nil"/>
            </w:tcBorders>
            <w:shd w:val="clear" w:color="auto" w:fill="auto"/>
            <w:tcMar>
              <w:top w:w="100" w:type="dxa"/>
              <w:left w:w="100" w:type="dxa"/>
              <w:bottom w:w="100" w:type="dxa"/>
              <w:right w:w="100" w:type="dxa"/>
            </w:tcMar>
            <w:vAlign w:val="center"/>
          </w:tcPr>
          <w:p w14:paraId="41BAE60D" w14:textId="77777777" w:rsidR="003325E7" w:rsidRDefault="001D022A">
            <w:pPr>
              <w:widowControl w:val="0"/>
              <w:pBdr>
                <w:top w:val="nil"/>
                <w:left w:val="nil"/>
                <w:bottom w:val="nil"/>
                <w:right w:val="nil"/>
                <w:between w:val="nil"/>
              </w:pBdr>
              <w:spacing w:line="240" w:lineRule="auto"/>
              <w:jc w:val="center"/>
              <w:rPr>
                <w:sz w:val="14"/>
                <w:szCs w:val="14"/>
              </w:rPr>
            </w:pPr>
            <w:r>
              <w:rPr>
                <w:sz w:val="14"/>
                <w:szCs w:val="14"/>
              </w:rPr>
              <w:t>1715 ± 1</w:t>
            </w:r>
          </w:p>
        </w:tc>
      </w:tr>
      <w:tr w:rsidR="003325E7" w14:paraId="6AC928B6" w14:textId="77777777" w:rsidTr="00BC0A82">
        <w:trPr>
          <w:trHeight w:val="440"/>
          <w:jc w:val="center"/>
        </w:trPr>
        <w:tc>
          <w:tcPr>
            <w:tcW w:w="24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2B05F7C" w14:textId="77777777" w:rsidR="003325E7" w:rsidRDefault="001D022A">
            <w:pPr>
              <w:widowControl w:val="0"/>
              <w:pBdr>
                <w:top w:val="nil"/>
                <w:left w:val="nil"/>
                <w:bottom w:val="nil"/>
                <w:right w:val="nil"/>
                <w:between w:val="nil"/>
              </w:pBdr>
              <w:spacing w:line="240" w:lineRule="auto"/>
              <w:jc w:val="center"/>
              <w:rPr>
                <w:sz w:val="18"/>
                <w:szCs w:val="18"/>
              </w:rPr>
            </w:pPr>
            <w:r>
              <w:rPr>
                <w:sz w:val="18"/>
                <w:szCs w:val="18"/>
              </w:rPr>
              <w:t>Bending strength conformity (ISO 10545-4)</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534BFA47" w14:textId="77777777" w:rsidR="003325E7" w:rsidRPr="00BC0A82" w:rsidRDefault="001D022A">
            <w:pPr>
              <w:widowControl w:val="0"/>
              <w:pBdr>
                <w:top w:val="nil"/>
                <w:left w:val="nil"/>
                <w:bottom w:val="nil"/>
                <w:right w:val="nil"/>
                <w:between w:val="nil"/>
              </w:pBdr>
              <w:spacing w:line="240" w:lineRule="auto"/>
              <w:jc w:val="center"/>
              <w:rPr>
                <w:sz w:val="12"/>
                <w:szCs w:val="12"/>
              </w:rPr>
            </w:pPr>
            <w:r w:rsidRPr="00BC0A82">
              <w:rPr>
                <w:rFonts w:ascii="Gungsuh" w:eastAsia="Gungsuh" w:hAnsi="Gungsuh" w:cs="Gungsuh"/>
                <w:sz w:val="12"/>
                <w:szCs w:val="12"/>
              </w:rPr>
              <w:t>≥ 1300 N</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24CD54A7" w14:textId="77777777" w:rsidR="003325E7" w:rsidRPr="00BC0A82" w:rsidRDefault="001D022A">
            <w:pPr>
              <w:widowControl w:val="0"/>
              <w:pBdr>
                <w:top w:val="nil"/>
                <w:left w:val="nil"/>
                <w:bottom w:val="nil"/>
                <w:right w:val="nil"/>
                <w:between w:val="nil"/>
              </w:pBdr>
              <w:spacing w:line="240" w:lineRule="auto"/>
              <w:jc w:val="center"/>
              <w:rPr>
                <w:sz w:val="12"/>
                <w:szCs w:val="12"/>
              </w:rPr>
            </w:pPr>
            <w:r w:rsidRPr="00BC0A82">
              <w:rPr>
                <w:rFonts w:ascii="Gungsuh" w:eastAsia="Gungsuh" w:hAnsi="Gungsuh" w:cs="Gungsuh"/>
                <w:sz w:val="12"/>
                <w:szCs w:val="12"/>
              </w:rPr>
              <w:t>≥ 1300 N</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743562DB" w14:textId="77777777" w:rsidR="003325E7" w:rsidRPr="00BC0A82" w:rsidRDefault="001D022A">
            <w:pPr>
              <w:widowControl w:val="0"/>
              <w:pBdr>
                <w:top w:val="nil"/>
                <w:left w:val="nil"/>
                <w:bottom w:val="nil"/>
                <w:right w:val="nil"/>
                <w:between w:val="nil"/>
              </w:pBdr>
              <w:spacing w:line="240" w:lineRule="auto"/>
              <w:jc w:val="center"/>
              <w:rPr>
                <w:sz w:val="12"/>
                <w:szCs w:val="12"/>
              </w:rPr>
            </w:pPr>
            <w:r w:rsidRPr="00BC0A82">
              <w:rPr>
                <w:rFonts w:ascii="Gungsuh" w:eastAsia="Gungsuh" w:hAnsi="Gungsuh" w:cs="Gungsuh"/>
                <w:sz w:val="12"/>
                <w:szCs w:val="12"/>
              </w:rPr>
              <w:t xml:space="preserve">≥ 1300 N </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3F1E63BE" w14:textId="77777777" w:rsidR="003325E7" w:rsidRPr="00BC0A82" w:rsidRDefault="001D022A">
            <w:pPr>
              <w:widowControl w:val="0"/>
              <w:pBdr>
                <w:top w:val="nil"/>
                <w:left w:val="nil"/>
                <w:bottom w:val="nil"/>
                <w:right w:val="nil"/>
                <w:between w:val="nil"/>
              </w:pBdr>
              <w:spacing w:line="240" w:lineRule="auto"/>
              <w:jc w:val="center"/>
              <w:rPr>
                <w:sz w:val="12"/>
                <w:szCs w:val="12"/>
              </w:rPr>
            </w:pPr>
            <w:r w:rsidRPr="00BC0A82">
              <w:rPr>
                <w:rFonts w:ascii="Gungsuh" w:eastAsia="Gungsuh" w:hAnsi="Gungsuh" w:cs="Gungsuh"/>
                <w:sz w:val="12"/>
                <w:szCs w:val="12"/>
              </w:rPr>
              <w:t>≥ 1300 N</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0BE5575A" w14:textId="77777777" w:rsidR="003325E7" w:rsidRPr="00BC0A82" w:rsidRDefault="001D022A">
            <w:pPr>
              <w:widowControl w:val="0"/>
              <w:pBdr>
                <w:top w:val="nil"/>
                <w:left w:val="nil"/>
                <w:bottom w:val="nil"/>
                <w:right w:val="nil"/>
                <w:between w:val="nil"/>
              </w:pBdr>
              <w:spacing w:line="240" w:lineRule="auto"/>
              <w:jc w:val="center"/>
              <w:rPr>
                <w:sz w:val="12"/>
                <w:szCs w:val="12"/>
              </w:rPr>
            </w:pPr>
            <w:r w:rsidRPr="00BC0A82">
              <w:rPr>
                <w:rFonts w:ascii="Gungsuh" w:eastAsia="Gungsuh" w:hAnsi="Gungsuh" w:cs="Gungsuh"/>
                <w:sz w:val="12"/>
                <w:szCs w:val="12"/>
              </w:rPr>
              <w:t>≥ 1300 N</w:t>
            </w:r>
          </w:p>
        </w:tc>
        <w:tc>
          <w:tcPr>
            <w:tcW w:w="800" w:type="dxa"/>
            <w:tcBorders>
              <w:top w:val="nil"/>
              <w:left w:val="nil"/>
              <w:bottom w:val="single" w:sz="4" w:space="0" w:color="auto"/>
              <w:right w:val="nil"/>
            </w:tcBorders>
            <w:shd w:val="clear" w:color="auto" w:fill="auto"/>
            <w:tcMar>
              <w:top w:w="100" w:type="dxa"/>
              <w:left w:w="100" w:type="dxa"/>
              <w:bottom w:w="100" w:type="dxa"/>
              <w:right w:w="100" w:type="dxa"/>
            </w:tcMar>
            <w:vAlign w:val="center"/>
          </w:tcPr>
          <w:p w14:paraId="7854DDAD" w14:textId="77777777" w:rsidR="003325E7" w:rsidRPr="00BC0A82" w:rsidRDefault="001D022A">
            <w:pPr>
              <w:widowControl w:val="0"/>
              <w:pBdr>
                <w:top w:val="nil"/>
                <w:left w:val="nil"/>
                <w:bottom w:val="nil"/>
                <w:right w:val="nil"/>
                <w:between w:val="nil"/>
              </w:pBdr>
              <w:spacing w:line="240" w:lineRule="auto"/>
              <w:jc w:val="center"/>
              <w:rPr>
                <w:sz w:val="12"/>
                <w:szCs w:val="12"/>
              </w:rPr>
            </w:pPr>
            <w:r w:rsidRPr="00BC0A82">
              <w:rPr>
                <w:rFonts w:ascii="Gungsuh" w:eastAsia="Gungsuh" w:hAnsi="Gungsuh" w:cs="Gungsuh"/>
                <w:sz w:val="12"/>
                <w:szCs w:val="12"/>
              </w:rPr>
              <w:t>≥ 1300 N</w:t>
            </w:r>
          </w:p>
        </w:tc>
      </w:tr>
    </w:tbl>
    <w:p w14:paraId="422BB97D" w14:textId="77777777" w:rsidR="003325E7" w:rsidRDefault="003325E7">
      <w:pPr>
        <w:pBdr>
          <w:top w:val="nil"/>
          <w:left w:val="nil"/>
          <w:bottom w:val="nil"/>
          <w:right w:val="nil"/>
          <w:between w:val="nil"/>
        </w:pBdr>
        <w:tabs>
          <w:tab w:val="right" w:pos="6480"/>
          <w:tab w:val="left" w:pos="6379"/>
        </w:tabs>
        <w:spacing w:line="276" w:lineRule="auto"/>
        <w:ind w:right="-30"/>
        <w:rPr>
          <w:b/>
          <w:sz w:val="24"/>
          <w:szCs w:val="24"/>
        </w:rPr>
      </w:pPr>
    </w:p>
    <w:p w14:paraId="2277D57E" w14:textId="77777777" w:rsidR="003325E7" w:rsidRDefault="001D022A">
      <w:pPr>
        <w:pBdr>
          <w:top w:val="nil"/>
          <w:left w:val="nil"/>
          <w:bottom w:val="nil"/>
          <w:right w:val="nil"/>
          <w:between w:val="nil"/>
        </w:pBdr>
        <w:tabs>
          <w:tab w:val="right" w:pos="6480"/>
          <w:tab w:val="left" w:pos="6379"/>
        </w:tabs>
        <w:spacing w:line="276" w:lineRule="auto"/>
        <w:ind w:right="-30"/>
        <w:rPr>
          <w:b/>
          <w:sz w:val="24"/>
          <w:szCs w:val="24"/>
        </w:rPr>
      </w:pPr>
      <w:r>
        <w:t xml:space="preserve">In accordance with current ISO standards for ceramic tiles, the following technological parameters were checked: dimensional compliance, measured by comparing the actual length with the nominal one (ISO 10545-2); water absorption compliance, measured under vacuum (ISO 10545-3); and bending strength (ISO </w:t>
      </w:r>
      <w:r>
        <w:lastRenderedPageBreak/>
        <w:t>10545-4). All compositions comply with regulatory standards, only composition S5, which is particularly rich in red beds clays, is dimensionally slightly below acceptable thresholds. To solve this problem without intervening in the formulation of the body, it would be sufficient to reduce the nominal length that is set by each individual manufacturer. In fact, an average length, representative of the entire industry, was adopted for this study. These tests allowed to demonstrate through a laboratory protocol, the technological feasibility of alternative sourcing scenarios whether (compositions S1÷S3) or nearshoring (compositions S4 and S5) without intervention on the production process.</w:t>
      </w:r>
    </w:p>
    <w:p w14:paraId="6A45F785" w14:textId="77777777" w:rsidR="003325E7" w:rsidRDefault="003325E7">
      <w:pPr>
        <w:pBdr>
          <w:top w:val="nil"/>
          <w:left w:val="nil"/>
          <w:bottom w:val="nil"/>
          <w:right w:val="nil"/>
          <w:between w:val="nil"/>
        </w:pBdr>
        <w:tabs>
          <w:tab w:val="right" w:pos="6480"/>
          <w:tab w:val="left" w:pos="6379"/>
        </w:tabs>
        <w:spacing w:line="276" w:lineRule="auto"/>
        <w:ind w:right="-30"/>
        <w:rPr>
          <w:b/>
          <w:sz w:val="24"/>
          <w:szCs w:val="24"/>
        </w:rPr>
      </w:pPr>
    </w:p>
    <w:p w14:paraId="1935A4BA" w14:textId="77777777" w:rsidR="003325E7" w:rsidRDefault="001D022A">
      <w:pPr>
        <w:pStyle w:val="Titolo1"/>
        <w:numPr>
          <w:ilvl w:val="1"/>
          <w:numId w:val="2"/>
        </w:numPr>
        <w:spacing w:before="0" w:after="0" w:line="276" w:lineRule="auto"/>
      </w:pPr>
      <w:bookmarkStart w:id="10" w:name="_17dp8vu" w:colFirst="0" w:colLast="0"/>
      <w:bookmarkEnd w:id="10"/>
      <w:r>
        <w:t>Conclusions</w:t>
      </w:r>
    </w:p>
    <w:p w14:paraId="39FD2D44" w14:textId="77777777" w:rsidR="003325E7" w:rsidRDefault="003325E7">
      <w:pPr>
        <w:tabs>
          <w:tab w:val="right" w:pos="6480"/>
          <w:tab w:val="left" w:pos="6379"/>
        </w:tabs>
        <w:spacing w:line="276" w:lineRule="auto"/>
        <w:ind w:right="-30"/>
      </w:pPr>
    </w:p>
    <w:p w14:paraId="40BE5E4C" w14:textId="77777777" w:rsidR="003325E7" w:rsidRDefault="001D022A">
      <w:pPr>
        <w:tabs>
          <w:tab w:val="right" w:pos="6480"/>
          <w:tab w:val="left" w:pos="6379"/>
        </w:tabs>
        <w:spacing w:line="276" w:lineRule="auto"/>
        <w:ind w:right="-30"/>
      </w:pPr>
      <w:r>
        <w:t xml:space="preserve">In this study, the functional decomposition technique was applied to analyze the complexity of the material supply chain for the Italian ceramic tile manufacturing </w:t>
      </w:r>
      <w:proofErr w:type="gramStart"/>
      <w:r>
        <w:t>industry, and</w:t>
      </w:r>
      <w:proofErr w:type="gramEnd"/>
      <w:r>
        <w:t xml:space="preserve"> identify some possible solutions to the critical issues that the pandemic and geopolitical tensions have generated in this industry since the year 2020. The research also highlighted </w:t>
      </w:r>
      <w:proofErr w:type="gramStart"/>
      <w:r>
        <w:t>that complex problems</w:t>
      </w:r>
      <w:proofErr w:type="gramEnd"/>
      <w:r>
        <w:t xml:space="preserve"> need to be analyzed from different perspectives, which is why the transdisciplinary approach was adopted, which, thanks to the support of different disciplines (both technical and managerial) is, better than any other procedure, able to capture the interdependencies between the variables at stake. The context analysis allowed three assumptions to be formulated as possible solutions to the sudden interruption of plastic clay supplies from Ukraine. In one case, for large ceramic slabs that represent a niche (albeit an important one) in terms of volume of total production, the use of the few very plastic clays that may still arrive from Ukraine or other places being identified may be envisaged. In the case of conventional format ceramic tiles, on the other hand, for which very plastic clays are not as essential as for slabs, strategies of nearshoring and reshoring of sourcing systems are options that ceramic industries might consider.</w:t>
      </w:r>
    </w:p>
    <w:p w14:paraId="62346638" w14:textId="77777777" w:rsidR="003325E7" w:rsidRDefault="001D022A">
      <w:pPr>
        <w:tabs>
          <w:tab w:val="right" w:pos="6480"/>
          <w:tab w:val="left" w:pos="6379"/>
        </w:tabs>
        <w:spacing w:line="276" w:lineRule="auto"/>
        <w:ind w:right="-30"/>
      </w:pPr>
      <w:r>
        <w:t xml:space="preserve">These scenario assumptions then found empirical validation in a laboratory pre-pilot environment to demonstrate their technical feasibility. Five porcelain ceramic bodies were formulated and tested from both technical and environmental impact perspectives. Making use of European and local clays and feldspars, compositions were proposed that were less critical from a sourcing system viewpoint than the average industry composition in use before the pandemic and geopolitical crisis. Laboratory tests have shown that all solutions are potentially </w:t>
      </w:r>
      <w:proofErr w:type="spellStart"/>
      <w:r>
        <w:t>industrializable</w:t>
      </w:r>
      <w:proofErr w:type="spellEnd"/>
      <w:r>
        <w:t xml:space="preserve"> and comply with international ISO standards for ceramic tiles. Finally, the environmental assessment, focusing on Global Warming Potential (GWP) as an </w:t>
      </w:r>
      <w:r>
        <w:lastRenderedPageBreak/>
        <w:t>impact factor of Life Cycle Assessment (LCA) analysis, showed how moving mining sources closer to production factories significantly reduces CO</w:t>
      </w:r>
      <w:r>
        <w:rPr>
          <w:vertAlign w:val="subscript"/>
        </w:rPr>
        <w:t>2</w:t>
      </w:r>
      <w:r>
        <w:t xml:space="preserve"> emissions to the atmosphere from transportation.</w:t>
      </w:r>
    </w:p>
    <w:p w14:paraId="0F425FAB" w14:textId="77777777" w:rsidR="003325E7" w:rsidRDefault="001D022A">
      <w:pPr>
        <w:tabs>
          <w:tab w:val="right" w:pos="6480"/>
          <w:tab w:val="left" w:pos="6379"/>
        </w:tabs>
        <w:spacing w:line="276" w:lineRule="auto"/>
        <w:ind w:right="-30"/>
      </w:pPr>
      <w:r>
        <w:t xml:space="preserve">From the perspective of managerial analysis, this research makes a further contribution to the knowledge of the effects of the combination of pandemic and geopolitical tensions on production chains, applying the transdisciplinary approach The analysis of the ceramics industry, as an example of a raw material-intensive sector, also shows that the implementation of nearshoring and reshoring strategies not only reduce sourcing risk, but also decrease environmental impact with direct benefits on the overall production process and indirectly on the finished product. These results also offer important implications for </w:t>
      </w:r>
      <w:proofErr w:type="gramStart"/>
      <w:r>
        <w:t>practitioners, because</w:t>
      </w:r>
      <w:proofErr w:type="gramEnd"/>
      <w:r>
        <w:t xml:space="preserve"> the empirical analysis of a major European manufacturing industry demonstrates that the complexity of the business environment can be most successfully addressed by a holistic and synergistic approach between engineering and management skills.</w:t>
      </w:r>
    </w:p>
    <w:p w14:paraId="005CD720" w14:textId="77777777" w:rsidR="003325E7" w:rsidRDefault="001D022A">
      <w:pPr>
        <w:tabs>
          <w:tab w:val="right" w:pos="6480"/>
          <w:tab w:val="left" w:pos="6379"/>
        </w:tabs>
        <w:spacing w:line="276" w:lineRule="auto"/>
        <w:ind w:right="-30"/>
      </w:pPr>
      <w:r>
        <w:t xml:space="preserve">Finally, the limitations of this research must be emphasized. </w:t>
      </w:r>
      <w:proofErr w:type="gramStart"/>
      <w:r>
        <w:t>First of all</w:t>
      </w:r>
      <w:proofErr w:type="gramEnd"/>
      <w:r>
        <w:t>, the analysis conducted on the Italian ceramic industry would like to replicate to the Spanish one because of its relevance at the European industry level and the commonality of problems. The unavailability of primary data prevented conducting a parallel study. Then, the strategic scenario analysis lacks the economic assessment that is fundamental to any business decision. This research was conducted at a time of great uncertainty and volatility in the prices of raw materials and other production inputs, making any economic forecast totally unrepresentative.</w:t>
      </w:r>
    </w:p>
    <w:p w14:paraId="04B59C5A" w14:textId="77777777" w:rsidR="003325E7" w:rsidRDefault="003325E7">
      <w:pPr>
        <w:tabs>
          <w:tab w:val="right" w:pos="6480"/>
          <w:tab w:val="left" w:pos="6379"/>
        </w:tabs>
        <w:spacing w:line="276" w:lineRule="auto"/>
        <w:ind w:right="-30"/>
      </w:pPr>
    </w:p>
    <w:p w14:paraId="463BE53D" w14:textId="77777777" w:rsidR="003325E7" w:rsidRDefault="001D022A">
      <w:pPr>
        <w:pStyle w:val="Titolo1"/>
        <w:numPr>
          <w:ilvl w:val="0"/>
          <w:numId w:val="2"/>
        </w:numPr>
        <w:spacing w:before="320" w:line="276" w:lineRule="auto"/>
      </w:pPr>
      <w:r>
        <w:t>References and Citations</w:t>
      </w:r>
    </w:p>
    <w:p w14:paraId="02D63462" w14:textId="77777777" w:rsidR="003325E7" w:rsidRDefault="001D022A">
      <w:pPr>
        <w:numPr>
          <w:ilvl w:val="0"/>
          <w:numId w:val="1"/>
        </w:numPr>
        <w:rPr>
          <w:rFonts w:ascii="Arial" w:eastAsia="Arial" w:hAnsi="Arial" w:cs="Arial"/>
          <w:color w:val="222222"/>
          <w:sz w:val="20"/>
          <w:szCs w:val="20"/>
          <w:highlight w:val="white"/>
        </w:rPr>
      </w:pPr>
      <w:r w:rsidRPr="00AD4341">
        <w:rPr>
          <w:lang w:val="it-IT"/>
        </w:rPr>
        <w:t xml:space="preserve">Appolloni, A., D'Adamo, I., Gastaldi, M., </w:t>
      </w:r>
      <w:proofErr w:type="spellStart"/>
      <w:r w:rsidRPr="00AD4341">
        <w:rPr>
          <w:lang w:val="it-IT"/>
        </w:rPr>
        <w:t>Yazdani</w:t>
      </w:r>
      <w:proofErr w:type="spellEnd"/>
      <w:r w:rsidRPr="00AD4341">
        <w:rPr>
          <w:lang w:val="it-IT"/>
        </w:rPr>
        <w:t xml:space="preserve">, M., &amp; Settembre-Blundo, D. (2021). </w:t>
      </w:r>
      <w:r>
        <w:t xml:space="preserve">Reflective backward analysis to assess the operational performance and eco-efficiency of two industrial districts. International </w:t>
      </w:r>
      <w:r>
        <w:rPr>
          <w:i/>
        </w:rPr>
        <w:t xml:space="preserve">Journal of Productivity and Performance Management. </w:t>
      </w:r>
      <w:hyperlink r:id="rId12">
        <w:r>
          <w:t>https://doi.org/10.1108/IJPPM-08-2021-0442</w:t>
        </w:r>
      </w:hyperlink>
    </w:p>
    <w:p w14:paraId="6EA4516A" w14:textId="77777777" w:rsidR="003325E7" w:rsidRDefault="001D022A">
      <w:pPr>
        <w:numPr>
          <w:ilvl w:val="0"/>
          <w:numId w:val="1"/>
        </w:numPr>
      </w:pPr>
      <w:r w:rsidRPr="00AD4341">
        <w:rPr>
          <w:lang w:val="it-IT"/>
        </w:rPr>
        <w:t xml:space="preserve">Appolloni, A., </w:t>
      </w:r>
      <w:proofErr w:type="spellStart"/>
      <w:r w:rsidRPr="00AD4341">
        <w:rPr>
          <w:lang w:val="it-IT"/>
        </w:rPr>
        <w:t>Jabbour</w:t>
      </w:r>
      <w:proofErr w:type="spellEnd"/>
      <w:r w:rsidRPr="00AD4341">
        <w:rPr>
          <w:lang w:val="it-IT"/>
        </w:rPr>
        <w:t xml:space="preserve">, C. J. C., D'Adamo, I., Gastaldi, M., &amp; Settembre-Blundo, D. (2022). </w:t>
      </w:r>
      <w:r>
        <w:t xml:space="preserve">Green recovery in the mature manufacturing industry: The role of the green-circular premium and sustainability certification in innovative efforts. </w:t>
      </w:r>
      <w:r>
        <w:rPr>
          <w:i/>
        </w:rPr>
        <w:t>Ecological Economics, 193</w:t>
      </w:r>
      <w:r>
        <w:t xml:space="preserve">, 107311. </w:t>
      </w:r>
      <w:hyperlink r:id="rId13">
        <w:r>
          <w:t>https://doi.org/10.1016/j.ecolecon.2021.107311</w:t>
        </w:r>
      </w:hyperlink>
    </w:p>
    <w:p w14:paraId="30D44A18" w14:textId="77777777" w:rsidR="003325E7" w:rsidRDefault="001D022A">
      <w:pPr>
        <w:numPr>
          <w:ilvl w:val="0"/>
          <w:numId w:val="1"/>
        </w:numPr>
        <w:rPr>
          <w:rFonts w:ascii="Arial" w:eastAsia="Arial" w:hAnsi="Arial" w:cs="Arial"/>
          <w:color w:val="222222"/>
          <w:sz w:val="20"/>
          <w:szCs w:val="20"/>
          <w:highlight w:val="white"/>
        </w:rPr>
      </w:pPr>
      <w:r>
        <w:lastRenderedPageBreak/>
        <w:t xml:space="preserve">Baldwin, R., &amp; Venables, A. J. (2013). Spiders and snakes: Offshoring and agglomeration in the global economy. </w:t>
      </w:r>
      <w:r>
        <w:rPr>
          <w:i/>
        </w:rPr>
        <w:t>Journal of International Economics, 90</w:t>
      </w:r>
      <w:r>
        <w:t xml:space="preserve">(2), 245-254. </w:t>
      </w:r>
      <w:hyperlink r:id="rId14">
        <w:r>
          <w:t>https://doi.org/10.1016/j.jinteco.2013.02.005</w:t>
        </w:r>
      </w:hyperlink>
    </w:p>
    <w:p w14:paraId="5B2B4B91" w14:textId="77777777" w:rsidR="003325E7" w:rsidRDefault="001D022A">
      <w:pPr>
        <w:numPr>
          <w:ilvl w:val="0"/>
          <w:numId w:val="1"/>
        </w:numPr>
      </w:pPr>
      <w:r w:rsidRPr="00AD4341">
        <w:rPr>
          <w:lang w:val="it-IT"/>
        </w:rPr>
        <w:t xml:space="preserve">Barbieri, P., Boffelli, A., Elia, S., </w:t>
      </w:r>
      <w:proofErr w:type="spellStart"/>
      <w:r w:rsidRPr="00AD4341">
        <w:rPr>
          <w:lang w:val="it-IT"/>
        </w:rPr>
        <w:t>Fratocchi</w:t>
      </w:r>
      <w:proofErr w:type="spellEnd"/>
      <w:r w:rsidRPr="00AD4341">
        <w:rPr>
          <w:lang w:val="it-IT"/>
        </w:rPr>
        <w:t xml:space="preserve">, L., </w:t>
      </w:r>
      <w:proofErr w:type="spellStart"/>
      <w:r w:rsidRPr="00AD4341">
        <w:rPr>
          <w:lang w:val="it-IT"/>
        </w:rPr>
        <w:t>Kalchschmidt</w:t>
      </w:r>
      <w:proofErr w:type="spellEnd"/>
      <w:r w:rsidRPr="00AD4341">
        <w:rPr>
          <w:lang w:val="it-IT"/>
        </w:rPr>
        <w:t xml:space="preserve">, M., &amp; Samson, D. (2020). </w:t>
      </w:r>
      <w:r>
        <w:t>What can we learn about reshoring after Covid-</w:t>
      </w:r>
      <w:proofErr w:type="gramStart"/>
      <w:r>
        <w:t>19?.</w:t>
      </w:r>
      <w:proofErr w:type="gramEnd"/>
      <w:r>
        <w:t xml:space="preserve"> </w:t>
      </w:r>
      <w:r>
        <w:rPr>
          <w:i/>
        </w:rPr>
        <w:t>Operations Management Research, 13</w:t>
      </w:r>
      <w:r>
        <w:t xml:space="preserve">(3), 131-136. </w:t>
      </w:r>
      <w:hyperlink r:id="rId15">
        <w:r>
          <w:rPr>
            <w:color w:val="1155CC"/>
            <w:u w:val="single"/>
          </w:rPr>
          <w:t>https://doi.org/10.1007/s12063-020-00160-1</w:t>
        </w:r>
      </w:hyperlink>
    </w:p>
    <w:p w14:paraId="26FED324" w14:textId="77777777" w:rsidR="003325E7" w:rsidRDefault="001D022A">
      <w:pPr>
        <w:numPr>
          <w:ilvl w:val="0"/>
          <w:numId w:val="1"/>
        </w:numPr>
      </w:pPr>
      <w:proofErr w:type="spellStart"/>
      <w:r>
        <w:t>Bogataj</w:t>
      </w:r>
      <w:proofErr w:type="spellEnd"/>
      <w:r>
        <w:t xml:space="preserve">, M., </w:t>
      </w:r>
      <w:proofErr w:type="spellStart"/>
      <w:r>
        <w:t>Grubbström</w:t>
      </w:r>
      <w:proofErr w:type="spellEnd"/>
      <w:r>
        <w:t xml:space="preserve">, R. W., &amp; </w:t>
      </w:r>
      <w:proofErr w:type="spellStart"/>
      <w:r>
        <w:t>Bogataj</w:t>
      </w:r>
      <w:proofErr w:type="spellEnd"/>
      <w:r>
        <w:t xml:space="preserve">, L. (2011). Efficient location of industrial activity cells in a global supply chain. </w:t>
      </w:r>
      <w:r>
        <w:rPr>
          <w:i/>
        </w:rPr>
        <w:t>International journal of production Economics, 133</w:t>
      </w:r>
      <w:r>
        <w:t xml:space="preserve">(1), 243-250. </w:t>
      </w:r>
      <w:hyperlink r:id="rId16">
        <w:r>
          <w:t>https://doi.org/10.1016/j.ijpe.2010.09.035</w:t>
        </w:r>
      </w:hyperlink>
    </w:p>
    <w:p w14:paraId="18F6E146" w14:textId="77777777" w:rsidR="003325E7" w:rsidRDefault="001D022A">
      <w:pPr>
        <w:numPr>
          <w:ilvl w:val="0"/>
          <w:numId w:val="1"/>
        </w:numPr>
        <w:rPr>
          <w:rFonts w:ascii="Arial" w:eastAsia="Arial" w:hAnsi="Arial" w:cs="Arial"/>
          <w:color w:val="222222"/>
          <w:sz w:val="20"/>
          <w:szCs w:val="20"/>
          <w:highlight w:val="white"/>
        </w:rPr>
      </w:pPr>
      <w:r>
        <w:t xml:space="preserve">Broo, D. G. (2022). </w:t>
      </w:r>
      <w:proofErr w:type="spellStart"/>
      <w:r>
        <w:t>Transdisciplinarity</w:t>
      </w:r>
      <w:proofErr w:type="spellEnd"/>
      <w:r>
        <w:t xml:space="preserve"> and three mindsets for sustainability in the age of cyber-physical systems. Journal of Industrial Information Integration, 27, 100290. </w:t>
      </w:r>
      <w:hyperlink r:id="rId17">
        <w:r>
          <w:t>https://doi.org/10.1016/j.jii.2021.100290</w:t>
        </w:r>
      </w:hyperlink>
    </w:p>
    <w:p w14:paraId="522D020F" w14:textId="77777777" w:rsidR="003325E7" w:rsidRDefault="001D022A">
      <w:pPr>
        <w:numPr>
          <w:ilvl w:val="0"/>
          <w:numId w:val="1"/>
        </w:numPr>
        <w:rPr>
          <w:rFonts w:ascii="Arial" w:eastAsia="Arial" w:hAnsi="Arial" w:cs="Arial"/>
          <w:color w:val="222222"/>
          <w:sz w:val="20"/>
          <w:szCs w:val="20"/>
          <w:highlight w:val="white"/>
        </w:rPr>
      </w:pPr>
      <w:proofErr w:type="spellStart"/>
      <w:r>
        <w:t>Ciravegna</w:t>
      </w:r>
      <w:proofErr w:type="spellEnd"/>
      <w:r>
        <w:t xml:space="preserve">, L., &amp; </w:t>
      </w:r>
      <w:proofErr w:type="spellStart"/>
      <w:r>
        <w:t>Michailova</w:t>
      </w:r>
      <w:proofErr w:type="spellEnd"/>
      <w:r>
        <w:t xml:space="preserve">, S. (2021). Why the world economy needs, but will not get, more globalization in the post-COVID-19 decade. </w:t>
      </w:r>
      <w:r>
        <w:rPr>
          <w:i/>
        </w:rPr>
        <w:t>Journal of International Business Studies</w:t>
      </w:r>
      <w:r>
        <w:t xml:space="preserve">, 1-15. </w:t>
      </w:r>
      <w:hyperlink r:id="rId18">
        <w:r>
          <w:rPr>
            <w:color w:val="1155CC"/>
            <w:u w:val="single"/>
          </w:rPr>
          <w:t>https://doi.org/10.1057/s41267-021-00467-6</w:t>
        </w:r>
      </w:hyperlink>
    </w:p>
    <w:p w14:paraId="23B4EC2B" w14:textId="77777777" w:rsidR="003325E7" w:rsidRDefault="001D022A">
      <w:pPr>
        <w:numPr>
          <w:ilvl w:val="0"/>
          <w:numId w:val="1"/>
        </w:numPr>
      </w:pPr>
      <w:proofErr w:type="spellStart"/>
      <w:r w:rsidRPr="00AD4341">
        <w:rPr>
          <w:lang w:val="it-IT"/>
        </w:rPr>
        <w:t>Colamatteo</w:t>
      </w:r>
      <w:proofErr w:type="spellEnd"/>
      <w:r w:rsidRPr="00AD4341">
        <w:rPr>
          <w:lang w:val="it-IT"/>
        </w:rPr>
        <w:t xml:space="preserve">, A., Cassia, F., &amp; Sansone, M. (2021). </w:t>
      </w:r>
      <w:r>
        <w:t xml:space="preserve">Near-shoring versus far-shoring: effects on customer perceived quality and purchase intention. The TQM Journal.  </w:t>
      </w:r>
      <w:hyperlink r:id="rId19">
        <w:r>
          <w:t>https://doi.org/10.1108/TQM-05-2021-0132</w:t>
        </w:r>
      </w:hyperlink>
    </w:p>
    <w:p w14:paraId="6ED4E49E" w14:textId="77777777" w:rsidR="003325E7" w:rsidRDefault="001D022A">
      <w:pPr>
        <w:numPr>
          <w:ilvl w:val="0"/>
          <w:numId w:val="1"/>
        </w:numPr>
      </w:pPr>
      <w:r w:rsidRPr="00AD4341">
        <w:rPr>
          <w:lang w:val="it-IT"/>
        </w:rPr>
        <w:t xml:space="preserve">Cucchi, M., Volpi, L., Ferrari, A. M., García-Muiña, F. E., &amp; Settembre-Blundo, D. (2022). </w:t>
      </w:r>
      <w:r>
        <w:t xml:space="preserve">Industry 4.0 real-world testing of dynamic organizational life cycle assessment (O-LCA) of a ceramic tile manufacturer. </w:t>
      </w:r>
      <w:r>
        <w:rPr>
          <w:i/>
        </w:rPr>
        <w:t>Environmental Science and Pollution Research</w:t>
      </w:r>
      <w:r>
        <w:t xml:space="preserve">, 1-20. </w:t>
      </w:r>
      <w:hyperlink r:id="rId20">
        <w:r>
          <w:rPr>
            <w:color w:val="1155CC"/>
            <w:u w:val="single"/>
          </w:rPr>
          <w:t>https://doi.org/10.1007/s11356-022-20601-7</w:t>
        </w:r>
      </w:hyperlink>
    </w:p>
    <w:p w14:paraId="785367AC" w14:textId="77777777" w:rsidR="003325E7" w:rsidRDefault="001D022A">
      <w:pPr>
        <w:numPr>
          <w:ilvl w:val="0"/>
          <w:numId w:val="1"/>
        </w:numPr>
      </w:pPr>
      <w:r w:rsidRPr="00AD4341">
        <w:rPr>
          <w:lang w:val="it-IT"/>
        </w:rPr>
        <w:t>Dondi, M., Garcia-</w:t>
      </w:r>
      <w:proofErr w:type="spellStart"/>
      <w:r w:rsidRPr="00AD4341">
        <w:rPr>
          <w:lang w:val="it-IT"/>
        </w:rPr>
        <w:t>Ten</w:t>
      </w:r>
      <w:proofErr w:type="spellEnd"/>
      <w:r w:rsidRPr="00AD4341">
        <w:rPr>
          <w:lang w:val="it-IT"/>
        </w:rPr>
        <w:t xml:space="preserve">, J., Rambaldi, E., Zanelli, C., &amp; </w:t>
      </w:r>
      <w:proofErr w:type="spellStart"/>
      <w:r w:rsidRPr="00AD4341">
        <w:rPr>
          <w:lang w:val="it-IT"/>
        </w:rPr>
        <w:t>Vicent-Cabedo</w:t>
      </w:r>
      <w:proofErr w:type="spellEnd"/>
      <w:r w:rsidRPr="00AD4341">
        <w:rPr>
          <w:lang w:val="it-IT"/>
        </w:rPr>
        <w:t xml:space="preserve">, M. (2021). </w:t>
      </w:r>
      <w:r>
        <w:t xml:space="preserve">Resource efficiency versus market trends in the ceramic tile industry: Effect on the supply chain in Italy and Spain. </w:t>
      </w:r>
      <w:r>
        <w:rPr>
          <w:i/>
        </w:rPr>
        <w:t>Resources, Conservation and Recycling</w:t>
      </w:r>
      <w:r>
        <w:t xml:space="preserve">, 168, 105271. </w:t>
      </w:r>
      <w:hyperlink r:id="rId21">
        <w:r>
          <w:t>https://doi.org/10.1016/j.resconrec.2020.105271</w:t>
        </w:r>
      </w:hyperlink>
    </w:p>
    <w:p w14:paraId="32BD2F71" w14:textId="77777777" w:rsidR="003325E7" w:rsidRDefault="001D022A">
      <w:pPr>
        <w:numPr>
          <w:ilvl w:val="0"/>
          <w:numId w:val="1"/>
        </w:numPr>
      </w:pPr>
      <w:r w:rsidRPr="00AD4341">
        <w:rPr>
          <w:lang w:val="it-IT"/>
        </w:rPr>
        <w:t xml:space="preserve">Dondi, M., Raimondo, M., &amp; Zanelli, C. (2014). </w:t>
      </w:r>
      <w:r>
        <w:t>Clays and bodies for ceramic til</w:t>
      </w:r>
      <w:r>
        <w:rPr>
          <w:i/>
        </w:rPr>
        <w:t xml:space="preserve">es: Reappraisal and technological classification. </w:t>
      </w:r>
      <w:r>
        <w:t xml:space="preserve">Applied Clay Science, 96, 91-109. </w:t>
      </w:r>
      <w:hyperlink r:id="rId22">
        <w:r>
          <w:t>https://doi.org/10.1016/j.clay.2014.01.013</w:t>
        </w:r>
      </w:hyperlink>
    </w:p>
    <w:p w14:paraId="1ED1C291" w14:textId="77777777" w:rsidR="003325E7" w:rsidRDefault="001D022A">
      <w:pPr>
        <w:numPr>
          <w:ilvl w:val="0"/>
          <w:numId w:val="1"/>
        </w:numPr>
      </w:pPr>
      <w:r w:rsidRPr="00AD4341">
        <w:rPr>
          <w:lang w:val="it-IT"/>
        </w:rPr>
        <w:t xml:space="preserve">Fiori, C., Vitali, D., Camurri, E., Fabbri, B., &amp; Gualtieri, S. (2011). </w:t>
      </w:r>
      <w:proofErr w:type="spellStart"/>
      <w:r>
        <w:t>Archaeometrical</w:t>
      </w:r>
      <w:proofErr w:type="spellEnd"/>
      <w:r>
        <w:t xml:space="preserve"> study of Celtic ceramics from Monte </w:t>
      </w:r>
      <w:proofErr w:type="spellStart"/>
      <w:r>
        <w:t>Bibele</w:t>
      </w:r>
      <w:proofErr w:type="spellEnd"/>
      <w:r>
        <w:t xml:space="preserve"> (Bologna, </w:t>
      </w:r>
      <w:r>
        <w:lastRenderedPageBreak/>
        <w:t xml:space="preserve">Italy). </w:t>
      </w:r>
      <w:r>
        <w:rPr>
          <w:i/>
        </w:rPr>
        <w:t>Applied clay science, 53</w:t>
      </w:r>
      <w:r>
        <w:t xml:space="preserve">(3), 454-465. </w:t>
      </w:r>
      <w:hyperlink r:id="rId23">
        <w:r>
          <w:t>https://doi.org/10.1016/j.clay.2010.11.008</w:t>
        </w:r>
      </w:hyperlink>
    </w:p>
    <w:p w14:paraId="7021F736" w14:textId="77777777" w:rsidR="003325E7" w:rsidRDefault="001D022A">
      <w:pPr>
        <w:numPr>
          <w:ilvl w:val="0"/>
          <w:numId w:val="1"/>
        </w:numPr>
      </w:pPr>
      <w:proofErr w:type="spellStart"/>
      <w:r w:rsidRPr="00AD4341">
        <w:rPr>
          <w:lang w:val="it-IT"/>
        </w:rPr>
        <w:t>Fratocchi</w:t>
      </w:r>
      <w:proofErr w:type="spellEnd"/>
      <w:r w:rsidRPr="00AD4341">
        <w:rPr>
          <w:lang w:val="it-IT"/>
        </w:rPr>
        <w:t xml:space="preserve">, L., Di Mauro, C., Barbieri, P., Nassimbeni, G., &amp; Zanoni, A. (2014). </w:t>
      </w:r>
      <w:r>
        <w:t xml:space="preserve">When manufacturing moves back: Concepts and questions. </w:t>
      </w:r>
      <w:r>
        <w:rPr>
          <w:i/>
        </w:rPr>
        <w:t>Journal of Purchasing and Supply Management, 20</w:t>
      </w:r>
      <w:r>
        <w:t xml:space="preserve">(1), 54-59. </w:t>
      </w:r>
      <w:hyperlink r:id="rId24">
        <w:r>
          <w:t>https://doi.org/10.1016/j.pursup.2014.01.004</w:t>
        </w:r>
      </w:hyperlink>
    </w:p>
    <w:p w14:paraId="6215B7D8" w14:textId="77777777" w:rsidR="003325E7" w:rsidRDefault="001D022A">
      <w:pPr>
        <w:numPr>
          <w:ilvl w:val="0"/>
          <w:numId w:val="1"/>
        </w:numPr>
      </w:pPr>
      <w:r w:rsidRPr="001525E9">
        <w:rPr>
          <w:lang w:val="it-IT"/>
        </w:rPr>
        <w:t>Garcia-</w:t>
      </w:r>
      <w:proofErr w:type="spellStart"/>
      <w:r w:rsidRPr="001525E9">
        <w:rPr>
          <w:lang w:val="it-IT"/>
        </w:rPr>
        <w:t>Muiña</w:t>
      </w:r>
      <w:proofErr w:type="spellEnd"/>
      <w:r w:rsidRPr="001525E9">
        <w:rPr>
          <w:lang w:val="it-IT"/>
        </w:rPr>
        <w:t>, F. E., González-</w:t>
      </w:r>
      <w:proofErr w:type="spellStart"/>
      <w:r w:rsidRPr="001525E9">
        <w:rPr>
          <w:lang w:val="it-IT"/>
        </w:rPr>
        <w:t>Sánchez</w:t>
      </w:r>
      <w:proofErr w:type="spellEnd"/>
      <w:r w:rsidRPr="001525E9">
        <w:rPr>
          <w:lang w:val="it-IT"/>
        </w:rPr>
        <w:t xml:space="preserve">, R., Ferrari, A. M., &amp; Settembre-Blundo, D. (2018). </w:t>
      </w:r>
      <w:r>
        <w:t xml:space="preserve">The paradigms of Industry 4.0 and circular economy as enabling drivers for the competitiveness of businesses and territories: The case of an Italian ceramic tiles manufacturing company. </w:t>
      </w:r>
      <w:r>
        <w:rPr>
          <w:i/>
        </w:rPr>
        <w:t>Social Sciences</w:t>
      </w:r>
      <w:r>
        <w:t xml:space="preserve">, 7(12), 255. </w:t>
      </w:r>
      <w:hyperlink r:id="rId25">
        <w:r>
          <w:t>https://doi.org/10.3390/socsci7120255</w:t>
        </w:r>
      </w:hyperlink>
    </w:p>
    <w:p w14:paraId="763AC297" w14:textId="77777777" w:rsidR="003325E7" w:rsidRDefault="001D022A">
      <w:pPr>
        <w:numPr>
          <w:ilvl w:val="0"/>
          <w:numId w:val="1"/>
        </w:numPr>
        <w:rPr>
          <w:rFonts w:ascii="Arial" w:eastAsia="Arial" w:hAnsi="Arial" w:cs="Arial"/>
          <w:color w:val="222222"/>
          <w:sz w:val="20"/>
          <w:szCs w:val="20"/>
          <w:highlight w:val="white"/>
        </w:rPr>
      </w:pPr>
      <w:r w:rsidRPr="001525E9">
        <w:rPr>
          <w:lang w:val="it-IT"/>
        </w:rPr>
        <w:t>García-</w:t>
      </w:r>
      <w:proofErr w:type="spellStart"/>
      <w:r w:rsidRPr="001525E9">
        <w:rPr>
          <w:lang w:val="it-IT"/>
        </w:rPr>
        <w:t>Muiña</w:t>
      </w:r>
      <w:proofErr w:type="spellEnd"/>
      <w:r w:rsidRPr="001525E9">
        <w:rPr>
          <w:lang w:val="it-IT"/>
        </w:rPr>
        <w:t xml:space="preserve">, F. E., Medina-Salgado, M. S., Ferrari, A. M., &amp; Cucchi, M. (2020). </w:t>
      </w:r>
      <w:r>
        <w:t xml:space="preserve">Sustainability transition in industry 4.0 and smart manufacturing with the triple-layered business model canvas. </w:t>
      </w:r>
      <w:r>
        <w:rPr>
          <w:i/>
        </w:rPr>
        <w:t>Sustainability, 12</w:t>
      </w:r>
      <w:r>
        <w:t>(6), 2364.</w:t>
      </w:r>
      <w:hyperlink r:id="rId26">
        <w:r>
          <w:t>https://doi.org/10.3390/su12062364</w:t>
        </w:r>
      </w:hyperlink>
    </w:p>
    <w:p w14:paraId="474814FD" w14:textId="77777777" w:rsidR="003325E7" w:rsidRDefault="001D022A">
      <w:pPr>
        <w:numPr>
          <w:ilvl w:val="0"/>
          <w:numId w:val="1"/>
        </w:numPr>
        <w:rPr>
          <w:rFonts w:ascii="Arial" w:eastAsia="Arial" w:hAnsi="Arial" w:cs="Arial"/>
          <w:color w:val="222222"/>
          <w:sz w:val="20"/>
          <w:szCs w:val="20"/>
          <w:highlight w:val="white"/>
        </w:rPr>
      </w:pPr>
      <w:proofErr w:type="spellStart"/>
      <w:r>
        <w:t>Gligor</w:t>
      </w:r>
      <w:proofErr w:type="spellEnd"/>
      <w:r>
        <w:t xml:space="preserve">, D. M., Holcomb, M. C., &amp; Stank, T. P. (2013). A multidisciplinary approach to supply chain agility: Conceptualization and scale development. </w:t>
      </w:r>
      <w:r>
        <w:rPr>
          <w:i/>
        </w:rPr>
        <w:t>Journal of business logistics, 34</w:t>
      </w:r>
      <w:r>
        <w:t xml:space="preserve">(2), 94-108. </w:t>
      </w:r>
      <w:hyperlink r:id="rId27">
        <w:r>
          <w:t>https://doi.org/10.1111/jbl.12012</w:t>
        </w:r>
      </w:hyperlink>
    </w:p>
    <w:p w14:paraId="335A0ABF" w14:textId="77777777" w:rsidR="003325E7" w:rsidRDefault="001D022A">
      <w:pPr>
        <w:numPr>
          <w:ilvl w:val="0"/>
          <w:numId w:val="1"/>
        </w:numPr>
      </w:pPr>
      <w:proofErr w:type="spellStart"/>
      <w:r>
        <w:t>Gothwal</w:t>
      </w:r>
      <w:proofErr w:type="spellEnd"/>
      <w:r>
        <w:t xml:space="preserve">, S., &amp; </w:t>
      </w:r>
      <w:proofErr w:type="spellStart"/>
      <w:r>
        <w:t>Saha</w:t>
      </w:r>
      <w:proofErr w:type="spellEnd"/>
      <w:r>
        <w:t xml:space="preserve">, R. (2015). Plant location selection of a manufacturing industry using analytic hierarchy process approach. </w:t>
      </w:r>
      <w:r>
        <w:rPr>
          <w:i/>
        </w:rPr>
        <w:t>International Journal of Services and Operations Management, 22</w:t>
      </w:r>
      <w:r>
        <w:t>(2), 235-255 .</w:t>
      </w:r>
      <w:hyperlink r:id="rId28">
        <w:r>
          <w:t>https://doi.org/</w:t>
        </w:r>
      </w:hyperlink>
      <w:hyperlink r:id="rId29">
        <w:r>
          <w:t>10.1504/IJSOM.2015.071531</w:t>
        </w:r>
      </w:hyperlink>
    </w:p>
    <w:p w14:paraId="205B1D40" w14:textId="77777777" w:rsidR="003325E7" w:rsidRDefault="001D022A">
      <w:pPr>
        <w:numPr>
          <w:ilvl w:val="0"/>
          <w:numId w:val="1"/>
        </w:numPr>
      </w:pPr>
      <w:r>
        <w:t xml:space="preserve">Guo, X., Liu, Y., Zhao, W., Wang, J., &amp; Chen, L. (2021). Supporting resilient conceptual design using functional decomposition and conflict resolution. </w:t>
      </w:r>
      <w:r>
        <w:rPr>
          <w:i/>
        </w:rPr>
        <w:t>Advanced Engineering Informatics</w:t>
      </w:r>
      <w:r>
        <w:t xml:space="preserve">, 48, 101262. </w:t>
      </w:r>
      <w:hyperlink r:id="rId30">
        <w:r>
          <w:t>https://doi.org/10.1016/j.aei.2021.101262</w:t>
        </w:r>
      </w:hyperlink>
    </w:p>
    <w:p w14:paraId="627DEE40" w14:textId="77777777" w:rsidR="003325E7" w:rsidRDefault="001D022A">
      <w:pPr>
        <w:numPr>
          <w:ilvl w:val="0"/>
          <w:numId w:val="1"/>
        </w:numPr>
      </w:pPr>
      <w:proofErr w:type="spellStart"/>
      <w:r>
        <w:t>Hameiri</w:t>
      </w:r>
      <w:proofErr w:type="spellEnd"/>
      <w:r>
        <w:t xml:space="preserve">, S. (2021). COVID-19: Is this the end of </w:t>
      </w:r>
      <w:proofErr w:type="gramStart"/>
      <w:r>
        <w:t>globalization?.</w:t>
      </w:r>
      <w:proofErr w:type="gramEnd"/>
      <w:r>
        <w:t xml:space="preserve"> I</w:t>
      </w:r>
      <w:r>
        <w:rPr>
          <w:i/>
        </w:rPr>
        <w:t>nternational Journal</w:t>
      </w:r>
      <w:r>
        <w:t xml:space="preserve">, 76(1), 30-41. </w:t>
      </w:r>
      <w:hyperlink r:id="rId31">
        <w:r>
          <w:t>https://doi.org/10.1177/0020702020985325</w:t>
        </w:r>
      </w:hyperlink>
    </w:p>
    <w:p w14:paraId="1429EA77" w14:textId="77777777" w:rsidR="003325E7" w:rsidRDefault="001D022A">
      <w:pPr>
        <w:numPr>
          <w:ilvl w:val="0"/>
          <w:numId w:val="1"/>
        </w:numPr>
      </w:pPr>
      <w:r>
        <w:t xml:space="preserve">Ikram, M., Shen, Y., </w:t>
      </w:r>
      <w:proofErr w:type="spellStart"/>
      <w:r>
        <w:t>Ferasso</w:t>
      </w:r>
      <w:proofErr w:type="spellEnd"/>
      <w:r>
        <w:t xml:space="preserve">, M., &amp; D’Adamo, I. (2021). Intensifying effects of COVID-19 on economic growth, logistics performance, environmental </w:t>
      </w:r>
      <w:proofErr w:type="gramStart"/>
      <w:r>
        <w:t>sustainability</w:t>
      </w:r>
      <w:proofErr w:type="gramEnd"/>
      <w:r>
        <w:t xml:space="preserve"> and quality management: evidence from Asian countries. </w:t>
      </w:r>
      <w:r>
        <w:rPr>
          <w:i/>
        </w:rPr>
        <w:t>Journal of Asia Business Studies, 16</w:t>
      </w:r>
      <w:r>
        <w:t xml:space="preserve">(3), 448-471 </w:t>
      </w:r>
      <w:hyperlink r:id="rId32">
        <w:r>
          <w:t>https://doi.org/10.1108/JABS-07-2021-0316</w:t>
        </w:r>
      </w:hyperlink>
    </w:p>
    <w:p w14:paraId="27148936" w14:textId="77777777" w:rsidR="003325E7" w:rsidRDefault="001D022A">
      <w:pPr>
        <w:numPr>
          <w:ilvl w:val="0"/>
          <w:numId w:val="1"/>
        </w:numPr>
        <w:rPr>
          <w:rFonts w:ascii="Arial" w:eastAsia="Arial" w:hAnsi="Arial" w:cs="Arial"/>
          <w:color w:val="222222"/>
          <w:sz w:val="20"/>
          <w:szCs w:val="20"/>
          <w:highlight w:val="white"/>
        </w:rPr>
      </w:pPr>
      <w:r>
        <w:t xml:space="preserve">Johansson, M., </w:t>
      </w:r>
      <w:proofErr w:type="spellStart"/>
      <w:r>
        <w:t>Olhager</w:t>
      </w:r>
      <w:proofErr w:type="spellEnd"/>
      <w:r>
        <w:t xml:space="preserve">, J., </w:t>
      </w:r>
      <w:proofErr w:type="spellStart"/>
      <w:r>
        <w:t>Heikkilä</w:t>
      </w:r>
      <w:proofErr w:type="spellEnd"/>
      <w:r>
        <w:t xml:space="preserve">, J., &amp; </w:t>
      </w:r>
      <w:proofErr w:type="spellStart"/>
      <w:r>
        <w:t>Stentoft</w:t>
      </w:r>
      <w:proofErr w:type="spellEnd"/>
      <w:r>
        <w:t xml:space="preserve">, J. (2019). Offshoring versus </w:t>
      </w:r>
      <w:proofErr w:type="spellStart"/>
      <w:r>
        <w:t>backshoring</w:t>
      </w:r>
      <w:proofErr w:type="spellEnd"/>
      <w:r>
        <w:t xml:space="preserve">: Empirically derived bundles of relocation drivers, and </w:t>
      </w:r>
      <w:r>
        <w:lastRenderedPageBreak/>
        <w:t>their relationship with benefits.</w:t>
      </w:r>
      <w:r>
        <w:rPr>
          <w:i/>
        </w:rPr>
        <w:t xml:space="preserve"> Journal of Purchasing and Supply Management, 25</w:t>
      </w:r>
      <w:r>
        <w:t xml:space="preserve">(3), 100509. </w:t>
      </w:r>
      <w:hyperlink r:id="rId33">
        <w:r>
          <w:t>https://doi.org/10.1016/j.pursup.2018.07.003</w:t>
        </w:r>
      </w:hyperlink>
    </w:p>
    <w:p w14:paraId="59E09603" w14:textId="77777777" w:rsidR="003325E7" w:rsidRDefault="001D022A">
      <w:pPr>
        <w:numPr>
          <w:ilvl w:val="0"/>
          <w:numId w:val="1"/>
        </w:numPr>
      </w:pPr>
      <w:r w:rsidRPr="00AD4341">
        <w:rPr>
          <w:lang w:val="es-ES"/>
        </w:rPr>
        <w:t xml:space="preserve">Khanuja, A., &amp; Jain, R. K. (2021). </w:t>
      </w:r>
      <w:r>
        <w:t xml:space="preserve">The conceptual framework on integrated flexibility: an evolution to data-driven supply chain management. </w:t>
      </w:r>
      <w:r>
        <w:rPr>
          <w:i/>
        </w:rPr>
        <w:t>The TQM Journal</w:t>
      </w:r>
      <w:r>
        <w:t xml:space="preserve">.  </w:t>
      </w:r>
      <w:hyperlink r:id="rId34">
        <w:r>
          <w:t>https://doi.org/10.1108/TQM-03-2020-0045</w:t>
        </w:r>
      </w:hyperlink>
    </w:p>
    <w:p w14:paraId="17E7D02D" w14:textId="77777777" w:rsidR="003325E7" w:rsidRDefault="001D022A">
      <w:pPr>
        <w:numPr>
          <w:ilvl w:val="0"/>
          <w:numId w:val="1"/>
        </w:numPr>
      </w:pPr>
      <w:r>
        <w:t xml:space="preserve">Krieger-Boden, C., &amp; </w:t>
      </w:r>
      <w:proofErr w:type="spellStart"/>
      <w:r>
        <w:t>Soltwedel</w:t>
      </w:r>
      <w:proofErr w:type="spellEnd"/>
      <w:r>
        <w:t xml:space="preserve">, R. (2013). Identifying European economic integration and globalization: a review of concepts and measures. </w:t>
      </w:r>
      <w:r>
        <w:rPr>
          <w:i/>
        </w:rPr>
        <w:t>Regional Studies, 47</w:t>
      </w:r>
      <w:r>
        <w:t>(9), 1425-1442.</w:t>
      </w:r>
      <w:hyperlink r:id="rId35">
        <w:r>
          <w:t>https://doi.org/10.1080/00343404.2013.834319</w:t>
        </w:r>
      </w:hyperlink>
    </w:p>
    <w:p w14:paraId="332A1515" w14:textId="77777777" w:rsidR="003325E7" w:rsidRDefault="001D022A">
      <w:pPr>
        <w:numPr>
          <w:ilvl w:val="0"/>
          <w:numId w:val="1"/>
        </w:numPr>
        <w:rPr>
          <w:rFonts w:ascii="Arial" w:eastAsia="Arial" w:hAnsi="Arial" w:cs="Arial"/>
          <w:color w:val="222222"/>
          <w:sz w:val="20"/>
          <w:szCs w:val="20"/>
          <w:highlight w:val="white"/>
        </w:rPr>
      </w:pPr>
      <w:r>
        <w:t xml:space="preserve">Ma, Q., Zhang, M., Ali, S., </w:t>
      </w:r>
      <w:proofErr w:type="spellStart"/>
      <w:r>
        <w:t>Kirikkaleli</w:t>
      </w:r>
      <w:proofErr w:type="spellEnd"/>
      <w:r>
        <w:t xml:space="preserve">, D., &amp; Khan, Z. (2021). Natural resources commodity prices volatility and economic performance: Evidence from China pre and post COVID-19. Resources Policy, 74, 102338. </w:t>
      </w:r>
      <w:hyperlink r:id="rId36">
        <w:r>
          <w:t>https://doi.org/10.1016/j.resourpol.2021.102338</w:t>
        </w:r>
      </w:hyperlink>
    </w:p>
    <w:p w14:paraId="70778C16" w14:textId="77777777" w:rsidR="003325E7" w:rsidRDefault="001D022A">
      <w:pPr>
        <w:numPr>
          <w:ilvl w:val="0"/>
          <w:numId w:val="1"/>
        </w:numPr>
      </w:pPr>
      <w:proofErr w:type="spellStart"/>
      <w:r>
        <w:t>Magableh</w:t>
      </w:r>
      <w:proofErr w:type="spellEnd"/>
      <w:r>
        <w:t xml:space="preserve">, G. M. (2021). Supply chains and the COVID‐19 pandemic: A comprehensive framework. </w:t>
      </w:r>
      <w:r>
        <w:rPr>
          <w:i/>
        </w:rPr>
        <w:t>European Management Review</w:t>
      </w:r>
      <w:r>
        <w:t xml:space="preserve">, 18(3), 363-382. </w:t>
      </w:r>
      <w:hyperlink r:id="rId37">
        <w:r>
          <w:t>https://doi.org/10.1111/emre.12449</w:t>
        </w:r>
      </w:hyperlink>
    </w:p>
    <w:p w14:paraId="35461071" w14:textId="77777777" w:rsidR="003325E7" w:rsidRDefault="001D022A">
      <w:pPr>
        <w:numPr>
          <w:ilvl w:val="0"/>
          <w:numId w:val="1"/>
        </w:numPr>
      </w:pPr>
      <w:proofErr w:type="spellStart"/>
      <w:r>
        <w:t>Matyushok</w:t>
      </w:r>
      <w:proofErr w:type="spellEnd"/>
      <w:r>
        <w:t xml:space="preserve">, V., </w:t>
      </w:r>
      <w:proofErr w:type="spellStart"/>
      <w:r>
        <w:t>Krasavina</w:t>
      </w:r>
      <w:proofErr w:type="spellEnd"/>
      <w:r>
        <w:t xml:space="preserve">, V., </w:t>
      </w:r>
      <w:proofErr w:type="spellStart"/>
      <w:r>
        <w:t>Berezin</w:t>
      </w:r>
      <w:proofErr w:type="spellEnd"/>
      <w:r>
        <w:t xml:space="preserve">, A., &amp; García, J. S. (2021). The global economy in technological transformation conditions: A review of modern trends. </w:t>
      </w:r>
      <w:r>
        <w:rPr>
          <w:i/>
        </w:rPr>
        <w:t>Economic Research-</w:t>
      </w:r>
      <w:proofErr w:type="spellStart"/>
      <w:r>
        <w:rPr>
          <w:i/>
        </w:rPr>
        <w:t>Ekonomska</w:t>
      </w:r>
      <w:proofErr w:type="spellEnd"/>
      <w:r>
        <w:rPr>
          <w:i/>
        </w:rPr>
        <w:t xml:space="preserve"> </w:t>
      </w:r>
      <w:proofErr w:type="spellStart"/>
      <w:r>
        <w:rPr>
          <w:i/>
        </w:rPr>
        <w:t>Istraživanja</w:t>
      </w:r>
      <w:proofErr w:type="spellEnd"/>
      <w:r>
        <w:rPr>
          <w:i/>
        </w:rPr>
        <w:t>, 34</w:t>
      </w:r>
      <w:r>
        <w:t xml:space="preserve">(1), 1471-1497. </w:t>
      </w:r>
      <w:hyperlink r:id="rId38">
        <w:r>
          <w:t>https://doi.org/10.1080/1331677X.2020.1844030</w:t>
        </w:r>
      </w:hyperlink>
    </w:p>
    <w:p w14:paraId="5BF1A0FB" w14:textId="77777777" w:rsidR="003325E7" w:rsidRDefault="001D022A">
      <w:pPr>
        <w:numPr>
          <w:ilvl w:val="0"/>
          <w:numId w:val="1"/>
        </w:numPr>
      </w:pPr>
      <w:r w:rsidRPr="00AD4341">
        <w:rPr>
          <w:lang w:val="it-IT"/>
        </w:rPr>
        <w:t xml:space="preserve">Merino, F., Di Stefano, C., &amp; </w:t>
      </w:r>
      <w:proofErr w:type="spellStart"/>
      <w:r w:rsidRPr="00AD4341">
        <w:rPr>
          <w:lang w:val="it-IT"/>
        </w:rPr>
        <w:t>Fratocchi</w:t>
      </w:r>
      <w:proofErr w:type="spellEnd"/>
      <w:r w:rsidRPr="00AD4341">
        <w:rPr>
          <w:lang w:val="it-IT"/>
        </w:rPr>
        <w:t xml:space="preserve">, L. (2021). </w:t>
      </w:r>
      <w:r>
        <w:t xml:space="preserve">Back-shoring vs near-shoring: a comparative exploratory study in the footwear industry. </w:t>
      </w:r>
      <w:r>
        <w:rPr>
          <w:i/>
        </w:rPr>
        <w:t>Operations Management Research, 14</w:t>
      </w:r>
      <w:r>
        <w:t>(1), 17-37. https://doi.org/10.1007/s12063-020-00173-w</w:t>
      </w:r>
    </w:p>
    <w:p w14:paraId="5FB9A688" w14:textId="77777777" w:rsidR="003325E7" w:rsidRDefault="001D022A">
      <w:pPr>
        <w:numPr>
          <w:ilvl w:val="0"/>
          <w:numId w:val="1"/>
        </w:numPr>
      </w:pPr>
      <w:r w:rsidRPr="00AD4341">
        <w:rPr>
          <w:lang w:val="it-IT"/>
        </w:rPr>
        <w:t xml:space="preserve">Miceli, A., Hagen, B., Riccardi, M. P., Sotti, F., &amp; Settembre-Blundo, D. (2021). </w:t>
      </w:r>
      <w:r>
        <w:t xml:space="preserve">Thriving, not just surviving in changing times: How sustainability, agility and digitalization intertwine with organizational resilience. </w:t>
      </w:r>
      <w:r>
        <w:rPr>
          <w:i/>
        </w:rPr>
        <w:t>Sustainability</w:t>
      </w:r>
      <w:r>
        <w:t xml:space="preserve">, 13(4), 2052. </w:t>
      </w:r>
      <w:hyperlink r:id="rId39">
        <w:r>
          <w:t>https://doi.org/10.3390/su13042052</w:t>
        </w:r>
      </w:hyperlink>
    </w:p>
    <w:p w14:paraId="70369814" w14:textId="77777777" w:rsidR="003325E7" w:rsidRDefault="001D022A">
      <w:pPr>
        <w:numPr>
          <w:ilvl w:val="0"/>
          <w:numId w:val="1"/>
        </w:numPr>
        <w:rPr>
          <w:rFonts w:ascii="Arial" w:eastAsia="Arial" w:hAnsi="Arial" w:cs="Arial"/>
          <w:color w:val="222222"/>
          <w:sz w:val="20"/>
          <w:szCs w:val="20"/>
          <w:highlight w:val="white"/>
        </w:rPr>
      </w:pPr>
      <w:proofErr w:type="spellStart"/>
      <w:r>
        <w:t>Peruzzini</w:t>
      </w:r>
      <w:proofErr w:type="spellEnd"/>
      <w:r>
        <w:t xml:space="preserve">, M., &amp; </w:t>
      </w:r>
      <w:proofErr w:type="spellStart"/>
      <w:r>
        <w:t>Stjepandić</w:t>
      </w:r>
      <w:proofErr w:type="spellEnd"/>
      <w:r>
        <w:t xml:space="preserve">, J. (2018). Editorial to the special issue “Transdisciplinary analytics in supply chain management”. </w:t>
      </w:r>
      <w:r>
        <w:rPr>
          <w:i/>
        </w:rPr>
        <w:t>Journal of Management Analytics, 5</w:t>
      </w:r>
      <w:r>
        <w:t xml:space="preserve">(2), 75-80. </w:t>
      </w:r>
      <w:hyperlink r:id="rId40">
        <w:r>
          <w:t>https://doi.org/10.1080/23270012.2018.1443405</w:t>
        </w:r>
      </w:hyperlink>
    </w:p>
    <w:p w14:paraId="79752DF3" w14:textId="77777777" w:rsidR="003325E7" w:rsidRDefault="001D022A">
      <w:pPr>
        <w:numPr>
          <w:ilvl w:val="0"/>
          <w:numId w:val="1"/>
        </w:numPr>
        <w:rPr>
          <w:rFonts w:ascii="Arial" w:eastAsia="Arial" w:hAnsi="Arial" w:cs="Arial"/>
          <w:color w:val="222222"/>
          <w:sz w:val="20"/>
          <w:szCs w:val="20"/>
          <w:highlight w:val="white"/>
        </w:rPr>
      </w:pPr>
      <w:proofErr w:type="spellStart"/>
      <w:r>
        <w:t>Peruzzini</w:t>
      </w:r>
      <w:proofErr w:type="spellEnd"/>
      <w:r>
        <w:t xml:space="preserve">, M., </w:t>
      </w:r>
      <w:proofErr w:type="spellStart"/>
      <w:r>
        <w:t>Wognum</w:t>
      </w:r>
      <w:proofErr w:type="spellEnd"/>
      <w:r>
        <w:t xml:space="preserve">, N., </w:t>
      </w:r>
      <w:proofErr w:type="spellStart"/>
      <w:r>
        <w:t>Bil</w:t>
      </w:r>
      <w:proofErr w:type="spellEnd"/>
      <w:r>
        <w:t xml:space="preserve">, C., &amp; </w:t>
      </w:r>
      <w:proofErr w:type="spellStart"/>
      <w:r>
        <w:t>Stjepandic</w:t>
      </w:r>
      <w:proofErr w:type="spellEnd"/>
      <w:r>
        <w:t xml:space="preserve">, J. (2020). Special issue on ‘transdisciplinary approaches to digital manufacturing for industry 4.0’. </w:t>
      </w:r>
      <w:r>
        <w:rPr>
          <w:i/>
        </w:rPr>
        <w:lastRenderedPageBreak/>
        <w:t>International Journal of Computer Integrated Manufacturing, 33</w:t>
      </w:r>
      <w:r>
        <w:t xml:space="preserve">(4), 321-324. </w:t>
      </w:r>
      <w:hyperlink r:id="rId41">
        <w:r>
          <w:t>https://doi.org/10.1080/0951192X.2020.1752071</w:t>
        </w:r>
      </w:hyperlink>
    </w:p>
    <w:p w14:paraId="1F70B8B1" w14:textId="77777777" w:rsidR="003325E7" w:rsidRDefault="001D022A">
      <w:pPr>
        <w:numPr>
          <w:ilvl w:val="0"/>
          <w:numId w:val="1"/>
        </w:numPr>
      </w:pPr>
      <w:proofErr w:type="spellStart"/>
      <w:r w:rsidRPr="00AD4341">
        <w:rPr>
          <w:lang w:val="it-IT"/>
        </w:rPr>
        <w:t>Piatanesi</w:t>
      </w:r>
      <w:proofErr w:type="spellEnd"/>
      <w:r w:rsidRPr="00AD4341">
        <w:rPr>
          <w:lang w:val="it-IT"/>
        </w:rPr>
        <w:t xml:space="preserve">, B., &amp; </w:t>
      </w:r>
      <w:proofErr w:type="spellStart"/>
      <w:r w:rsidRPr="00AD4341">
        <w:rPr>
          <w:lang w:val="it-IT"/>
        </w:rPr>
        <w:t>Arauzo‐Carod</w:t>
      </w:r>
      <w:proofErr w:type="spellEnd"/>
      <w:r w:rsidRPr="00AD4341">
        <w:rPr>
          <w:lang w:val="it-IT"/>
        </w:rPr>
        <w:t xml:space="preserve">, J. M. (2019). </w:t>
      </w:r>
      <w:proofErr w:type="spellStart"/>
      <w:r>
        <w:t>Backshoring</w:t>
      </w:r>
      <w:proofErr w:type="spellEnd"/>
      <w:r>
        <w:t xml:space="preserve"> and nearshoring: An overview. </w:t>
      </w:r>
      <w:r>
        <w:rPr>
          <w:i/>
        </w:rPr>
        <w:t>Growth and Change, 50</w:t>
      </w:r>
      <w:r>
        <w:t xml:space="preserve">(3), 806-823. </w:t>
      </w:r>
      <w:hyperlink r:id="rId42">
        <w:r>
          <w:t>https://doi.org/10.1111/grow.12316</w:t>
        </w:r>
      </w:hyperlink>
    </w:p>
    <w:p w14:paraId="426A2A0E" w14:textId="77777777" w:rsidR="003325E7" w:rsidRDefault="001D022A">
      <w:pPr>
        <w:numPr>
          <w:ilvl w:val="0"/>
          <w:numId w:val="1"/>
        </w:numPr>
      </w:pPr>
      <w:r w:rsidRPr="001525E9">
        <w:rPr>
          <w:lang w:val="it-IT"/>
        </w:rPr>
        <w:t>Ros-</w:t>
      </w:r>
      <w:proofErr w:type="spellStart"/>
      <w:r w:rsidRPr="001525E9">
        <w:rPr>
          <w:lang w:val="it-IT"/>
        </w:rPr>
        <w:t>Dosdá</w:t>
      </w:r>
      <w:proofErr w:type="spellEnd"/>
      <w:r w:rsidRPr="001525E9">
        <w:rPr>
          <w:lang w:val="it-IT"/>
        </w:rPr>
        <w:t xml:space="preserve">, T., </w:t>
      </w:r>
      <w:proofErr w:type="spellStart"/>
      <w:r w:rsidRPr="001525E9">
        <w:rPr>
          <w:lang w:val="it-IT"/>
        </w:rPr>
        <w:t>Fullana</w:t>
      </w:r>
      <w:proofErr w:type="spellEnd"/>
      <w:r w:rsidRPr="001525E9">
        <w:rPr>
          <w:lang w:val="it-IT"/>
        </w:rPr>
        <w:t xml:space="preserve">-i-Palmer, P., Mezquita, A., Masoni, P., &amp; </w:t>
      </w:r>
      <w:proofErr w:type="spellStart"/>
      <w:r w:rsidRPr="001525E9">
        <w:rPr>
          <w:lang w:val="it-IT"/>
        </w:rPr>
        <w:t>Monfort</w:t>
      </w:r>
      <w:proofErr w:type="spellEnd"/>
      <w:r w:rsidRPr="001525E9">
        <w:rPr>
          <w:lang w:val="it-IT"/>
        </w:rPr>
        <w:t xml:space="preserve">, E. (2018). </w:t>
      </w:r>
      <w:r>
        <w:t xml:space="preserve">How can the European ceramic tile industry meet the EU's low-carbon targets? A life cycle perspective. </w:t>
      </w:r>
      <w:r>
        <w:rPr>
          <w:i/>
        </w:rPr>
        <w:t>Journal of Cleaner Production, 199</w:t>
      </w:r>
      <w:r>
        <w:t xml:space="preserve">, 554-564. </w:t>
      </w:r>
      <w:hyperlink r:id="rId43">
        <w:r>
          <w:t>https://doi.org/10.1016/j.jclepro.2018.07.176</w:t>
        </w:r>
      </w:hyperlink>
    </w:p>
    <w:p w14:paraId="7DDC270F" w14:textId="77777777" w:rsidR="003325E7" w:rsidRDefault="001D022A">
      <w:pPr>
        <w:numPr>
          <w:ilvl w:val="0"/>
          <w:numId w:val="1"/>
        </w:numPr>
      </w:pPr>
      <w:proofErr w:type="spellStart"/>
      <w:r>
        <w:t>Saracevic</w:t>
      </w:r>
      <w:proofErr w:type="spellEnd"/>
      <w:r>
        <w:t xml:space="preserve">, E., Koch, D., </w:t>
      </w:r>
      <w:proofErr w:type="spellStart"/>
      <w:r>
        <w:t>Stuermer</w:t>
      </w:r>
      <w:proofErr w:type="spellEnd"/>
      <w:r>
        <w:t xml:space="preserve">, B., </w:t>
      </w:r>
      <w:proofErr w:type="spellStart"/>
      <w:r>
        <w:t>Mihalyi</w:t>
      </w:r>
      <w:proofErr w:type="spellEnd"/>
      <w:r>
        <w:t xml:space="preserve">, B., </w:t>
      </w:r>
      <w:proofErr w:type="spellStart"/>
      <w:r>
        <w:t>Miltner</w:t>
      </w:r>
      <w:proofErr w:type="spellEnd"/>
      <w:r>
        <w:t xml:space="preserve">, A., &amp; </w:t>
      </w:r>
      <w:proofErr w:type="spellStart"/>
      <w:r>
        <w:t>Friedl</w:t>
      </w:r>
      <w:proofErr w:type="spellEnd"/>
      <w:r>
        <w:t xml:space="preserve">, A. (2019). Economic and global warming potential assessment of flexible power generation with biogas plants. </w:t>
      </w:r>
      <w:r>
        <w:rPr>
          <w:i/>
        </w:rPr>
        <w:t>Sustainability, 11</w:t>
      </w:r>
      <w:r>
        <w:t xml:space="preserve">(9), 2530. </w:t>
      </w:r>
      <w:hyperlink r:id="rId44">
        <w:r>
          <w:t>https://doi.org/10.3390/su11092530</w:t>
        </w:r>
      </w:hyperlink>
    </w:p>
    <w:p w14:paraId="01D371B3" w14:textId="77777777" w:rsidR="003325E7" w:rsidRDefault="001D022A">
      <w:pPr>
        <w:numPr>
          <w:ilvl w:val="0"/>
          <w:numId w:val="1"/>
        </w:numPr>
      </w:pPr>
      <w:r w:rsidRPr="00AD4341">
        <w:rPr>
          <w:lang w:val="it-IT"/>
        </w:rPr>
        <w:t xml:space="preserve">Settembre Blundo, D. S., Politi, A. L. M., del Hoyo, A. P. F., &amp; Muiña, F. E. G. (2019). </w:t>
      </w:r>
      <w:r>
        <w:t xml:space="preserve">The Gadamerian hermeneutics for a </w:t>
      </w:r>
      <w:proofErr w:type="spellStart"/>
      <w:r>
        <w:t>mesoeconomic</w:t>
      </w:r>
      <w:proofErr w:type="spellEnd"/>
      <w:r>
        <w:t xml:space="preserve"> analysis of Cultural Heritage.</w:t>
      </w:r>
      <w:r>
        <w:rPr>
          <w:i/>
        </w:rPr>
        <w:t xml:space="preserve"> Journal of Cultural Heritage Management and Sustainable Development, 9</w:t>
      </w:r>
      <w:r>
        <w:t xml:space="preserve">(3), 300-333. </w:t>
      </w:r>
      <w:hyperlink r:id="rId45">
        <w:r>
          <w:t>https://doi.org/10.1108/JCHMSD-09-2017-0060</w:t>
        </w:r>
      </w:hyperlink>
    </w:p>
    <w:p w14:paraId="27BD8E43" w14:textId="77777777" w:rsidR="003325E7" w:rsidRDefault="001D022A">
      <w:pPr>
        <w:numPr>
          <w:ilvl w:val="0"/>
          <w:numId w:val="1"/>
        </w:numPr>
      </w:pPr>
      <w:r w:rsidRPr="00AD4341">
        <w:rPr>
          <w:lang w:val="it-IT"/>
        </w:rPr>
        <w:t xml:space="preserve">Vacchi, M., Siligardi, C., </w:t>
      </w:r>
      <w:proofErr w:type="spellStart"/>
      <w:r w:rsidRPr="00AD4341">
        <w:rPr>
          <w:lang w:val="it-IT"/>
        </w:rPr>
        <w:t>Cedillo</w:t>
      </w:r>
      <w:proofErr w:type="spellEnd"/>
      <w:r w:rsidRPr="00AD4341">
        <w:rPr>
          <w:lang w:val="it-IT"/>
        </w:rPr>
        <w:t xml:space="preserve">-González, E. I., Ferrari, A. M., &amp; Settembre-Blundo, D. (2021). </w:t>
      </w:r>
      <w:r>
        <w:t xml:space="preserve">Industry 4.0 and smart data as enablers of the circular economy in manufacturing: Product re-engineering with circular eco-design. </w:t>
      </w:r>
      <w:r>
        <w:rPr>
          <w:i/>
        </w:rPr>
        <w:t>Sustainability, 13</w:t>
      </w:r>
      <w:r>
        <w:t xml:space="preserve">(18), 10366. </w:t>
      </w:r>
      <w:hyperlink r:id="rId46">
        <w:r>
          <w:t>https://doi.org/10.3390/su131810366</w:t>
        </w:r>
      </w:hyperlink>
    </w:p>
    <w:p w14:paraId="2E075697" w14:textId="77777777" w:rsidR="003325E7" w:rsidRDefault="001D022A">
      <w:pPr>
        <w:numPr>
          <w:ilvl w:val="0"/>
          <w:numId w:val="1"/>
        </w:numPr>
      </w:pPr>
      <w:r w:rsidRPr="00AD4341">
        <w:rPr>
          <w:lang w:val="es-ES"/>
        </w:rPr>
        <w:t xml:space="preserve">van Hoek, R., &amp; Dobrzykowski, D. (2021). </w:t>
      </w:r>
      <w:r>
        <w:t xml:space="preserve">Towards more balanced sourcing strategies–are supply chain risks caused by the COVID-19 pandemic driving reshoring </w:t>
      </w:r>
      <w:proofErr w:type="gramStart"/>
      <w:r>
        <w:t>considerations?.</w:t>
      </w:r>
      <w:proofErr w:type="gramEnd"/>
      <w:r>
        <w:t xml:space="preserve"> </w:t>
      </w:r>
      <w:r>
        <w:rPr>
          <w:i/>
        </w:rPr>
        <w:t>Supply Chain Management: An International Journal</w:t>
      </w:r>
      <w:r>
        <w:t xml:space="preserve">. </w:t>
      </w:r>
      <w:hyperlink r:id="rId47">
        <w:r>
          <w:t>https://doi.org/10.1108/SCM-09-2020-0498</w:t>
        </w:r>
      </w:hyperlink>
    </w:p>
    <w:p w14:paraId="6A91BCD0" w14:textId="77777777" w:rsidR="003325E7" w:rsidRDefault="001D022A">
      <w:pPr>
        <w:numPr>
          <w:ilvl w:val="0"/>
          <w:numId w:val="1"/>
        </w:numPr>
      </w:pPr>
      <w:r w:rsidRPr="00AD4341">
        <w:rPr>
          <w:lang w:val="es-ES"/>
        </w:rPr>
        <w:t xml:space="preserve">van Hoek, R., &amp; Dobrzykowski, D. (2021). </w:t>
      </w:r>
      <w:r>
        <w:t xml:space="preserve">Towards more balanced sourcing strategies–are supply chain risks caused by the COVID-19 pandemic driving reshoring </w:t>
      </w:r>
      <w:proofErr w:type="gramStart"/>
      <w:r>
        <w:t>considerations?.</w:t>
      </w:r>
      <w:proofErr w:type="gramEnd"/>
      <w:r>
        <w:t xml:space="preserve"> </w:t>
      </w:r>
      <w:r>
        <w:rPr>
          <w:i/>
        </w:rPr>
        <w:t>Supply Chain Management: An International Journal 26</w:t>
      </w:r>
      <w:r>
        <w:t xml:space="preserve">(6), 689-701. </w:t>
      </w:r>
      <w:hyperlink r:id="rId48">
        <w:r>
          <w:t>https://doi.org/10.1108/SCM-09-2020-0498</w:t>
        </w:r>
      </w:hyperlink>
    </w:p>
    <w:p w14:paraId="74056F38" w14:textId="77777777" w:rsidR="003325E7" w:rsidRDefault="001D022A">
      <w:pPr>
        <w:numPr>
          <w:ilvl w:val="0"/>
          <w:numId w:val="1"/>
        </w:numPr>
      </w:pPr>
      <w:r w:rsidRPr="00AD4341">
        <w:rPr>
          <w:lang w:val="es-ES"/>
        </w:rPr>
        <w:t xml:space="preserve">Vázquez, M., &amp; Jiménez-Millán, J. (2004). </w:t>
      </w:r>
      <w:r>
        <w:t xml:space="preserve">Clay raw materials from the Triassic Red Beds (Northern Jaen, Spain) for making ceramic construction materials. </w:t>
      </w:r>
      <w:proofErr w:type="spellStart"/>
      <w:r>
        <w:rPr>
          <w:i/>
        </w:rPr>
        <w:t>Materiales</w:t>
      </w:r>
      <w:proofErr w:type="spellEnd"/>
      <w:r>
        <w:rPr>
          <w:i/>
        </w:rPr>
        <w:t xml:space="preserve"> de </w:t>
      </w:r>
      <w:proofErr w:type="spellStart"/>
      <w:r>
        <w:rPr>
          <w:i/>
        </w:rPr>
        <w:t>Construcción</w:t>
      </w:r>
      <w:proofErr w:type="spellEnd"/>
      <w:r>
        <w:rPr>
          <w:i/>
        </w:rPr>
        <w:t>, 54</w:t>
      </w:r>
      <w:r>
        <w:t xml:space="preserve">(273), 5-20. </w:t>
      </w:r>
      <w:hyperlink r:id="rId49">
        <w:r>
          <w:t>https://doi.org/10.3989/mc.2004.v54.i273.219</w:t>
        </w:r>
      </w:hyperlink>
    </w:p>
    <w:p w14:paraId="0F88BA9F" w14:textId="77777777" w:rsidR="003325E7" w:rsidRDefault="001D022A">
      <w:pPr>
        <w:numPr>
          <w:ilvl w:val="0"/>
          <w:numId w:val="1"/>
        </w:numPr>
        <w:rPr>
          <w:rFonts w:ascii="Arial" w:eastAsia="Arial" w:hAnsi="Arial" w:cs="Arial"/>
          <w:color w:val="222222"/>
          <w:sz w:val="20"/>
          <w:szCs w:val="20"/>
          <w:highlight w:val="white"/>
        </w:rPr>
      </w:pPr>
      <w:r>
        <w:lastRenderedPageBreak/>
        <w:t xml:space="preserve">Xu, L. D. (2020). The contribution of systems science to industry 4.0. Systems Research and Behavioral Science, 37(4), 618-631. </w:t>
      </w:r>
      <w:hyperlink r:id="rId50">
        <w:r>
          <w:t>https://doi.org/10.1002/sres.2705</w:t>
        </w:r>
      </w:hyperlink>
    </w:p>
    <w:p w14:paraId="0B6C223B" w14:textId="77777777" w:rsidR="003325E7" w:rsidRDefault="001D022A">
      <w:pPr>
        <w:numPr>
          <w:ilvl w:val="0"/>
          <w:numId w:val="1"/>
        </w:numPr>
      </w:pPr>
      <w:r>
        <w:t xml:space="preserve">Zucchella, A., &amp; </w:t>
      </w:r>
      <w:proofErr w:type="spellStart"/>
      <w:r>
        <w:t>Previtali</w:t>
      </w:r>
      <w:proofErr w:type="spellEnd"/>
      <w:r>
        <w:t xml:space="preserve">, P. (2019). Circular business models for sustainable development: A “waste is food” restorative ecosystem. </w:t>
      </w:r>
      <w:r>
        <w:rPr>
          <w:i/>
        </w:rPr>
        <w:t>Business Strategy and the Environment, 28</w:t>
      </w:r>
      <w:r>
        <w:t xml:space="preserve">(2), 274-285. </w:t>
      </w:r>
      <w:r>
        <w:rPr>
          <w:rFonts w:ascii="Arial" w:eastAsia="Arial" w:hAnsi="Arial" w:cs="Arial"/>
          <w:color w:val="767676"/>
          <w:sz w:val="21"/>
          <w:szCs w:val="21"/>
          <w:highlight w:val="white"/>
        </w:rPr>
        <w:t xml:space="preserve"> </w:t>
      </w:r>
      <w:hyperlink r:id="rId51">
        <w:r>
          <w:t>https://doi.org/10.1002/bse.2216</w:t>
        </w:r>
      </w:hyperlink>
    </w:p>
    <w:p w14:paraId="4E69FB50" w14:textId="77777777" w:rsidR="003325E7" w:rsidRDefault="003325E7"/>
    <w:p w14:paraId="52DB09A6" w14:textId="77777777" w:rsidR="003325E7" w:rsidRDefault="003325E7">
      <w:pPr>
        <w:pBdr>
          <w:top w:val="nil"/>
          <w:left w:val="nil"/>
          <w:bottom w:val="nil"/>
          <w:right w:val="nil"/>
          <w:between w:val="nil"/>
        </w:pBdr>
        <w:spacing w:before="120" w:after="120" w:line="276" w:lineRule="auto"/>
        <w:ind w:firstLine="302"/>
        <w:rPr>
          <w:color w:val="000000"/>
        </w:rPr>
      </w:pPr>
    </w:p>
    <w:p w14:paraId="380DFA20" w14:textId="77777777" w:rsidR="003325E7" w:rsidRDefault="003325E7">
      <w:pPr>
        <w:pBdr>
          <w:top w:val="nil"/>
          <w:left w:val="nil"/>
          <w:bottom w:val="nil"/>
          <w:right w:val="nil"/>
          <w:between w:val="nil"/>
        </w:pBdr>
        <w:tabs>
          <w:tab w:val="left" w:pos="346"/>
        </w:tabs>
        <w:spacing w:line="276" w:lineRule="auto"/>
        <w:ind w:left="403" w:hanging="115"/>
        <w:rPr>
          <w:color w:val="000000"/>
          <w:sz w:val="18"/>
          <w:szCs w:val="18"/>
        </w:rPr>
      </w:pPr>
    </w:p>
    <w:sectPr w:rsidR="003325E7">
      <w:headerReference w:type="even" r:id="rId52"/>
      <w:headerReference w:type="default" r:id="rId53"/>
      <w:headerReference w:type="first" r:id="rId54"/>
      <w:footerReference w:type="first" r:id="rId55"/>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147D" w14:textId="77777777" w:rsidR="00F3563F" w:rsidRDefault="00F3563F">
      <w:pPr>
        <w:spacing w:line="240" w:lineRule="auto"/>
      </w:pPr>
      <w:r>
        <w:separator/>
      </w:r>
    </w:p>
  </w:endnote>
  <w:endnote w:type="continuationSeparator" w:id="0">
    <w:p w14:paraId="49AC74D0" w14:textId="77777777" w:rsidR="00F3563F" w:rsidRDefault="00F35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272" w14:textId="77777777" w:rsidR="003325E7" w:rsidRDefault="001D022A">
    <w:pPr>
      <w:jc w:val="center"/>
      <w:rPr>
        <w:sz w:val="18"/>
        <w:szCs w:val="18"/>
      </w:rPr>
    </w:pPr>
    <w:r>
      <w:rPr>
        <w:sz w:val="18"/>
        <w:szCs w:val="18"/>
      </w:rPr>
      <w:fldChar w:fldCharType="begin"/>
    </w:r>
    <w:r>
      <w:rPr>
        <w:sz w:val="18"/>
        <w:szCs w:val="18"/>
      </w:rPr>
      <w:instrText>PAGE</w:instrText>
    </w:r>
    <w:r>
      <w:rPr>
        <w:sz w:val="18"/>
        <w:szCs w:val="18"/>
      </w:rPr>
      <w:fldChar w:fldCharType="separate"/>
    </w:r>
    <w:r w:rsidR="00AD4341">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9129" w14:textId="77777777" w:rsidR="00F3563F" w:rsidRDefault="00F3563F">
      <w:pPr>
        <w:spacing w:line="240" w:lineRule="auto"/>
      </w:pPr>
      <w:r>
        <w:separator/>
      </w:r>
    </w:p>
  </w:footnote>
  <w:footnote w:type="continuationSeparator" w:id="0">
    <w:p w14:paraId="6C4FCB2D" w14:textId="77777777" w:rsidR="00F3563F" w:rsidRDefault="00F356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A3CC" w14:textId="77777777" w:rsidR="003325E7" w:rsidRDefault="001D022A">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6F2683CA" wp14:editId="339ABE2A">
              <wp:simplePos x="0" y="0"/>
              <wp:positionH relativeFrom="page">
                <wp:align>center</wp:align>
              </wp:positionH>
              <wp:positionV relativeFrom="page">
                <wp:align>center</wp:align>
              </wp:positionV>
              <wp:extent cx="6939915" cy="9613265"/>
              <wp:effectExtent l="0" t="0" r="0" b="0"/>
              <wp:wrapNone/>
              <wp:docPr id="5" name="Gruppo 5"/>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45" name="Gruppo 45"/>
                      <wpg:cNvGrpSpPr/>
                      <wpg:grpSpPr>
                        <a:xfrm>
                          <a:off x="1876043" y="-250"/>
                          <a:ext cx="6939922" cy="7560499"/>
                          <a:chOff x="1876043" y="-500"/>
                          <a:chExt cx="6939916" cy="7560998"/>
                        </a:xfrm>
                      </wpg:grpSpPr>
                      <wps:wsp>
                        <wps:cNvPr id="46" name="Rettangolo 46"/>
                        <wps:cNvSpPr/>
                        <wps:spPr>
                          <a:xfrm>
                            <a:off x="1876043" y="-250"/>
                            <a:ext cx="6939900" cy="7560475"/>
                          </a:xfrm>
                          <a:prstGeom prst="rect">
                            <a:avLst/>
                          </a:prstGeom>
                          <a:noFill/>
                          <a:ln>
                            <a:noFill/>
                          </a:ln>
                        </wps:spPr>
                        <wps:txbx>
                          <w:txbxContent>
                            <w:p w14:paraId="7658BDD8" w14:textId="77777777" w:rsidR="003325E7" w:rsidRDefault="003325E7">
                              <w:pPr>
                                <w:spacing w:line="240" w:lineRule="auto"/>
                                <w:jc w:val="left"/>
                                <w:textDirection w:val="btLr"/>
                              </w:pPr>
                            </w:p>
                          </w:txbxContent>
                        </wps:txbx>
                        <wps:bodyPr spcFirstLastPara="1" wrap="square" lIns="91425" tIns="91425" rIns="91425" bIns="91425" anchor="ctr" anchorCtr="0">
                          <a:noAutofit/>
                        </wps:bodyPr>
                      </wps:wsp>
                      <wpg:grpSp>
                        <wpg:cNvPr id="47" name="Gruppo 47"/>
                        <wpg:cNvGrpSpPr/>
                        <wpg:grpSpPr>
                          <a:xfrm>
                            <a:off x="1876043" y="-500"/>
                            <a:ext cx="6939916" cy="7560998"/>
                            <a:chOff x="0" y="-634"/>
                            <a:chExt cx="6940007" cy="9614352"/>
                          </a:xfrm>
                        </wpg:grpSpPr>
                        <wps:wsp>
                          <wps:cNvPr id="48" name="Rettangolo 48"/>
                          <wps:cNvSpPr/>
                          <wps:spPr>
                            <a:xfrm>
                              <a:off x="0" y="0"/>
                              <a:ext cx="6940000" cy="9613075"/>
                            </a:xfrm>
                            <a:prstGeom prst="rect">
                              <a:avLst/>
                            </a:prstGeom>
                            <a:noFill/>
                            <a:ln>
                              <a:noFill/>
                            </a:ln>
                          </wps:spPr>
                          <wps:txbx>
                            <w:txbxContent>
                              <w:p w14:paraId="25614A8C" w14:textId="77777777" w:rsidR="003325E7" w:rsidRDefault="003325E7">
                                <w:pPr>
                                  <w:spacing w:line="240" w:lineRule="auto"/>
                                  <w:jc w:val="left"/>
                                  <w:textDirection w:val="btLr"/>
                                </w:pPr>
                              </w:p>
                            </w:txbxContent>
                          </wps:txbx>
                          <wps:bodyPr spcFirstLastPara="1" wrap="square" lIns="91425" tIns="91425" rIns="91425" bIns="91425" anchor="ctr" anchorCtr="0">
                            <a:noAutofit/>
                          </wps:bodyPr>
                        </wps:wsp>
                        <wpg:grpSp>
                          <wpg:cNvPr id="49" name="Gruppo 49"/>
                          <wpg:cNvGrpSpPr/>
                          <wpg:grpSpPr>
                            <a:xfrm>
                              <a:off x="636" y="-634"/>
                              <a:ext cx="6928773" cy="415779"/>
                              <a:chOff x="496" y="843"/>
                              <a:chExt cx="10909" cy="655"/>
                            </a:xfrm>
                          </wpg:grpSpPr>
                          <wpg:grpSp>
                            <wpg:cNvPr id="50" name="Gruppo 50"/>
                            <wpg:cNvGrpSpPr/>
                            <wpg:grpSpPr>
                              <a:xfrm>
                                <a:off x="10767" y="845"/>
                                <a:ext cx="639" cy="653"/>
                                <a:chOff x="10778" y="845"/>
                                <a:chExt cx="639" cy="653"/>
                              </a:xfrm>
                            </wpg:grpSpPr>
                            <wps:wsp>
                              <wps:cNvPr id="51" name="Connettore 2 51"/>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2" name="Connettore 2 52"/>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53" name="Gruppo 53"/>
                            <wpg:cNvGrpSpPr/>
                            <wpg:grpSpPr>
                              <a:xfrm flipH="1">
                                <a:off x="496" y="843"/>
                                <a:ext cx="639" cy="653"/>
                                <a:chOff x="10778" y="845"/>
                                <a:chExt cx="639" cy="653"/>
                              </a:xfrm>
                            </wpg:grpSpPr>
                            <wps:wsp>
                              <wps:cNvPr id="54" name="Connettore 2 5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5" name="Connettore 2 5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56" name="Gruppo 56"/>
                          <wpg:cNvGrpSpPr/>
                          <wpg:grpSpPr>
                            <a:xfrm rot="10800000" flipH="1">
                              <a:off x="11522" y="9198429"/>
                              <a:ext cx="6928485" cy="415289"/>
                              <a:chOff x="496" y="843"/>
                              <a:chExt cx="10909" cy="655"/>
                            </a:xfrm>
                          </wpg:grpSpPr>
                          <wpg:grpSp>
                            <wpg:cNvPr id="57" name="Gruppo 57"/>
                            <wpg:cNvGrpSpPr/>
                            <wpg:grpSpPr>
                              <a:xfrm>
                                <a:off x="10767" y="845"/>
                                <a:ext cx="639" cy="653"/>
                                <a:chOff x="10778" y="845"/>
                                <a:chExt cx="639" cy="653"/>
                              </a:xfrm>
                            </wpg:grpSpPr>
                            <wps:wsp>
                              <wps:cNvPr id="58" name="Connettore 2 58"/>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59" name="Connettore 2 59"/>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60" name="Gruppo 60"/>
                            <wpg:cNvGrpSpPr/>
                            <wpg:grpSpPr>
                              <a:xfrm flipH="1">
                                <a:off x="496" y="843"/>
                                <a:ext cx="639" cy="653"/>
                                <a:chOff x="10778" y="845"/>
                                <a:chExt cx="639" cy="653"/>
                              </a:xfrm>
                            </wpg:grpSpPr>
                            <wps:wsp>
                              <wps:cNvPr id="61" name="Connettore 2 61"/>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62" name="Connettore 2 62"/>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AD4341">
      <w:rPr>
        <w:noProof/>
        <w:color w:val="000000"/>
        <w:sz w:val="18"/>
        <w:szCs w:val="18"/>
      </w:rPr>
      <w:t>2</w:t>
    </w:r>
    <w:r>
      <w:rPr>
        <w:color w:val="000000"/>
        <w:sz w:val="18"/>
        <w:szCs w:val="18"/>
      </w:rPr>
      <w:fldChar w:fldCharType="end"/>
    </w:r>
    <w:r>
      <w:rPr>
        <w:color w:val="000000"/>
        <w:sz w:val="18"/>
        <w:szCs w:val="18"/>
      </w:rPr>
      <w:tab/>
    </w:r>
    <w:r>
      <w:rPr>
        <w:i/>
        <w:color w:val="000000"/>
        <w:sz w:val="18"/>
        <w:szCs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B275" w14:textId="77777777" w:rsidR="003325E7" w:rsidRDefault="001D022A">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r>
      <w:rPr>
        <w:noProof/>
        <w:color w:val="000000"/>
        <w:sz w:val="20"/>
        <w:szCs w:val="20"/>
      </w:rPr>
      <mc:AlternateContent>
        <mc:Choice Requires="wpg">
          <w:drawing>
            <wp:anchor distT="0" distB="0" distL="114300" distR="114300" simplePos="0" relativeHeight="251658240" behindDoc="0" locked="0" layoutInCell="1" hidden="0" allowOverlap="1" wp14:anchorId="527E2CBF" wp14:editId="4D876CE8">
              <wp:simplePos x="0" y="0"/>
              <wp:positionH relativeFrom="page">
                <wp:align>center</wp:align>
              </wp:positionH>
              <wp:positionV relativeFrom="page">
                <wp:align>center</wp:align>
              </wp:positionV>
              <wp:extent cx="6939915" cy="9613265"/>
              <wp:effectExtent l="0" t="0" r="0" b="0"/>
              <wp:wrapNone/>
              <wp:docPr id="1" name="Gruppo 1"/>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3" name="Gruppo 3"/>
                      <wpg:cNvGrpSpPr/>
                      <wpg:grpSpPr>
                        <a:xfrm>
                          <a:off x="1876043" y="-250"/>
                          <a:ext cx="6939922" cy="7560499"/>
                          <a:chOff x="1876043" y="-500"/>
                          <a:chExt cx="6939916" cy="7560998"/>
                        </a:xfrm>
                      </wpg:grpSpPr>
                      <wps:wsp>
                        <wps:cNvPr id="9" name="Rettangolo 9"/>
                        <wps:cNvSpPr/>
                        <wps:spPr>
                          <a:xfrm>
                            <a:off x="1876043" y="-250"/>
                            <a:ext cx="6939900" cy="7560475"/>
                          </a:xfrm>
                          <a:prstGeom prst="rect">
                            <a:avLst/>
                          </a:prstGeom>
                          <a:noFill/>
                          <a:ln>
                            <a:noFill/>
                          </a:ln>
                        </wps:spPr>
                        <wps:txbx>
                          <w:txbxContent>
                            <w:p w14:paraId="161F0F3B" w14:textId="77777777" w:rsidR="003325E7" w:rsidRDefault="003325E7">
                              <w:pPr>
                                <w:spacing w:line="240" w:lineRule="auto"/>
                                <w:jc w:val="left"/>
                                <w:textDirection w:val="btLr"/>
                              </w:pPr>
                            </w:p>
                          </w:txbxContent>
                        </wps:txbx>
                        <wps:bodyPr spcFirstLastPara="1" wrap="square" lIns="91425" tIns="91425" rIns="91425" bIns="91425" anchor="ctr" anchorCtr="0">
                          <a:noAutofit/>
                        </wps:bodyPr>
                      </wps:wsp>
                      <wpg:grpSp>
                        <wpg:cNvPr id="10" name="Gruppo 10"/>
                        <wpg:cNvGrpSpPr/>
                        <wpg:grpSpPr>
                          <a:xfrm>
                            <a:off x="1876043" y="-500"/>
                            <a:ext cx="6939916" cy="7560998"/>
                            <a:chOff x="0" y="-634"/>
                            <a:chExt cx="6940007" cy="9614352"/>
                          </a:xfrm>
                        </wpg:grpSpPr>
                        <wps:wsp>
                          <wps:cNvPr id="11" name="Rettangolo 11"/>
                          <wps:cNvSpPr/>
                          <wps:spPr>
                            <a:xfrm>
                              <a:off x="0" y="0"/>
                              <a:ext cx="6940000" cy="9613075"/>
                            </a:xfrm>
                            <a:prstGeom prst="rect">
                              <a:avLst/>
                            </a:prstGeom>
                            <a:noFill/>
                            <a:ln>
                              <a:noFill/>
                            </a:ln>
                          </wps:spPr>
                          <wps:txbx>
                            <w:txbxContent>
                              <w:p w14:paraId="20F1F0F5" w14:textId="77777777" w:rsidR="003325E7" w:rsidRDefault="003325E7">
                                <w:pPr>
                                  <w:spacing w:line="240" w:lineRule="auto"/>
                                  <w:jc w:val="left"/>
                                  <w:textDirection w:val="btLr"/>
                                </w:pPr>
                              </w:p>
                            </w:txbxContent>
                          </wps:txbx>
                          <wps:bodyPr spcFirstLastPara="1" wrap="square" lIns="91425" tIns="91425" rIns="91425" bIns="91425" anchor="ctr" anchorCtr="0">
                            <a:noAutofit/>
                          </wps:bodyPr>
                        </wps:wsp>
                        <wpg:grpSp>
                          <wpg:cNvPr id="12" name="Gruppo 12"/>
                          <wpg:cNvGrpSpPr/>
                          <wpg:grpSpPr>
                            <a:xfrm>
                              <a:off x="636" y="-634"/>
                              <a:ext cx="6928773" cy="415779"/>
                              <a:chOff x="496" y="843"/>
                              <a:chExt cx="10909" cy="655"/>
                            </a:xfrm>
                          </wpg:grpSpPr>
                          <wpg:grpSp>
                            <wpg:cNvPr id="13" name="Gruppo 13"/>
                            <wpg:cNvGrpSpPr/>
                            <wpg:grpSpPr>
                              <a:xfrm>
                                <a:off x="10767" y="845"/>
                                <a:ext cx="639" cy="653"/>
                                <a:chOff x="10778" y="845"/>
                                <a:chExt cx="639" cy="653"/>
                              </a:xfrm>
                            </wpg:grpSpPr>
                            <wps:wsp>
                              <wps:cNvPr id="14" name="Connettore 2 1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5" name="Connettore 2 1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16" name="Gruppo 16"/>
                            <wpg:cNvGrpSpPr/>
                            <wpg:grpSpPr>
                              <a:xfrm flipH="1">
                                <a:off x="496" y="843"/>
                                <a:ext cx="639" cy="653"/>
                                <a:chOff x="10778" y="845"/>
                                <a:chExt cx="639" cy="653"/>
                              </a:xfrm>
                            </wpg:grpSpPr>
                            <wps:wsp>
                              <wps:cNvPr id="17" name="Connettore 2 17"/>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18" name="Connettore 2 18"/>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19" name="Gruppo 19"/>
                          <wpg:cNvGrpSpPr/>
                          <wpg:grpSpPr>
                            <a:xfrm rot="10800000" flipH="1">
                              <a:off x="11522" y="9198429"/>
                              <a:ext cx="6928485" cy="415289"/>
                              <a:chOff x="496" y="843"/>
                              <a:chExt cx="10909" cy="655"/>
                            </a:xfrm>
                          </wpg:grpSpPr>
                          <wpg:grpSp>
                            <wpg:cNvPr id="20" name="Gruppo 20"/>
                            <wpg:cNvGrpSpPr/>
                            <wpg:grpSpPr>
                              <a:xfrm>
                                <a:off x="10767" y="845"/>
                                <a:ext cx="639" cy="653"/>
                                <a:chOff x="10778" y="845"/>
                                <a:chExt cx="639" cy="653"/>
                              </a:xfrm>
                            </wpg:grpSpPr>
                            <wps:wsp>
                              <wps:cNvPr id="21" name="Connettore 2 21"/>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2" name="Connettore 2 22"/>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23" name="Gruppo 23"/>
                            <wpg:cNvGrpSpPr/>
                            <wpg:grpSpPr>
                              <a:xfrm flipH="1">
                                <a:off x="496" y="843"/>
                                <a:ext cx="639" cy="653"/>
                                <a:chOff x="10778" y="845"/>
                                <a:chExt cx="639" cy="653"/>
                              </a:xfrm>
                            </wpg:grpSpPr>
                            <wps:wsp>
                              <wps:cNvPr id="24" name="Connettore 2 24"/>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25" name="Connettore 2 25"/>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r>
      <w:rPr>
        <w:color w:val="000000"/>
        <w:sz w:val="20"/>
        <w:szCs w:val="20"/>
      </w:rPr>
      <w:tab/>
    </w:r>
    <w:r>
      <w:rPr>
        <w:i/>
        <w:color w:val="000000"/>
        <w:sz w:val="18"/>
        <w:szCs w:val="18"/>
      </w:rPr>
      <w:t>Title of the paper</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AD4341">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B7D3" w14:textId="77777777" w:rsidR="003325E7" w:rsidRDefault="001D022A">
    <w:pPr>
      <w:pBdr>
        <w:top w:val="nil"/>
        <w:left w:val="nil"/>
        <w:bottom w:val="nil"/>
        <w:right w:val="nil"/>
        <w:between w:val="nil"/>
      </w:pBdr>
      <w:tabs>
        <w:tab w:val="center" w:pos="4320"/>
        <w:tab w:val="right" w:pos="8640"/>
      </w:tabs>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5F69F219" wp14:editId="7E797F8C">
              <wp:simplePos x="0" y="0"/>
              <wp:positionH relativeFrom="page">
                <wp:align>center</wp:align>
              </wp:positionH>
              <wp:positionV relativeFrom="page">
                <wp:align>center</wp:align>
              </wp:positionV>
              <wp:extent cx="6939915" cy="9613265"/>
              <wp:effectExtent l="0" t="0" r="0" b="0"/>
              <wp:wrapNone/>
              <wp:docPr id="26" name="Gruppo 26"/>
              <wp:cNvGraphicFramePr/>
              <a:graphic xmlns:a="http://schemas.openxmlformats.org/drawingml/2006/main">
                <a:graphicData uri="http://schemas.microsoft.com/office/word/2010/wordprocessingGroup">
                  <wpg:wgp>
                    <wpg:cNvGrpSpPr/>
                    <wpg:grpSpPr>
                      <a:xfrm>
                        <a:off x="0" y="0"/>
                        <a:ext cx="6939915" cy="9613265"/>
                        <a:chOff x="1876043" y="-250"/>
                        <a:chExt cx="6939922" cy="7560499"/>
                      </a:xfrm>
                    </wpg:grpSpPr>
                    <wpg:grpSp>
                      <wpg:cNvPr id="27" name="Gruppo 27"/>
                      <wpg:cNvGrpSpPr/>
                      <wpg:grpSpPr>
                        <a:xfrm>
                          <a:off x="1876043" y="-250"/>
                          <a:ext cx="6939922" cy="7560499"/>
                          <a:chOff x="1876043" y="-500"/>
                          <a:chExt cx="6939916" cy="7560998"/>
                        </a:xfrm>
                      </wpg:grpSpPr>
                      <wps:wsp>
                        <wps:cNvPr id="28" name="Rettangolo 28"/>
                        <wps:cNvSpPr/>
                        <wps:spPr>
                          <a:xfrm>
                            <a:off x="1876043" y="-250"/>
                            <a:ext cx="6939900" cy="7560475"/>
                          </a:xfrm>
                          <a:prstGeom prst="rect">
                            <a:avLst/>
                          </a:prstGeom>
                          <a:noFill/>
                          <a:ln>
                            <a:noFill/>
                          </a:ln>
                        </wps:spPr>
                        <wps:txbx>
                          <w:txbxContent>
                            <w:p w14:paraId="61BA06E6" w14:textId="77777777" w:rsidR="003325E7" w:rsidRDefault="003325E7">
                              <w:pPr>
                                <w:spacing w:line="240" w:lineRule="auto"/>
                                <w:jc w:val="left"/>
                                <w:textDirection w:val="btLr"/>
                              </w:pPr>
                            </w:p>
                          </w:txbxContent>
                        </wps:txbx>
                        <wps:bodyPr spcFirstLastPara="1" wrap="square" lIns="91425" tIns="91425" rIns="91425" bIns="91425" anchor="ctr" anchorCtr="0">
                          <a:noAutofit/>
                        </wps:bodyPr>
                      </wps:wsp>
                      <wpg:grpSp>
                        <wpg:cNvPr id="29" name="Gruppo 29"/>
                        <wpg:cNvGrpSpPr/>
                        <wpg:grpSpPr>
                          <a:xfrm>
                            <a:off x="1876043" y="-500"/>
                            <a:ext cx="6939916" cy="7560998"/>
                            <a:chOff x="0" y="-634"/>
                            <a:chExt cx="6940007" cy="9614352"/>
                          </a:xfrm>
                        </wpg:grpSpPr>
                        <wps:wsp>
                          <wps:cNvPr id="30" name="Rettangolo 30"/>
                          <wps:cNvSpPr/>
                          <wps:spPr>
                            <a:xfrm>
                              <a:off x="0" y="0"/>
                              <a:ext cx="6940000" cy="9613075"/>
                            </a:xfrm>
                            <a:prstGeom prst="rect">
                              <a:avLst/>
                            </a:prstGeom>
                            <a:noFill/>
                            <a:ln>
                              <a:noFill/>
                            </a:ln>
                          </wps:spPr>
                          <wps:txbx>
                            <w:txbxContent>
                              <w:p w14:paraId="11F95BE0" w14:textId="77777777" w:rsidR="003325E7" w:rsidRDefault="003325E7">
                                <w:pPr>
                                  <w:spacing w:line="240" w:lineRule="auto"/>
                                  <w:jc w:val="left"/>
                                  <w:textDirection w:val="btLr"/>
                                </w:pPr>
                              </w:p>
                            </w:txbxContent>
                          </wps:txbx>
                          <wps:bodyPr spcFirstLastPara="1" wrap="square" lIns="91425" tIns="91425" rIns="91425" bIns="91425" anchor="ctr" anchorCtr="0">
                            <a:noAutofit/>
                          </wps:bodyPr>
                        </wps:wsp>
                        <wpg:grpSp>
                          <wpg:cNvPr id="31" name="Gruppo 31"/>
                          <wpg:cNvGrpSpPr/>
                          <wpg:grpSpPr>
                            <a:xfrm>
                              <a:off x="636" y="-634"/>
                              <a:ext cx="6928773" cy="415779"/>
                              <a:chOff x="496" y="843"/>
                              <a:chExt cx="10909" cy="655"/>
                            </a:xfrm>
                          </wpg:grpSpPr>
                          <wpg:grpSp>
                            <wpg:cNvPr id="32" name="Gruppo 32"/>
                            <wpg:cNvGrpSpPr/>
                            <wpg:grpSpPr>
                              <a:xfrm>
                                <a:off x="10767" y="845"/>
                                <a:ext cx="639" cy="653"/>
                                <a:chOff x="10778" y="845"/>
                                <a:chExt cx="639" cy="653"/>
                              </a:xfrm>
                            </wpg:grpSpPr>
                            <wps:wsp>
                              <wps:cNvPr id="33" name="Connettore 2 3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4" name="Connettore 2 3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35" name="Gruppo 35"/>
                            <wpg:cNvGrpSpPr/>
                            <wpg:grpSpPr>
                              <a:xfrm flipH="1">
                                <a:off x="496" y="843"/>
                                <a:ext cx="639" cy="653"/>
                                <a:chOff x="10778" y="845"/>
                                <a:chExt cx="639" cy="653"/>
                              </a:xfrm>
                            </wpg:grpSpPr>
                            <wps:wsp>
                              <wps:cNvPr id="36" name="Connettore 2 36"/>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37" name="Connettore 2 37"/>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cNvPr id="38" name="Gruppo 38"/>
                          <wpg:cNvGrpSpPr/>
                          <wpg:grpSpPr>
                            <a:xfrm rot="10800000" flipH="1">
                              <a:off x="11522" y="9198429"/>
                              <a:ext cx="6928485" cy="415289"/>
                              <a:chOff x="496" y="843"/>
                              <a:chExt cx="10909" cy="655"/>
                            </a:xfrm>
                          </wpg:grpSpPr>
                          <wpg:grpSp>
                            <wpg:cNvPr id="39" name="Gruppo 39"/>
                            <wpg:cNvGrpSpPr/>
                            <wpg:grpSpPr>
                              <a:xfrm>
                                <a:off x="10767" y="845"/>
                                <a:ext cx="639" cy="653"/>
                                <a:chOff x="10778" y="845"/>
                                <a:chExt cx="639" cy="653"/>
                              </a:xfrm>
                            </wpg:grpSpPr>
                            <wps:wsp>
                              <wps:cNvPr id="40" name="Connettore 2 40"/>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1" name="Connettore 2 41"/>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cNvPr id="42" name="Gruppo 42"/>
                            <wpg:cNvGrpSpPr/>
                            <wpg:grpSpPr>
                              <a:xfrm flipH="1">
                                <a:off x="496" y="843"/>
                                <a:ext cx="639" cy="653"/>
                                <a:chOff x="10778" y="845"/>
                                <a:chExt cx="639" cy="653"/>
                              </a:xfrm>
                            </wpg:grpSpPr>
                            <wps:wsp>
                              <wps:cNvPr id="43" name="Connettore 2 43"/>
                              <wps:cNvCnPr/>
                              <wps:spPr>
                                <a:xfrm rot="5400000">
                                  <a:off x="11236" y="1317"/>
                                  <a:ext cx="1" cy="360"/>
                                </a:xfrm>
                                <a:prstGeom prst="straightConnector1">
                                  <a:avLst/>
                                </a:prstGeom>
                                <a:noFill/>
                                <a:ln w="9525" cap="flat" cmpd="sng">
                                  <a:solidFill>
                                    <a:srgbClr val="000000"/>
                                  </a:solidFill>
                                  <a:prstDash val="solid"/>
                                  <a:round/>
                                  <a:headEnd type="none" w="sm" len="sm"/>
                                  <a:tailEnd type="none" w="sm" len="sm"/>
                                </a:ln>
                              </wps:spPr>
                              <wps:bodyPr/>
                            </wps:wsp>
                            <wps:wsp>
                              <wps:cNvPr id="44" name="Connettore 2 44"/>
                              <wps:cNvCnPr/>
                              <wps:spPr>
                                <a:xfrm rot="5400000">
                                  <a:off x="10598" y="1024"/>
                                  <a:ext cx="360" cy="1"/>
                                </a:xfrm>
                                <a:prstGeom prst="straightConnector1">
                                  <a:avLst/>
                                </a:prstGeom>
                                <a:noFill/>
                                <a:ln w="9525" cap="flat" cmpd="sng">
                                  <a:solidFill>
                                    <a:srgbClr val="000000"/>
                                  </a:solidFill>
                                  <a:prstDash val="solid"/>
                                  <a:round/>
                                  <a:headEnd type="none" w="sm" len="sm"/>
                                  <a:tailEnd type="none" w="sm" len="sm"/>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6939915" cy="961326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39915" cy="96132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8679A"/>
    <w:multiLevelType w:val="multilevel"/>
    <w:tmpl w:val="A92CA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CB4769"/>
    <w:multiLevelType w:val="multilevel"/>
    <w:tmpl w:val="9B50BE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830248300">
    <w:abstractNumId w:val="0"/>
  </w:num>
  <w:num w:numId="2" w16cid:durableId="86305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E7"/>
    <w:rsid w:val="001525E9"/>
    <w:rsid w:val="001D022A"/>
    <w:rsid w:val="003325E7"/>
    <w:rsid w:val="00AD4341"/>
    <w:rsid w:val="00BC0A82"/>
    <w:rsid w:val="00EF320F"/>
    <w:rsid w:val="00F35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6C30D"/>
  <w15:docId w15:val="{97276DC6-E9CD-4558-B838-4E028637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before="420" w:after="240"/>
      <w:ind w:left="576" w:hanging="576"/>
      <w:outlineLvl w:val="0"/>
    </w:pPr>
    <w:rPr>
      <w:b/>
    </w:rPr>
  </w:style>
  <w:style w:type="paragraph" w:styleId="Titolo2">
    <w:name w:val="heading 2"/>
    <w:basedOn w:val="Normale"/>
    <w:next w:val="Normale"/>
    <w:uiPriority w:val="9"/>
    <w:unhideWhenUsed/>
    <w:qFormat/>
    <w:pPr>
      <w:keepNext/>
      <w:spacing w:before="400" w:after="180"/>
      <w:ind w:left="576" w:right="720" w:hanging="576"/>
      <w:outlineLvl w:val="1"/>
    </w:pPr>
    <w:rPr>
      <w:b/>
      <w:i/>
    </w:rPr>
  </w:style>
  <w:style w:type="paragraph" w:styleId="Titolo3">
    <w:name w:val="heading 3"/>
    <w:basedOn w:val="Normale"/>
    <w:next w:val="Normale"/>
    <w:uiPriority w:val="9"/>
    <w:semiHidden/>
    <w:unhideWhenUsed/>
    <w:qFormat/>
    <w:pPr>
      <w:spacing w:before="320" w:after="180"/>
      <w:ind w:left="576" w:hanging="576"/>
      <w:outlineLvl w:val="2"/>
    </w:pPr>
    <w:rPr>
      <w:i/>
    </w:rPr>
  </w:style>
  <w:style w:type="paragraph" w:styleId="Titolo4">
    <w:name w:val="heading 4"/>
    <w:basedOn w:val="Normale"/>
    <w:next w:val="Normale"/>
    <w:uiPriority w:val="9"/>
    <w:semiHidden/>
    <w:unhideWhenUsed/>
    <w:qFormat/>
    <w:pPr>
      <w:keepNext/>
      <w:spacing w:before="240" w:after="60"/>
      <w:outlineLvl w:val="3"/>
    </w:pPr>
    <w:rPr>
      <w:i/>
    </w:rPr>
  </w:style>
  <w:style w:type="paragraph" w:styleId="Titolo5">
    <w:name w:val="heading 5"/>
    <w:basedOn w:val="Normale"/>
    <w:next w:val="Normale"/>
    <w:uiPriority w:val="9"/>
    <w:semiHidden/>
    <w:unhideWhenUsed/>
    <w:qFormat/>
    <w:pPr>
      <w:keepNext/>
      <w:widowControl w:val="0"/>
      <w:spacing w:before="240" w:after="16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525E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5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ecolecon.2021.107311" TargetMode="External"/><Relationship Id="rId18" Type="http://schemas.openxmlformats.org/officeDocument/2006/relationships/hyperlink" Target="https://doi.org/10.1057/s41267-021-00467-6" TargetMode="External"/><Relationship Id="rId26" Type="http://schemas.openxmlformats.org/officeDocument/2006/relationships/hyperlink" Target="https://doi.org/10.3390/su12062364" TargetMode="External"/><Relationship Id="rId39" Type="http://schemas.openxmlformats.org/officeDocument/2006/relationships/hyperlink" Target="https://doi.org/10.3390/su13042052" TargetMode="External"/><Relationship Id="rId21" Type="http://schemas.openxmlformats.org/officeDocument/2006/relationships/hyperlink" Target="https://doi.org/10.1016/j.resconrec.2020.105271" TargetMode="External"/><Relationship Id="rId34" Type="http://schemas.openxmlformats.org/officeDocument/2006/relationships/hyperlink" Target="https://doi.org/10.1108/TQM-03-2020-0045" TargetMode="External"/><Relationship Id="rId42" Type="http://schemas.openxmlformats.org/officeDocument/2006/relationships/hyperlink" Target="https://doi.org/10.1111/grow.12316" TargetMode="External"/><Relationship Id="rId47" Type="http://schemas.openxmlformats.org/officeDocument/2006/relationships/hyperlink" Target="https://doi.org/10.1108/SCM-09-2020-0498" TargetMode="External"/><Relationship Id="rId50" Type="http://schemas.openxmlformats.org/officeDocument/2006/relationships/hyperlink" Target="https://doi.org/10.1002/sres.2705" TargetMode="External"/><Relationship Id="rId55" Type="http://schemas.openxmlformats.org/officeDocument/2006/relationships/footer" Target="footer1.xm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doi.org/10.1016/j.ijpe.2010.09.035" TargetMode="External"/><Relationship Id="rId29" Type="http://schemas.openxmlformats.org/officeDocument/2006/relationships/hyperlink" Target="https://dx.doi.org/10.1504/IJSOM.2015.071531" TargetMode="External"/><Relationship Id="rId11" Type="http://schemas.openxmlformats.org/officeDocument/2006/relationships/image" Target="media/image5.png"/><Relationship Id="rId24" Type="http://schemas.openxmlformats.org/officeDocument/2006/relationships/hyperlink" Target="https://doi.org/10.1016/j.pursup.2014.01.004" TargetMode="External"/><Relationship Id="rId32" Type="http://schemas.openxmlformats.org/officeDocument/2006/relationships/hyperlink" Target="https://doi.org/10.1108/JABS-07-2021-0316" TargetMode="External"/><Relationship Id="rId37" Type="http://schemas.openxmlformats.org/officeDocument/2006/relationships/hyperlink" Target="https://doi.org/10.1111/emre.12449" TargetMode="External"/><Relationship Id="rId40" Type="http://schemas.openxmlformats.org/officeDocument/2006/relationships/hyperlink" Target="https://doi.org/10.1080/23270012.2018.1443405" TargetMode="External"/><Relationship Id="rId45" Type="http://schemas.openxmlformats.org/officeDocument/2006/relationships/hyperlink" Target="https://doi.org/10.1108/JCHMSD-09-2017-0060" TargetMode="External"/><Relationship Id="rId53"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doi.org/10.1108/TQM-05-2021-013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16/j.jinteco.2013.02.005" TargetMode="External"/><Relationship Id="rId22" Type="http://schemas.openxmlformats.org/officeDocument/2006/relationships/hyperlink" Target="https://doi.org/10.1016/j.clay.2014.01.013" TargetMode="External"/><Relationship Id="rId27" Type="http://schemas.openxmlformats.org/officeDocument/2006/relationships/hyperlink" Target="https://doi.org/10.1111/jbl.12012" TargetMode="External"/><Relationship Id="rId30" Type="http://schemas.openxmlformats.org/officeDocument/2006/relationships/hyperlink" Target="https://doi.org/10.1016/j.aei.2021.101262" TargetMode="External"/><Relationship Id="rId35" Type="http://schemas.openxmlformats.org/officeDocument/2006/relationships/hyperlink" Target="https://doi.org/10.1080/00343404.2013.834319" TargetMode="External"/><Relationship Id="rId43" Type="http://schemas.openxmlformats.org/officeDocument/2006/relationships/hyperlink" Target="https://doi.org/10.1016/j.jclepro.2018.07.176" TargetMode="External"/><Relationship Id="rId48" Type="http://schemas.openxmlformats.org/officeDocument/2006/relationships/hyperlink" Target="https://doi.org/10.1108/SCM-09-2020-0498"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doi.org/10.1002/bse.2216" TargetMode="External"/><Relationship Id="rId3" Type="http://schemas.openxmlformats.org/officeDocument/2006/relationships/settings" Target="settings.xml"/><Relationship Id="rId12" Type="http://schemas.openxmlformats.org/officeDocument/2006/relationships/hyperlink" Target="https://doi.org/10.1108/IJPPM-08-2021-0442" TargetMode="External"/><Relationship Id="rId17" Type="http://schemas.openxmlformats.org/officeDocument/2006/relationships/hyperlink" Target="https://doi.org/10.1016/j.jii.2021.100290" TargetMode="External"/><Relationship Id="rId25" Type="http://schemas.openxmlformats.org/officeDocument/2006/relationships/hyperlink" Target="https://doi.org/10.3390/socsci7120255" TargetMode="External"/><Relationship Id="rId33" Type="http://schemas.openxmlformats.org/officeDocument/2006/relationships/hyperlink" Target="https://doi.org/10.1016/j.pursup.2018.07.003" TargetMode="External"/><Relationship Id="rId38" Type="http://schemas.openxmlformats.org/officeDocument/2006/relationships/hyperlink" Target="https://doi.org/10.1080/1331677X.2020.1844030" TargetMode="External"/><Relationship Id="rId46" Type="http://schemas.openxmlformats.org/officeDocument/2006/relationships/hyperlink" Target="https://doi.org/10.3390/su131810366" TargetMode="External"/><Relationship Id="rId20" Type="http://schemas.openxmlformats.org/officeDocument/2006/relationships/hyperlink" Target="https://doi.org/10.1007/s11356-022-20601-7" TargetMode="External"/><Relationship Id="rId41" Type="http://schemas.openxmlformats.org/officeDocument/2006/relationships/hyperlink" Target="https://doi.org/10.1080/0951192X.2020.1752071"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s12063-020-00160-1" TargetMode="External"/><Relationship Id="rId23" Type="http://schemas.openxmlformats.org/officeDocument/2006/relationships/hyperlink" Target="https://doi.org/10.1016/j.clay.2010.11.008" TargetMode="External"/><Relationship Id="rId28" Type="http://schemas.openxmlformats.org/officeDocument/2006/relationships/hyperlink" Target="https://doi.org/10.1108/JCHMSD-09-2017-0060" TargetMode="External"/><Relationship Id="rId36" Type="http://schemas.openxmlformats.org/officeDocument/2006/relationships/hyperlink" Target="https://doi.org/10.1016/j.resourpol.2021.102338" TargetMode="External"/><Relationship Id="rId49" Type="http://schemas.openxmlformats.org/officeDocument/2006/relationships/hyperlink" Target="https://doi.org/10.3989/mc.2004.v54.i273.219" TargetMode="External"/><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s://doi.org/10.1177%2F0020702020985325" TargetMode="External"/><Relationship Id="rId44" Type="http://schemas.openxmlformats.org/officeDocument/2006/relationships/hyperlink" Target="https://doi.org/10.3390/su11092530"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6227</Words>
  <Characters>35495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4</cp:revision>
  <dcterms:created xsi:type="dcterms:W3CDTF">2022-06-17T14:04:00Z</dcterms:created>
  <dcterms:modified xsi:type="dcterms:W3CDTF">2022-07-04T08:48:00Z</dcterms:modified>
</cp:coreProperties>
</file>