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F5B1093"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bookmarkStart w:id="0" w:name="_Hlk105403486"/>
      <w:bookmarkEnd w:id="0"/>
      <w:r>
        <w:rPr>
          <w:sz w:val="28"/>
        </w:rPr>
        <w:t>Chapter N</w:t>
      </w:r>
      <w:r w:rsidR="007808F3">
        <w:rPr>
          <w:sz w:val="28"/>
        </w:rPr>
        <w:t xml:space="preserve"> </w:t>
      </w:r>
      <w:r w:rsidR="009618FB">
        <w:rPr>
          <w:color w:val="FF0000"/>
          <w:sz w:val="28"/>
        </w:rPr>
        <w:t>140</w:t>
      </w:r>
    </w:p>
    <w:p w14:paraId="1E493FC2" w14:textId="77777777" w:rsidR="009618FB" w:rsidRDefault="009618FB" w:rsidP="00AE1127">
      <w:pPr>
        <w:pStyle w:val="ChapterTitle"/>
        <w:tabs>
          <w:tab w:val="left" w:pos="5812"/>
          <w:tab w:val="left" w:pos="5954"/>
          <w:tab w:val="left" w:pos="6096"/>
          <w:tab w:val="left" w:pos="6237"/>
        </w:tabs>
        <w:spacing w:after="0" w:line="240" w:lineRule="auto"/>
        <w:ind w:left="0" w:right="-28"/>
        <w:rPr>
          <w:sz w:val="28"/>
        </w:rPr>
      </w:pPr>
      <w:bookmarkStart w:id="1" w:name="_Hlk107225918"/>
    </w:p>
    <w:p w14:paraId="0AA38F2B" w14:textId="7397B6B5" w:rsidR="009848F2" w:rsidRPr="00627A36" w:rsidRDefault="00AE1127" w:rsidP="00AE1127">
      <w:pPr>
        <w:pStyle w:val="ChapterTitle"/>
        <w:tabs>
          <w:tab w:val="left" w:pos="5812"/>
          <w:tab w:val="left" w:pos="5954"/>
          <w:tab w:val="left" w:pos="6096"/>
          <w:tab w:val="left" w:pos="6237"/>
        </w:tabs>
        <w:spacing w:after="0" w:line="240" w:lineRule="auto"/>
        <w:ind w:left="0" w:right="-28"/>
        <w:rPr>
          <w:sz w:val="28"/>
          <w:lang w:val="it-IT"/>
        </w:rPr>
      </w:pPr>
      <w:r>
        <w:rPr>
          <w:sz w:val="28"/>
        </w:rPr>
        <w:t>C</w:t>
      </w:r>
      <w:r w:rsidR="00134FA4" w:rsidRPr="00134FA4">
        <w:rPr>
          <w:sz w:val="28"/>
        </w:rPr>
        <w:t xml:space="preserve">ircular economy in the agri-food industry. </w:t>
      </w:r>
      <w:r w:rsidRPr="00627A36">
        <w:rPr>
          <w:sz w:val="28"/>
          <w:lang w:val="it-IT"/>
        </w:rPr>
        <w:t>How social media create</w:t>
      </w:r>
      <w:r w:rsidR="00134FA4" w:rsidRPr="00627A36">
        <w:rPr>
          <w:sz w:val="28"/>
          <w:lang w:val="it-IT"/>
        </w:rPr>
        <w:t xml:space="preserve"> engagement</w:t>
      </w:r>
    </w:p>
    <w:bookmarkEnd w:id="1"/>
    <w:p w14:paraId="0841DE3B" w14:textId="1F1AA732" w:rsidR="002F7330" w:rsidRPr="00F83282" w:rsidRDefault="002F7330" w:rsidP="009848F2">
      <w:pPr>
        <w:pStyle w:val="Affiliation"/>
        <w:spacing w:line="276" w:lineRule="auto"/>
        <w:jc w:val="both"/>
        <w:rPr>
          <w:lang w:val="en-GB"/>
        </w:rPr>
      </w:pPr>
    </w:p>
    <w:p w14:paraId="61F73F98" w14:textId="77777777" w:rsidR="007B567F" w:rsidRPr="00F83282" w:rsidRDefault="007B567F" w:rsidP="00D66ED0">
      <w:pPr>
        <w:pStyle w:val="Abstract"/>
        <w:tabs>
          <w:tab w:val="left" w:pos="6379"/>
        </w:tabs>
        <w:spacing w:line="276" w:lineRule="auto"/>
        <w:ind w:left="0" w:right="-30"/>
        <w:rPr>
          <w:b/>
          <w:sz w:val="22"/>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75E7AD8" w14:textId="6CC5D4B4" w:rsidR="003E4280" w:rsidRPr="003E4280" w:rsidRDefault="004225DE" w:rsidP="00432AFD">
      <w:pPr>
        <w:pStyle w:val="Abstract"/>
        <w:tabs>
          <w:tab w:val="left" w:pos="6379"/>
        </w:tabs>
        <w:spacing w:line="276" w:lineRule="auto"/>
        <w:ind w:right="-30"/>
        <w:rPr>
          <w:sz w:val="22"/>
        </w:rPr>
      </w:pPr>
      <w:r w:rsidRPr="004225DE">
        <w:rPr>
          <w:b/>
          <w:sz w:val="22"/>
        </w:rPr>
        <w:t>Abstract.</w:t>
      </w:r>
      <w:r w:rsidRPr="004225DE">
        <w:rPr>
          <w:sz w:val="22"/>
        </w:rPr>
        <w:t xml:space="preserve"> </w:t>
      </w:r>
    </w:p>
    <w:p w14:paraId="2E9B9E64" w14:textId="65A71A5D" w:rsidR="003E4280" w:rsidRPr="005060FB" w:rsidRDefault="005060FB" w:rsidP="005060FB">
      <w:pPr>
        <w:pStyle w:val="Abstract"/>
        <w:tabs>
          <w:tab w:val="left" w:pos="6379"/>
        </w:tabs>
        <w:spacing w:line="276" w:lineRule="auto"/>
        <w:ind w:right="-30"/>
        <w:rPr>
          <w:sz w:val="22"/>
        </w:rPr>
      </w:pPr>
      <w:r w:rsidRPr="005060FB">
        <w:rPr>
          <w:sz w:val="22"/>
        </w:rPr>
        <w:t xml:space="preserve">The need to redesign the production and consumption models to reach a sustainable development is widely recognized. In this context, the Circular Economy model, based on the reduction, reuse and recycling activities, has emerged as a powerful framework to succeed in this global trial. Scholars have highlighted that the engagement of the whole supply chains is essential to successfully shift from the traditional linear economic framework to the circular economy model, especially in the agri-food sector. Accordingly, stakeholders' engagement plays a crucial role in this process. Recently, scientific literature has demonstrated that companies could use social media as a disclosure instrument to generate engagement between companies and their stakeholders. </w:t>
      </w:r>
      <w:r w:rsidR="003E4280" w:rsidRPr="005060FB">
        <w:rPr>
          <w:sz w:val="22"/>
        </w:rPr>
        <w:t xml:space="preserve">Starting from this background, this research aims to explore stakeholders' perceptions regarding the disclosure of </w:t>
      </w:r>
      <w:r w:rsidR="00432AFD" w:rsidRPr="005060FB">
        <w:rPr>
          <w:sz w:val="22"/>
        </w:rPr>
        <w:t>CE</w:t>
      </w:r>
      <w:r w:rsidR="003E4280" w:rsidRPr="005060FB">
        <w:rPr>
          <w:sz w:val="22"/>
        </w:rPr>
        <w:t xml:space="preserve"> practices and performance in the agri-food sector through </w:t>
      </w:r>
      <w:r w:rsidRPr="005060FB">
        <w:rPr>
          <w:sz w:val="22"/>
        </w:rPr>
        <w:t>social media</w:t>
      </w:r>
      <w:r w:rsidR="003E4280" w:rsidRPr="005060FB">
        <w:rPr>
          <w:sz w:val="22"/>
        </w:rPr>
        <w:t xml:space="preserve">. </w:t>
      </w:r>
    </w:p>
    <w:p w14:paraId="231827B7" w14:textId="73DD88C9" w:rsidR="003E4280" w:rsidRPr="003E4280" w:rsidRDefault="003E4280" w:rsidP="003E4280">
      <w:pPr>
        <w:pStyle w:val="Abstract"/>
        <w:tabs>
          <w:tab w:val="left" w:pos="6379"/>
        </w:tabs>
        <w:spacing w:line="276" w:lineRule="auto"/>
        <w:ind w:right="-30"/>
        <w:rPr>
          <w:sz w:val="22"/>
        </w:rPr>
      </w:pPr>
      <w:r w:rsidRPr="005060FB">
        <w:rPr>
          <w:sz w:val="22"/>
        </w:rPr>
        <w:t xml:space="preserve">To this end, based on a sample of agri-food organizations set in the Campania Region, this study analyzes </w:t>
      </w:r>
      <w:r w:rsidR="00432AFD" w:rsidRPr="005060FB">
        <w:rPr>
          <w:sz w:val="22"/>
        </w:rPr>
        <w:t>stakeholders' reactions to posts published on Twitter from the beginning of the pandemic</w:t>
      </w:r>
      <w:r w:rsidRPr="005060FB">
        <w:rPr>
          <w:sz w:val="22"/>
        </w:rPr>
        <w:t xml:space="preserve"> until now. It also examines communication dynamics regarding "direction" and balance level.</w:t>
      </w:r>
    </w:p>
    <w:p w14:paraId="38C60B63" w14:textId="70B85299" w:rsidR="004225DE" w:rsidRDefault="004225DE" w:rsidP="00D66ED0">
      <w:pPr>
        <w:pStyle w:val="Abstract"/>
        <w:tabs>
          <w:tab w:val="left" w:pos="6379"/>
        </w:tabs>
        <w:spacing w:line="276" w:lineRule="auto"/>
        <w:ind w:left="0" w:right="-30"/>
        <w:rPr>
          <w:snapToGrid/>
          <w:sz w:val="22"/>
        </w:rPr>
      </w:pPr>
    </w:p>
    <w:p w14:paraId="20AF9FE5" w14:textId="4A4E0EF3"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E4280" w:rsidRPr="003E4280">
        <w:rPr>
          <w:snapToGrid/>
          <w:sz w:val="22"/>
        </w:rPr>
        <w:t>circular economy, stakeholder engagement, agri-food sector, social media.</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CF7C85" w14:textId="77777777" w:rsidR="00A370E2" w:rsidRPr="003E4280" w:rsidRDefault="00A370E2" w:rsidP="00D66ED0">
      <w:pPr>
        <w:pStyle w:val="Abstract"/>
        <w:tabs>
          <w:tab w:val="left" w:pos="6379"/>
        </w:tabs>
        <w:spacing w:line="276" w:lineRule="auto"/>
        <w:ind w:left="0" w:right="-30"/>
        <w:rPr>
          <w:snapToGrid/>
          <w:sz w:val="24"/>
          <w:szCs w:val="24"/>
        </w:rPr>
      </w:pPr>
    </w:p>
    <w:p w14:paraId="7AE8EF34" w14:textId="01897125" w:rsidR="008C685C" w:rsidRPr="003E4280" w:rsidRDefault="008C685C" w:rsidP="003E4280">
      <w:pPr>
        <w:pStyle w:val="Titolo1"/>
        <w:numPr>
          <w:ilvl w:val="0"/>
          <w:numId w:val="43"/>
        </w:numPr>
        <w:spacing w:before="0" w:after="0" w:line="276" w:lineRule="auto"/>
        <w:rPr>
          <w:snapToGrid w:val="0"/>
          <w:sz w:val="24"/>
          <w:szCs w:val="24"/>
        </w:rPr>
      </w:pPr>
      <w:r w:rsidRPr="003E4280">
        <w:rPr>
          <w:snapToGrid w:val="0"/>
          <w:sz w:val="24"/>
          <w:szCs w:val="24"/>
        </w:rPr>
        <w:t>Introduction</w:t>
      </w:r>
    </w:p>
    <w:p w14:paraId="0347DF40" w14:textId="3AD13A4E" w:rsidR="003E4280" w:rsidRPr="00EB2E4B" w:rsidRDefault="00F83282" w:rsidP="003E4280">
      <w:pPr>
        <w:rPr>
          <w:sz w:val="24"/>
          <w:szCs w:val="24"/>
        </w:rPr>
      </w:pPr>
      <w:r w:rsidRPr="00EB2E4B">
        <w:rPr>
          <w:sz w:val="24"/>
          <w:szCs w:val="24"/>
        </w:rPr>
        <w:t>The</w:t>
      </w:r>
      <w:r w:rsidR="00432AFD" w:rsidRPr="00EB2E4B">
        <w:rPr>
          <w:sz w:val="24"/>
          <w:szCs w:val="24"/>
        </w:rPr>
        <w:t xml:space="preserve"> </w:t>
      </w:r>
      <w:r w:rsidRPr="00EB2E4B">
        <w:rPr>
          <w:sz w:val="24"/>
          <w:szCs w:val="24"/>
        </w:rPr>
        <w:t xml:space="preserve">COVID-19 </w:t>
      </w:r>
      <w:r w:rsidR="00432AFD" w:rsidRPr="00EB2E4B">
        <w:rPr>
          <w:sz w:val="24"/>
          <w:szCs w:val="24"/>
        </w:rPr>
        <w:t xml:space="preserve">pandemic </w:t>
      </w:r>
      <w:r w:rsidRPr="00EB2E4B">
        <w:rPr>
          <w:sz w:val="24"/>
          <w:szCs w:val="24"/>
        </w:rPr>
        <w:t xml:space="preserve">has </w:t>
      </w:r>
      <w:r w:rsidR="00432AFD" w:rsidRPr="00EB2E4B">
        <w:rPr>
          <w:sz w:val="24"/>
          <w:szCs w:val="24"/>
        </w:rPr>
        <w:t>intensified</w:t>
      </w:r>
      <w:r w:rsidRPr="00EB2E4B">
        <w:rPr>
          <w:sz w:val="24"/>
          <w:szCs w:val="24"/>
        </w:rPr>
        <w:t xml:space="preserve"> the</w:t>
      </w:r>
      <w:r w:rsidR="00432AFD" w:rsidRPr="00EB2E4B">
        <w:rPr>
          <w:sz w:val="24"/>
          <w:szCs w:val="24"/>
        </w:rPr>
        <w:t xml:space="preserve"> </w:t>
      </w:r>
      <w:r w:rsidRPr="00EB2E4B">
        <w:rPr>
          <w:sz w:val="24"/>
          <w:szCs w:val="24"/>
        </w:rPr>
        <w:t>s</w:t>
      </w:r>
      <w:r w:rsidR="00432AFD" w:rsidRPr="00EB2E4B">
        <w:rPr>
          <w:sz w:val="24"/>
          <w:szCs w:val="24"/>
        </w:rPr>
        <w:t>ocial and environmental crisis on which our ecosystem relay</w:t>
      </w:r>
      <w:r w:rsidRPr="00EB2E4B">
        <w:rPr>
          <w:sz w:val="24"/>
          <w:szCs w:val="24"/>
        </w:rPr>
        <w:t>.</w:t>
      </w:r>
      <w:r w:rsidR="003E4280" w:rsidRPr="00EB2E4B">
        <w:rPr>
          <w:sz w:val="24"/>
          <w:szCs w:val="24"/>
        </w:rPr>
        <w:t xml:space="preserve"> </w:t>
      </w:r>
      <w:r w:rsidR="00432AFD" w:rsidRPr="00EB2E4B">
        <w:rPr>
          <w:sz w:val="24"/>
          <w:szCs w:val="24"/>
        </w:rPr>
        <w:t>Accordingly,</w:t>
      </w:r>
      <w:r w:rsidR="003E4280" w:rsidRPr="00EB2E4B">
        <w:rPr>
          <w:sz w:val="24"/>
          <w:szCs w:val="24"/>
        </w:rPr>
        <w:t xml:space="preserve"> the </w:t>
      </w:r>
      <w:r w:rsidR="00432AFD" w:rsidRPr="00EB2E4B">
        <w:rPr>
          <w:sz w:val="24"/>
          <w:szCs w:val="24"/>
        </w:rPr>
        <w:t>urgency</w:t>
      </w:r>
      <w:r w:rsidR="003E4280" w:rsidRPr="00EB2E4B">
        <w:rPr>
          <w:sz w:val="24"/>
          <w:szCs w:val="24"/>
        </w:rPr>
        <w:t xml:space="preserve"> to </w:t>
      </w:r>
      <w:r w:rsidR="00432AFD" w:rsidRPr="00EB2E4B">
        <w:rPr>
          <w:sz w:val="24"/>
          <w:szCs w:val="24"/>
        </w:rPr>
        <w:t>change</w:t>
      </w:r>
      <w:r w:rsidR="003E4280" w:rsidRPr="00EB2E4B">
        <w:rPr>
          <w:sz w:val="24"/>
          <w:szCs w:val="24"/>
        </w:rPr>
        <w:t xml:space="preserve"> </w:t>
      </w:r>
      <w:r w:rsidR="00432AFD" w:rsidRPr="00EB2E4B">
        <w:rPr>
          <w:sz w:val="24"/>
          <w:szCs w:val="24"/>
        </w:rPr>
        <w:t xml:space="preserve">the actual </w:t>
      </w:r>
      <w:r w:rsidR="003E4280" w:rsidRPr="00EB2E4B">
        <w:rPr>
          <w:sz w:val="24"/>
          <w:szCs w:val="24"/>
        </w:rPr>
        <w:t>production and consumption models</w:t>
      </w:r>
      <w:r w:rsidR="00432AFD" w:rsidRPr="00EB2E4B">
        <w:rPr>
          <w:sz w:val="24"/>
          <w:szCs w:val="24"/>
        </w:rPr>
        <w:t xml:space="preserve"> based on the take-make-dispose paradigm has emerged. To do so, a transition </w:t>
      </w:r>
      <w:r w:rsidR="003E4280" w:rsidRPr="00EB2E4B">
        <w:rPr>
          <w:sz w:val="24"/>
          <w:szCs w:val="24"/>
        </w:rPr>
        <w:t>towards</w:t>
      </w:r>
      <w:r w:rsidR="00432AFD" w:rsidRPr="00EB2E4B">
        <w:rPr>
          <w:sz w:val="24"/>
          <w:szCs w:val="24"/>
        </w:rPr>
        <w:t xml:space="preserve"> a more sustainable paradigm is required. In this scenario,</w:t>
      </w:r>
      <w:r w:rsidR="003E4280" w:rsidRPr="00EB2E4B">
        <w:rPr>
          <w:sz w:val="24"/>
          <w:szCs w:val="24"/>
        </w:rPr>
        <w:t xml:space="preserve"> </w:t>
      </w:r>
      <w:r w:rsidR="00432AFD" w:rsidRPr="00EB2E4B">
        <w:rPr>
          <w:sz w:val="24"/>
          <w:szCs w:val="24"/>
        </w:rPr>
        <w:t xml:space="preserve">the </w:t>
      </w:r>
      <w:r w:rsidR="003E4280" w:rsidRPr="00EB2E4B">
        <w:rPr>
          <w:sz w:val="24"/>
          <w:szCs w:val="24"/>
        </w:rPr>
        <w:t xml:space="preserve">circular economy (CE) paradigm </w:t>
      </w:r>
      <w:r w:rsidR="00432AFD" w:rsidRPr="00EB2E4B">
        <w:rPr>
          <w:sz w:val="24"/>
          <w:szCs w:val="24"/>
        </w:rPr>
        <w:t>based on</w:t>
      </w:r>
      <w:r w:rsidR="003E4280" w:rsidRPr="00EB2E4B">
        <w:rPr>
          <w:sz w:val="24"/>
          <w:szCs w:val="24"/>
        </w:rPr>
        <w:t xml:space="preserve"> the reduction, </w:t>
      </w:r>
      <w:proofErr w:type="gramStart"/>
      <w:r w:rsidR="003E4280" w:rsidRPr="00EB2E4B">
        <w:rPr>
          <w:sz w:val="24"/>
          <w:szCs w:val="24"/>
        </w:rPr>
        <w:t>reuse</w:t>
      </w:r>
      <w:proofErr w:type="gramEnd"/>
      <w:r w:rsidR="003E4280" w:rsidRPr="00EB2E4B">
        <w:rPr>
          <w:sz w:val="24"/>
          <w:szCs w:val="24"/>
        </w:rPr>
        <w:t xml:space="preserve"> and recycling </w:t>
      </w:r>
      <w:r w:rsidR="00432AFD" w:rsidRPr="00EB2E4B">
        <w:rPr>
          <w:sz w:val="24"/>
          <w:szCs w:val="24"/>
        </w:rPr>
        <w:t>practices</w:t>
      </w:r>
      <w:r w:rsidR="003E4280" w:rsidRPr="00EB2E4B">
        <w:rPr>
          <w:sz w:val="24"/>
          <w:szCs w:val="24"/>
        </w:rPr>
        <w:t xml:space="preserve"> (3R) </w:t>
      </w:r>
      <w:r w:rsidR="003E4280" w:rsidRPr="00EB2E4B">
        <w:rPr>
          <w:sz w:val="24"/>
          <w:szCs w:val="24"/>
        </w:rPr>
        <w:lastRenderedPageBreak/>
        <w:t xml:space="preserve">has </w:t>
      </w:r>
      <w:r w:rsidR="00432AFD" w:rsidRPr="00EB2E4B">
        <w:rPr>
          <w:sz w:val="24"/>
          <w:szCs w:val="24"/>
        </w:rPr>
        <w:t>been</w:t>
      </w:r>
      <w:r w:rsidR="003E4280" w:rsidRPr="00EB2E4B">
        <w:rPr>
          <w:sz w:val="24"/>
          <w:szCs w:val="24"/>
        </w:rPr>
        <w:t xml:space="preserve"> </w:t>
      </w:r>
      <w:r w:rsidR="00432AFD" w:rsidRPr="00EB2E4B">
        <w:rPr>
          <w:sz w:val="24"/>
          <w:szCs w:val="24"/>
        </w:rPr>
        <w:t>garner</w:t>
      </w:r>
      <w:r w:rsidR="000574F4" w:rsidRPr="00EB2E4B">
        <w:rPr>
          <w:sz w:val="24"/>
          <w:szCs w:val="24"/>
        </w:rPr>
        <w:t>ed</w:t>
      </w:r>
      <w:r w:rsidR="003E4280" w:rsidRPr="00EB2E4B">
        <w:rPr>
          <w:sz w:val="24"/>
          <w:szCs w:val="24"/>
        </w:rPr>
        <w:t xml:space="preserve"> as </w:t>
      </w:r>
      <w:r w:rsidR="00432AFD" w:rsidRPr="00EB2E4B">
        <w:rPr>
          <w:sz w:val="24"/>
          <w:szCs w:val="24"/>
        </w:rPr>
        <w:t xml:space="preserve">a successful approach </w:t>
      </w:r>
      <w:r w:rsidR="003E4280" w:rsidRPr="00EB2E4B">
        <w:rPr>
          <w:sz w:val="24"/>
          <w:szCs w:val="24"/>
        </w:rPr>
        <w:t xml:space="preserve">to </w:t>
      </w:r>
      <w:r w:rsidR="00432AFD" w:rsidRPr="00EB2E4B">
        <w:rPr>
          <w:sz w:val="24"/>
          <w:szCs w:val="24"/>
        </w:rPr>
        <w:t>restrain</w:t>
      </w:r>
      <w:r w:rsidR="003E4280" w:rsidRPr="00EB2E4B">
        <w:rPr>
          <w:sz w:val="24"/>
          <w:szCs w:val="24"/>
        </w:rPr>
        <w:t xml:space="preserve"> the </w:t>
      </w:r>
      <w:r w:rsidR="00432AFD" w:rsidRPr="00EB2E4B">
        <w:rPr>
          <w:sz w:val="24"/>
          <w:szCs w:val="24"/>
        </w:rPr>
        <w:t>negative impacts of the current crisis</w:t>
      </w:r>
      <w:r w:rsidR="003E4280" w:rsidRPr="00EB2E4B">
        <w:rPr>
          <w:sz w:val="24"/>
          <w:szCs w:val="24"/>
        </w:rPr>
        <w:t xml:space="preserve"> </w:t>
      </w:r>
      <w:r w:rsidR="009856E6" w:rsidRPr="00EB2E4B">
        <w:rPr>
          <w:sz w:val="24"/>
          <w:szCs w:val="24"/>
        </w:rPr>
        <w:t>(</w:t>
      </w:r>
      <w:proofErr w:type="spellStart"/>
      <w:r w:rsidR="009856E6" w:rsidRPr="00EB2E4B">
        <w:rPr>
          <w:sz w:val="24"/>
          <w:szCs w:val="24"/>
        </w:rPr>
        <w:t>Merli</w:t>
      </w:r>
      <w:proofErr w:type="spellEnd"/>
      <w:r w:rsidR="009856E6" w:rsidRPr="00EB2E4B">
        <w:rPr>
          <w:sz w:val="24"/>
          <w:szCs w:val="24"/>
        </w:rPr>
        <w:t xml:space="preserve"> et al., 2018)</w:t>
      </w:r>
      <w:r w:rsidR="003E4280" w:rsidRPr="00EB2E4B">
        <w:rPr>
          <w:sz w:val="24"/>
          <w:szCs w:val="24"/>
        </w:rPr>
        <w:t>.</w:t>
      </w:r>
    </w:p>
    <w:p w14:paraId="774C5D62" w14:textId="3C8E44B9" w:rsidR="003E4280" w:rsidRPr="00EB2E4B" w:rsidRDefault="00432AFD" w:rsidP="003E4280">
      <w:pPr>
        <w:rPr>
          <w:sz w:val="24"/>
          <w:szCs w:val="24"/>
        </w:rPr>
      </w:pPr>
      <w:r w:rsidRPr="00EB2E4B">
        <w:rPr>
          <w:sz w:val="24"/>
          <w:szCs w:val="24"/>
        </w:rPr>
        <w:t xml:space="preserve">Scholars have demonstrated that the whole supply chain </w:t>
      </w:r>
      <w:r w:rsidR="000574F4" w:rsidRPr="00EB2E4B">
        <w:rPr>
          <w:sz w:val="24"/>
          <w:szCs w:val="24"/>
        </w:rPr>
        <w:t>is</w:t>
      </w:r>
      <w:r w:rsidRPr="00EB2E4B">
        <w:rPr>
          <w:sz w:val="24"/>
          <w:szCs w:val="24"/>
        </w:rPr>
        <w:t xml:space="preserve"> called for this paradigm shift since all the supply chain actors </w:t>
      </w:r>
      <w:proofErr w:type="gramStart"/>
      <w:r w:rsidRPr="00EB2E4B">
        <w:rPr>
          <w:sz w:val="24"/>
          <w:szCs w:val="24"/>
        </w:rPr>
        <w:t>have to</w:t>
      </w:r>
      <w:proofErr w:type="gramEnd"/>
      <w:r w:rsidRPr="00EB2E4B">
        <w:rPr>
          <w:sz w:val="24"/>
          <w:szCs w:val="24"/>
        </w:rPr>
        <w:t xml:space="preserve"> co-operate to successfully implement a circular production and consumption business model </w:t>
      </w:r>
      <w:r w:rsidR="009856E6" w:rsidRPr="00EB2E4B">
        <w:rPr>
          <w:sz w:val="24"/>
          <w:szCs w:val="24"/>
        </w:rPr>
        <w:t>(Esposito et al., 2020)</w:t>
      </w:r>
      <w:r w:rsidR="003E4280" w:rsidRPr="00EB2E4B">
        <w:rPr>
          <w:sz w:val="24"/>
          <w:szCs w:val="24"/>
        </w:rPr>
        <w:t xml:space="preserve">. </w:t>
      </w:r>
      <w:r w:rsidRPr="00EB2E4B">
        <w:rPr>
          <w:sz w:val="24"/>
          <w:szCs w:val="24"/>
        </w:rPr>
        <w:t xml:space="preserve">In this perspective, </w:t>
      </w:r>
      <w:r w:rsidR="003E4280" w:rsidRPr="00EB2E4B">
        <w:rPr>
          <w:sz w:val="24"/>
          <w:szCs w:val="24"/>
        </w:rPr>
        <w:t xml:space="preserve">stakeholder engagement </w:t>
      </w:r>
      <w:r w:rsidRPr="00EB2E4B">
        <w:rPr>
          <w:sz w:val="24"/>
          <w:szCs w:val="24"/>
        </w:rPr>
        <w:t>is acquiring a growing relevance</w:t>
      </w:r>
      <w:r w:rsidR="003E4280" w:rsidRPr="00EB2E4B">
        <w:rPr>
          <w:sz w:val="24"/>
          <w:szCs w:val="24"/>
        </w:rPr>
        <w:t xml:space="preserve"> to </w:t>
      </w:r>
      <w:r w:rsidRPr="00EB2E4B">
        <w:rPr>
          <w:sz w:val="24"/>
          <w:szCs w:val="24"/>
        </w:rPr>
        <w:t>achieving</w:t>
      </w:r>
      <w:r w:rsidR="003E4280" w:rsidRPr="00EB2E4B">
        <w:rPr>
          <w:sz w:val="24"/>
          <w:szCs w:val="24"/>
        </w:rPr>
        <w:t xml:space="preserve"> this global goal</w:t>
      </w:r>
      <w:r w:rsidRPr="00EB2E4B">
        <w:rPr>
          <w:sz w:val="24"/>
          <w:szCs w:val="24"/>
        </w:rPr>
        <w:t xml:space="preserve">. </w:t>
      </w:r>
      <w:proofErr w:type="gramStart"/>
      <w:r w:rsidRPr="00EB2E4B">
        <w:rPr>
          <w:sz w:val="24"/>
          <w:szCs w:val="24"/>
        </w:rPr>
        <w:t xml:space="preserve">Indeed, </w:t>
      </w:r>
      <w:r w:rsidR="003E4280" w:rsidRPr="00EB2E4B">
        <w:rPr>
          <w:sz w:val="24"/>
          <w:szCs w:val="24"/>
        </w:rPr>
        <w:t xml:space="preserve"> </w:t>
      </w:r>
      <w:r w:rsidRPr="00EB2E4B">
        <w:rPr>
          <w:sz w:val="24"/>
          <w:szCs w:val="24"/>
        </w:rPr>
        <w:t>if</w:t>
      </w:r>
      <w:proofErr w:type="gramEnd"/>
      <w:r w:rsidRPr="00EB2E4B">
        <w:rPr>
          <w:sz w:val="24"/>
          <w:szCs w:val="24"/>
        </w:rPr>
        <w:t xml:space="preserve"> one of the supply chain actors does not share and implement the same circular principles in its operations, all the supply chain effort in being circular would become vain</w:t>
      </w:r>
      <w:r w:rsidR="009856E6" w:rsidRPr="00EB2E4B">
        <w:rPr>
          <w:sz w:val="24"/>
          <w:szCs w:val="24"/>
        </w:rPr>
        <w:t xml:space="preserve"> (Gupta et al., 2019)</w:t>
      </w:r>
      <w:r w:rsidR="003E4280" w:rsidRPr="00EB2E4B">
        <w:rPr>
          <w:sz w:val="24"/>
          <w:szCs w:val="24"/>
        </w:rPr>
        <w:t xml:space="preserve">. </w:t>
      </w:r>
      <w:r w:rsidRPr="00EB2E4B">
        <w:rPr>
          <w:sz w:val="24"/>
          <w:szCs w:val="24"/>
        </w:rPr>
        <w:t>Consequently</w:t>
      </w:r>
      <w:r w:rsidR="003E4280" w:rsidRPr="00EB2E4B">
        <w:rPr>
          <w:sz w:val="24"/>
          <w:szCs w:val="24"/>
        </w:rPr>
        <w:t>,</w:t>
      </w:r>
      <w:r w:rsidRPr="00EB2E4B">
        <w:rPr>
          <w:sz w:val="24"/>
          <w:szCs w:val="24"/>
        </w:rPr>
        <w:t xml:space="preserve"> public institutions,</w:t>
      </w:r>
      <w:r w:rsidR="003E4280" w:rsidRPr="00EB2E4B">
        <w:rPr>
          <w:sz w:val="24"/>
          <w:szCs w:val="24"/>
        </w:rPr>
        <w:t xml:space="preserve"> </w:t>
      </w:r>
      <w:r w:rsidRPr="00EB2E4B">
        <w:rPr>
          <w:sz w:val="24"/>
          <w:szCs w:val="24"/>
        </w:rPr>
        <w:t>companies</w:t>
      </w:r>
      <w:r w:rsidR="003E4280" w:rsidRPr="00EB2E4B">
        <w:rPr>
          <w:sz w:val="24"/>
          <w:szCs w:val="24"/>
        </w:rPr>
        <w:t>,</w:t>
      </w:r>
      <w:r w:rsidRPr="00EB2E4B">
        <w:rPr>
          <w:sz w:val="24"/>
          <w:szCs w:val="24"/>
        </w:rPr>
        <w:t xml:space="preserve"> </w:t>
      </w:r>
      <w:proofErr w:type="gramStart"/>
      <w:r w:rsidRPr="00EB2E4B">
        <w:rPr>
          <w:sz w:val="24"/>
          <w:szCs w:val="24"/>
        </w:rPr>
        <w:t>associations</w:t>
      </w:r>
      <w:proofErr w:type="gramEnd"/>
      <w:r w:rsidR="003E4280" w:rsidRPr="00EB2E4B">
        <w:rPr>
          <w:sz w:val="24"/>
          <w:szCs w:val="24"/>
        </w:rPr>
        <w:t xml:space="preserve"> and citizens are </w:t>
      </w:r>
      <w:r w:rsidRPr="00EB2E4B">
        <w:rPr>
          <w:sz w:val="24"/>
          <w:szCs w:val="24"/>
        </w:rPr>
        <w:t>called</w:t>
      </w:r>
      <w:r w:rsidR="003E4280" w:rsidRPr="00EB2E4B">
        <w:rPr>
          <w:sz w:val="24"/>
          <w:szCs w:val="24"/>
        </w:rPr>
        <w:t xml:space="preserve"> to act </w:t>
      </w:r>
      <w:r w:rsidRPr="00EB2E4B">
        <w:rPr>
          <w:sz w:val="24"/>
          <w:szCs w:val="24"/>
        </w:rPr>
        <w:t xml:space="preserve">coordinately </w:t>
      </w:r>
      <w:r w:rsidR="003E4280" w:rsidRPr="00EB2E4B">
        <w:rPr>
          <w:sz w:val="24"/>
          <w:szCs w:val="24"/>
        </w:rPr>
        <w:t xml:space="preserve">to </w:t>
      </w:r>
      <w:r w:rsidRPr="00EB2E4B">
        <w:rPr>
          <w:sz w:val="24"/>
          <w:szCs w:val="24"/>
        </w:rPr>
        <w:t>stimulate</w:t>
      </w:r>
      <w:r w:rsidR="003E4280" w:rsidRPr="00EB2E4B">
        <w:rPr>
          <w:sz w:val="24"/>
          <w:szCs w:val="24"/>
        </w:rPr>
        <w:t xml:space="preserve"> </w:t>
      </w:r>
      <w:r w:rsidRPr="00EB2E4B">
        <w:rPr>
          <w:sz w:val="24"/>
          <w:szCs w:val="24"/>
        </w:rPr>
        <w:t xml:space="preserve">the achievement of sustainable goals through adopting </w:t>
      </w:r>
      <w:r w:rsidR="003E4280" w:rsidRPr="00EB2E4B">
        <w:rPr>
          <w:sz w:val="24"/>
          <w:szCs w:val="24"/>
        </w:rPr>
        <w:t>CE model</w:t>
      </w:r>
      <w:r w:rsidRPr="00EB2E4B">
        <w:rPr>
          <w:sz w:val="24"/>
          <w:szCs w:val="24"/>
        </w:rPr>
        <w:t>s</w:t>
      </w:r>
      <w:r w:rsidR="009856E6" w:rsidRPr="00EB2E4B">
        <w:rPr>
          <w:sz w:val="24"/>
          <w:szCs w:val="24"/>
        </w:rPr>
        <w:t xml:space="preserve"> (</w:t>
      </w:r>
      <w:proofErr w:type="spellStart"/>
      <w:r w:rsidR="009856E6" w:rsidRPr="00EB2E4B">
        <w:rPr>
          <w:sz w:val="24"/>
          <w:szCs w:val="24"/>
        </w:rPr>
        <w:t>Stahel</w:t>
      </w:r>
      <w:proofErr w:type="spellEnd"/>
      <w:r w:rsidR="009856E6" w:rsidRPr="00EB2E4B">
        <w:rPr>
          <w:sz w:val="24"/>
          <w:szCs w:val="24"/>
        </w:rPr>
        <w:t xml:space="preserve"> et al., 2016)</w:t>
      </w:r>
      <w:r w:rsidR="003E4280" w:rsidRPr="00EB2E4B">
        <w:rPr>
          <w:sz w:val="24"/>
          <w:szCs w:val="24"/>
        </w:rPr>
        <w:t>.</w:t>
      </w:r>
    </w:p>
    <w:p w14:paraId="47A76F37" w14:textId="5FD1FA06" w:rsidR="003E4280" w:rsidRPr="00EB2E4B" w:rsidRDefault="00432AFD" w:rsidP="003E4280">
      <w:pPr>
        <w:rPr>
          <w:sz w:val="24"/>
          <w:szCs w:val="24"/>
        </w:rPr>
      </w:pPr>
      <w:r w:rsidRPr="00EB2E4B">
        <w:rPr>
          <w:sz w:val="24"/>
          <w:szCs w:val="24"/>
        </w:rPr>
        <w:t>Therefore</w:t>
      </w:r>
      <w:r w:rsidR="003E4280" w:rsidRPr="00EB2E4B">
        <w:rPr>
          <w:sz w:val="24"/>
          <w:szCs w:val="24"/>
        </w:rPr>
        <w:t xml:space="preserve">, </w:t>
      </w:r>
      <w:r w:rsidRPr="00EB2E4B">
        <w:rPr>
          <w:sz w:val="24"/>
          <w:szCs w:val="24"/>
        </w:rPr>
        <w:t>organizations</w:t>
      </w:r>
      <w:r w:rsidR="003E4280" w:rsidRPr="00EB2E4B">
        <w:rPr>
          <w:sz w:val="24"/>
          <w:szCs w:val="24"/>
        </w:rPr>
        <w:t xml:space="preserve"> </w:t>
      </w:r>
      <w:r w:rsidRPr="00EB2E4B">
        <w:rPr>
          <w:sz w:val="24"/>
          <w:szCs w:val="24"/>
        </w:rPr>
        <w:t>adopting</w:t>
      </w:r>
      <w:r w:rsidR="003E4280" w:rsidRPr="00EB2E4B">
        <w:rPr>
          <w:sz w:val="24"/>
          <w:szCs w:val="24"/>
        </w:rPr>
        <w:t xml:space="preserve"> CE </w:t>
      </w:r>
      <w:r w:rsidRPr="00EB2E4B">
        <w:rPr>
          <w:sz w:val="24"/>
          <w:szCs w:val="24"/>
        </w:rPr>
        <w:t>business models</w:t>
      </w:r>
      <w:r w:rsidR="003E4280" w:rsidRPr="00EB2E4B">
        <w:rPr>
          <w:sz w:val="24"/>
          <w:szCs w:val="24"/>
        </w:rPr>
        <w:t xml:space="preserve"> </w:t>
      </w:r>
      <w:r w:rsidRPr="00EB2E4B">
        <w:rPr>
          <w:sz w:val="24"/>
          <w:szCs w:val="24"/>
        </w:rPr>
        <w:t>pay</w:t>
      </w:r>
      <w:r w:rsidR="003E4280" w:rsidRPr="00EB2E4B">
        <w:rPr>
          <w:sz w:val="24"/>
          <w:szCs w:val="24"/>
        </w:rPr>
        <w:t xml:space="preserve"> </w:t>
      </w:r>
      <w:r w:rsidRPr="00EB2E4B">
        <w:rPr>
          <w:sz w:val="24"/>
          <w:szCs w:val="24"/>
        </w:rPr>
        <w:t>particular</w:t>
      </w:r>
      <w:r w:rsidR="003E4280" w:rsidRPr="00EB2E4B">
        <w:rPr>
          <w:sz w:val="24"/>
          <w:szCs w:val="24"/>
        </w:rPr>
        <w:t xml:space="preserve"> attention to </w:t>
      </w:r>
      <w:r w:rsidRPr="00EB2E4B">
        <w:rPr>
          <w:sz w:val="24"/>
          <w:szCs w:val="24"/>
        </w:rPr>
        <w:t>communicating</w:t>
      </w:r>
      <w:r w:rsidR="003E4280" w:rsidRPr="00EB2E4B">
        <w:rPr>
          <w:sz w:val="24"/>
          <w:szCs w:val="24"/>
        </w:rPr>
        <w:t xml:space="preserve"> information about their </w:t>
      </w:r>
      <w:r w:rsidRPr="00EB2E4B">
        <w:rPr>
          <w:sz w:val="24"/>
          <w:szCs w:val="24"/>
        </w:rPr>
        <w:t xml:space="preserve">CE strategies, </w:t>
      </w:r>
      <w:proofErr w:type="gramStart"/>
      <w:r w:rsidR="003E4280" w:rsidRPr="00EB2E4B">
        <w:rPr>
          <w:sz w:val="24"/>
          <w:szCs w:val="24"/>
        </w:rPr>
        <w:t>policies</w:t>
      </w:r>
      <w:proofErr w:type="gramEnd"/>
      <w:r w:rsidR="003E4280" w:rsidRPr="00EB2E4B">
        <w:rPr>
          <w:sz w:val="24"/>
          <w:szCs w:val="24"/>
        </w:rPr>
        <w:t xml:space="preserve"> and practices </w:t>
      </w:r>
      <w:r w:rsidRPr="00EB2E4B">
        <w:rPr>
          <w:sz w:val="24"/>
          <w:szCs w:val="24"/>
        </w:rPr>
        <w:t xml:space="preserve">in order </w:t>
      </w:r>
      <w:r w:rsidR="003E4280" w:rsidRPr="00EB2E4B">
        <w:rPr>
          <w:sz w:val="24"/>
          <w:szCs w:val="24"/>
        </w:rPr>
        <w:t xml:space="preserve">to </w:t>
      </w:r>
      <w:r w:rsidRPr="00EB2E4B">
        <w:rPr>
          <w:sz w:val="24"/>
          <w:szCs w:val="24"/>
        </w:rPr>
        <w:t>enhance</w:t>
      </w:r>
      <w:r w:rsidR="003E4280" w:rsidRPr="00EB2E4B">
        <w:rPr>
          <w:sz w:val="24"/>
          <w:szCs w:val="24"/>
        </w:rPr>
        <w:t xml:space="preserve"> </w:t>
      </w:r>
      <w:r w:rsidRPr="00EB2E4B">
        <w:rPr>
          <w:sz w:val="24"/>
          <w:szCs w:val="24"/>
        </w:rPr>
        <w:t xml:space="preserve">the </w:t>
      </w:r>
      <w:r w:rsidR="003E4280" w:rsidRPr="00EB2E4B">
        <w:rPr>
          <w:sz w:val="24"/>
          <w:szCs w:val="24"/>
        </w:rPr>
        <w:t>stakeholders</w:t>
      </w:r>
      <w:r w:rsidRPr="00EB2E4B">
        <w:rPr>
          <w:sz w:val="24"/>
          <w:szCs w:val="24"/>
        </w:rPr>
        <w:t xml:space="preserve">' awareness of sustainability issues and stimulate their collaboration in reaching companies' objectives. Accordingly, stakeholders' </w:t>
      </w:r>
      <w:r w:rsidR="003E4280" w:rsidRPr="00EB2E4B">
        <w:rPr>
          <w:sz w:val="24"/>
          <w:szCs w:val="24"/>
        </w:rPr>
        <w:t>engagement</w:t>
      </w:r>
      <w:r w:rsidRPr="00EB2E4B">
        <w:rPr>
          <w:sz w:val="24"/>
          <w:szCs w:val="24"/>
        </w:rPr>
        <w:t xml:space="preserve"> strategies become crucial</w:t>
      </w:r>
      <w:r w:rsidR="003E4280" w:rsidRPr="00EB2E4B">
        <w:rPr>
          <w:sz w:val="24"/>
          <w:szCs w:val="24"/>
        </w:rPr>
        <w:t xml:space="preserve"> </w:t>
      </w:r>
      <w:r w:rsidR="009856E6" w:rsidRPr="00EB2E4B">
        <w:rPr>
          <w:sz w:val="24"/>
          <w:szCs w:val="24"/>
        </w:rPr>
        <w:t>(</w:t>
      </w:r>
      <w:proofErr w:type="spellStart"/>
      <w:r w:rsidR="009856E6" w:rsidRPr="00EB2E4B">
        <w:rPr>
          <w:sz w:val="24"/>
          <w:szCs w:val="24"/>
        </w:rPr>
        <w:t>Barnabè</w:t>
      </w:r>
      <w:proofErr w:type="spellEnd"/>
      <w:r w:rsidR="009856E6" w:rsidRPr="00EB2E4B">
        <w:rPr>
          <w:sz w:val="24"/>
          <w:szCs w:val="24"/>
        </w:rPr>
        <w:t xml:space="preserve"> and Nazir, 2020)</w:t>
      </w:r>
      <w:r w:rsidR="003E4280" w:rsidRPr="00EB2E4B">
        <w:rPr>
          <w:sz w:val="24"/>
          <w:szCs w:val="24"/>
        </w:rPr>
        <w:t>.</w:t>
      </w:r>
      <w:r w:rsidRPr="00EB2E4B">
        <w:rPr>
          <w:sz w:val="24"/>
          <w:szCs w:val="24"/>
        </w:rPr>
        <w:t xml:space="preserve"> In this context, </w:t>
      </w:r>
      <w:r w:rsidR="003E4280" w:rsidRPr="00EB2E4B">
        <w:rPr>
          <w:sz w:val="24"/>
          <w:szCs w:val="24"/>
        </w:rPr>
        <w:t>the</w:t>
      </w:r>
      <w:r w:rsidRPr="00EB2E4B">
        <w:rPr>
          <w:sz w:val="24"/>
          <w:szCs w:val="24"/>
        </w:rPr>
        <w:t xml:space="preserve"> negative impacts</w:t>
      </w:r>
      <w:r w:rsidR="003E4280" w:rsidRPr="00EB2E4B">
        <w:rPr>
          <w:sz w:val="24"/>
          <w:szCs w:val="24"/>
        </w:rPr>
        <w:t xml:space="preserve"> </w:t>
      </w:r>
      <w:r w:rsidRPr="00EB2E4B">
        <w:rPr>
          <w:sz w:val="24"/>
          <w:szCs w:val="24"/>
        </w:rPr>
        <w:t xml:space="preserve">of the </w:t>
      </w:r>
      <w:r w:rsidR="003E4280" w:rsidRPr="00EB2E4B">
        <w:rPr>
          <w:sz w:val="24"/>
          <w:szCs w:val="24"/>
        </w:rPr>
        <w:t>pandemic</w:t>
      </w:r>
      <w:r w:rsidRPr="00EB2E4B">
        <w:rPr>
          <w:sz w:val="24"/>
          <w:szCs w:val="24"/>
        </w:rPr>
        <w:t xml:space="preserve"> on our ecosystem</w:t>
      </w:r>
      <w:r w:rsidR="003E4280" w:rsidRPr="00EB2E4B">
        <w:rPr>
          <w:sz w:val="24"/>
          <w:szCs w:val="24"/>
        </w:rPr>
        <w:t xml:space="preserve"> have </w:t>
      </w:r>
      <w:r w:rsidRPr="00EB2E4B">
        <w:rPr>
          <w:sz w:val="24"/>
          <w:szCs w:val="24"/>
        </w:rPr>
        <w:t>pointed out</w:t>
      </w:r>
      <w:r w:rsidR="003E4280" w:rsidRPr="00EB2E4B">
        <w:rPr>
          <w:sz w:val="24"/>
          <w:szCs w:val="24"/>
        </w:rPr>
        <w:t xml:space="preserve"> the </w:t>
      </w:r>
      <w:r w:rsidRPr="00EB2E4B">
        <w:rPr>
          <w:sz w:val="24"/>
          <w:szCs w:val="24"/>
        </w:rPr>
        <w:t>emergency</w:t>
      </w:r>
      <w:r w:rsidR="003E4280" w:rsidRPr="00EB2E4B">
        <w:rPr>
          <w:sz w:val="24"/>
          <w:szCs w:val="24"/>
        </w:rPr>
        <w:t xml:space="preserve"> to </w:t>
      </w:r>
      <w:r w:rsidRPr="00EB2E4B">
        <w:rPr>
          <w:sz w:val="24"/>
          <w:szCs w:val="24"/>
        </w:rPr>
        <w:t>construct</w:t>
      </w:r>
      <w:r w:rsidR="003E4280" w:rsidRPr="00EB2E4B">
        <w:rPr>
          <w:sz w:val="24"/>
          <w:szCs w:val="24"/>
        </w:rPr>
        <w:t xml:space="preserve"> a</w:t>
      </w:r>
      <w:r w:rsidRPr="00EB2E4B">
        <w:rPr>
          <w:sz w:val="24"/>
          <w:szCs w:val="24"/>
        </w:rPr>
        <w:t xml:space="preserve">n </w:t>
      </w:r>
      <w:r w:rsidR="003E4280" w:rsidRPr="00EB2E4B">
        <w:rPr>
          <w:sz w:val="24"/>
          <w:szCs w:val="24"/>
        </w:rPr>
        <w:t>interactive</w:t>
      </w:r>
      <w:r w:rsidRPr="00EB2E4B">
        <w:rPr>
          <w:sz w:val="24"/>
          <w:szCs w:val="24"/>
        </w:rPr>
        <w:t xml:space="preserve"> and dialogic</w:t>
      </w:r>
      <w:r w:rsidR="003E4280" w:rsidRPr="00EB2E4B">
        <w:rPr>
          <w:sz w:val="24"/>
          <w:szCs w:val="24"/>
        </w:rPr>
        <w:t xml:space="preserve"> approach</w:t>
      </w:r>
      <w:r w:rsidRPr="00EB2E4B">
        <w:rPr>
          <w:sz w:val="24"/>
          <w:szCs w:val="24"/>
        </w:rPr>
        <w:t xml:space="preserve"> with </w:t>
      </w:r>
      <w:proofErr w:type="gramStart"/>
      <w:r w:rsidRPr="00EB2E4B">
        <w:rPr>
          <w:sz w:val="24"/>
          <w:szCs w:val="24"/>
        </w:rPr>
        <w:t>companies</w:t>
      </w:r>
      <w:proofErr w:type="gramEnd"/>
      <w:r w:rsidRPr="00EB2E4B">
        <w:rPr>
          <w:sz w:val="24"/>
          <w:szCs w:val="24"/>
        </w:rPr>
        <w:t xml:space="preserve"> stakeholders on CE through the </w:t>
      </w:r>
      <w:r w:rsidR="003E4280" w:rsidRPr="00EB2E4B">
        <w:rPr>
          <w:sz w:val="24"/>
          <w:szCs w:val="24"/>
        </w:rPr>
        <w:t>CE disclosure.</w:t>
      </w:r>
      <w:r w:rsidR="0002357B" w:rsidRPr="00EB2E4B">
        <w:rPr>
          <w:sz w:val="24"/>
          <w:szCs w:val="24"/>
        </w:rPr>
        <w:t xml:space="preserve"> To do so, companies are using social media (SM) to </w:t>
      </w:r>
      <w:r w:rsidR="003E4280" w:rsidRPr="00EB2E4B">
        <w:rPr>
          <w:sz w:val="24"/>
          <w:szCs w:val="24"/>
        </w:rPr>
        <w:t xml:space="preserve">engage </w:t>
      </w:r>
      <w:r w:rsidR="0002357B" w:rsidRPr="00EB2E4B">
        <w:rPr>
          <w:sz w:val="24"/>
          <w:szCs w:val="24"/>
        </w:rPr>
        <w:t>with an extensive</w:t>
      </w:r>
      <w:r w:rsidR="003E4280" w:rsidRPr="00EB2E4B">
        <w:rPr>
          <w:sz w:val="24"/>
          <w:szCs w:val="24"/>
        </w:rPr>
        <w:t xml:space="preserve"> </w:t>
      </w:r>
      <w:r w:rsidR="0002357B" w:rsidRPr="00EB2E4B">
        <w:rPr>
          <w:sz w:val="24"/>
          <w:szCs w:val="24"/>
        </w:rPr>
        <w:t>symposium</w:t>
      </w:r>
      <w:r w:rsidR="003E4280" w:rsidRPr="00EB2E4B">
        <w:rPr>
          <w:sz w:val="24"/>
          <w:szCs w:val="24"/>
        </w:rPr>
        <w:t xml:space="preserve"> of stakeholders</w:t>
      </w:r>
      <w:r w:rsidR="009856E6" w:rsidRPr="00EB2E4B">
        <w:rPr>
          <w:sz w:val="24"/>
          <w:szCs w:val="24"/>
        </w:rPr>
        <w:t xml:space="preserve"> (</w:t>
      </w:r>
      <w:proofErr w:type="spellStart"/>
      <w:r w:rsidR="009856E6" w:rsidRPr="00EB2E4B">
        <w:rPr>
          <w:sz w:val="24"/>
          <w:szCs w:val="24"/>
        </w:rPr>
        <w:t>Lytras</w:t>
      </w:r>
      <w:proofErr w:type="spellEnd"/>
      <w:r w:rsidR="009856E6" w:rsidRPr="00EB2E4B">
        <w:rPr>
          <w:sz w:val="24"/>
          <w:szCs w:val="24"/>
        </w:rPr>
        <w:t xml:space="preserve"> et al., 2019).</w:t>
      </w:r>
    </w:p>
    <w:p w14:paraId="64E66A1A" w14:textId="0833FACC" w:rsidR="003E4280" w:rsidRPr="00EB2E4B" w:rsidRDefault="0002357B" w:rsidP="003E4280">
      <w:pPr>
        <w:rPr>
          <w:sz w:val="24"/>
          <w:szCs w:val="24"/>
        </w:rPr>
      </w:pPr>
      <w:r w:rsidRPr="00EB2E4B">
        <w:rPr>
          <w:sz w:val="24"/>
          <w:szCs w:val="24"/>
        </w:rPr>
        <w:t>Starting from this background</w:t>
      </w:r>
      <w:r w:rsidR="003E4280" w:rsidRPr="00EB2E4B">
        <w:rPr>
          <w:sz w:val="24"/>
          <w:szCs w:val="24"/>
        </w:rPr>
        <w:t>, th</w:t>
      </w:r>
      <w:r w:rsidRPr="00EB2E4B">
        <w:rPr>
          <w:sz w:val="24"/>
          <w:szCs w:val="24"/>
        </w:rPr>
        <w:t xml:space="preserve">is </w:t>
      </w:r>
      <w:r w:rsidR="003E4280" w:rsidRPr="00EB2E4B">
        <w:rPr>
          <w:sz w:val="24"/>
          <w:szCs w:val="24"/>
        </w:rPr>
        <w:t>research</w:t>
      </w:r>
      <w:r w:rsidRPr="00EB2E4B">
        <w:rPr>
          <w:sz w:val="24"/>
          <w:szCs w:val="24"/>
        </w:rPr>
        <w:t xml:space="preserve"> paper aims to</w:t>
      </w:r>
      <w:r w:rsidR="003E4280" w:rsidRPr="00EB2E4B">
        <w:rPr>
          <w:sz w:val="24"/>
          <w:szCs w:val="24"/>
        </w:rPr>
        <w:t xml:space="preserve"> </w:t>
      </w:r>
      <w:r w:rsidRPr="00EB2E4B">
        <w:rPr>
          <w:sz w:val="24"/>
          <w:szCs w:val="24"/>
        </w:rPr>
        <w:t>investigate the</w:t>
      </w:r>
      <w:r w:rsidR="003E4280" w:rsidRPr="00EB2E4B">
        <w:rPr>
          <w:sz w:val="24"/>
          <w:szCs w:val="24"/>
        </w:rPr>
        <w:t xml:space="preserve"> perception of CE disclosure</w:t>
      </w:r>
      <w:r w:rsidRPr="00EB2E4B">
        <w:rPr>
          <w:sz w:val="24"/>
          <w:szCs w:val="24"/>
        </w:rPr>
        <w:t xml:space="preserve"> practices via SM</w:t>
      </w:r>
      <w:r w:rsidR="003E4280" w:rsidRPr="00EB2E4B">
        <w:rPr>
          <w:sz w:val="24"/>
          <w:szCs w:val="24"/>
        </w:rPr>
        <w:t xml:space="preserve"> in the agri-food industry</w:t>
      </w:r>
      <w:r w:rsidRPr="00EB2E4B">
        <w:rPr>
          <w:sz w:val="24"/>
          <w:szCs w:val="24"/>
        </w:rPr>
        <w:t xml:space="preserve"> (AFI). A content analysis of the Titter posts published by three Italian AFI from the beginning of COVID-19 has been performed following a </w:t>
      </w:r>
      <w:r w:rsidR="003E4280" w:rsidRPr="00EB2E4B">
        <w:rPr>
          <w:sz w:val="24"/>
          <w:szCs w:val="24"/>
        </w:rPr>
        <w:t xml:space="preserve">coding framework </w:t>
      </w:r>
      <w:r w:rsidRPr="00EB2E4B">
        <w:rPr>
          <w:sz w:val="24"/>
          <w:szCs w:val="24"/>
        </w:rPr>
        <w:t>developed in the light of the CE paradigm. Furthermore</w:t>
      </w:r>
      <w:r w:rsidR="003E4280" w:rsidRPr="00EB2E4B">
        <w:rPr>
          <w:sz w:val="24"/>
          <w:szCs w:val="24"/>
        </w:rPr>
        <w:t>, the communication direction and</w:t>
      </w:r>
      <w:r w:rsidRPr="00EB2E4B">
        <w:rPr>
          <w:sz w:val="24"/>
          <w:szCs w:val="24"/>
        </w:rPr>
        <w:t xml:space="preserve"> the</w:t>
      </w:r>
      <w:r w:rsidR="003E4280" w:rsidRPr="00EB2E4B">
        <w:rPr>
          <w:sz w:val="24"/>
          <w:szCs w:val="24"/>
        </w:rPr>
        <w:t xml:space="preserve"> balance level have been </w:t>
      </w:r>
      <w:r w:rsidRPr="00EB2E4B">
        <w:rPr>
          <w:sz w:val="24"/>
          <w:szCs w:val="24"/>
        </w:rPr>
        <w:t>analyzed</w:t>
      </w:r>
      <w:r w:rsidR="003E4280" w:rsidRPr="00EB2E4B">
        <w:rPr>
          <w:sz w:val="24"/>
          <w:szCs w:val="24"/>
        </w:rPr>
        <w:t xml:space="preserve">. </w:t>
      </w:r>
    </w:p>
    <w:p w14:paraId="38B05FE9" w14:textId="7EF437CF" w:rsidR="003E4280" w:rsidRPr="00EB2E4B" w:rsidRDefault="003E4280" w:rsidP="003E4280">
      <w:pPr>
        <w:rPr>
          <w:sz w:val="24"/>
          <w:szCs w:val="24"/>
        </w:rPr>
      </w:pPr>
      <w:r w:rsidRPr="00EB2E4B">
        <w:rPr>
          <w:sz w:val="24"/>
          <w:szCs w:val="24"/>
        </w:rPr>
        <w:t xml:space="preserve">The paper is </w:t>
      </w:r>
      <w:r w:rsidR="0002357B" w:rsidRPr="00EB2E4B">
        <w:rPr>
          <w:sz w:val="24"/>
          <w:szCs w:val="24"/>
        </w:rPr>
        <w:t>arranged</w:t>
      </w:r>
      <w:r w:rsidRPr="00EB2E4B">
        <w:rPr>
          <w:sz w:val="24"/>
          <w:szCs w:val="24"/>
        </w:rPr>
        <w:t xml:space="preserve"> as follows.</w:t>
      </w:r>
      <w:r w:rsidR="0002357B" w:rsidRPr="00EB2E4B">
        <w:rPr>
          <w:sz w:val="24"/>
          <w:szCs w:val="24"/>
        </w:rPr>
        <w:t xml:space="preserve"> The first part focuses on the literature review, and the second</w:t>
      </w:r>
      <w:r w:rsidRPr="00EB2E4B">
        <w:rPr>
          <w:sz w:val="24"/>
          <w:szCs w:val="24"/>
        </w:rPr>
        <w:t xml:space="preserve"> </w:t>
      </w:r>
      <w:r w:rsidR="0002357B" w:rsidRPr="00EB2E4B">
        <w:rPr>
          <w:sz w:val="24"/>
          <w:szCs w:val="24"/>
        </w:rPr>
        <w:t>details</w:t>
      </w:r>
      <w:r w:rsidRPr="00EB2E4B">
        <w:rPr>
          <w:sz w:val="24"/>
          <w:szCs w:val="24"/>
        </w:rPr>
        <w:t xml:space="preserve"> the research methodology. </w:t>
      </w:r>
      <w:r w:rsidR="0002357B" w:rsidRPr="00EB2E4B">
        <w:rPr>
          <w:sz w:val="24"/>
          <w:szCs w:val="24"/>
        </w:rPr>
        <w:t>While t</w:t>
      </w:r>
      <w:r w:rsidRPr="00EB2E4B">
        <w:rPr>
          <w:sz w:val="24"/>
          <w:szCs w:val="24"/>
        </w:rPr>
        <w:t xml:space="preserve">he third </w:t>
      </w:r>
      <w:r w:rsidR="0002357B" w:rsidRPr="00EB2E4B">
        <w:rPr>
          <w:sz w:val="24"/>
          <w:szCs w:val="24"/>
        </w:rPr>
        <w:t xml:space="preserve">part provides </w:t>
      </w:r>
      <w:r w:rsidRPr="00EB2E4B">
        <w:rPr>
          <w:sz w:val="24"/>
          <w:szCs w:val="24"/>
        </w:rPr>
        <w:t xml:space="preserve">the </w:t>
      </w:r>
      <w:r w:rsidR="0002357B" w:rsidRPr="00EB2E4B">
        <w:rPr>
          <w:sz w:val="24"/>
          <w:szCs w:val="24"/>
        </w:rPr>
        <w:t>main</w:t>
      </w:r>
      <w:r w:rsidRPr="00EB2E4B">
        <w:rPr>
          <w:sz w:val="24"/>
          <w:szCs w:val="24"/>
        </w:rPr>
        <w:t xml:space="preserve"> results. </w:t>
      </w:r>
      <w:r w:rsidR="0002357B" w:rsidRPr="00EB2E4B">
        <w:rPr>
          <w:sz w:val="24"/>
          <w:szCs w:val="24"/>
        </w:rPr>
        <w:t>Finally</w:t>
      </w:r>
      <w:r w:rsidRPr="00EB2E4B">
        <w:rPr>
          <w:sz w:val="24"/>
          <w:szCs w:val="24"/>
        </w:rPr>
        <w:t xml:space="preserve">, conclusions, implications and future research directions are </w:t>
      </w:r>
      <w:r w:rsidR="0002357B" w:rsidRPr="00EB2E4B">
        <w:rPr>
          <w:sz w:val="24"/>
          <w:szCs w:val="24"/>
        </w:rPr>
        <w:t>presented</w:t>
      </w:r>
      <w:r w:rsidRPr="00EB2E4B">
        <w:rPr>
          <w:sz w:val="24"/>
          <w:szCs w:val="24"/>
        </w:rPr>
        <w:t>.</w:t>
      </w:r>
    </w:p>
    <w:p w14:paraId="06BAB625" w14:textId="77777777" w:rsidR="003E4280" w:rsidRPr="00EB2E4B" w:rsidRDefault="003E4280" w:rsidP="003E4280">
      <w:pPr>
        <w:rPr>
          <w:sz w:val="24"/>
          <w:szCs w:val="24"/>
        </w:rPr>
      </w:pPr>
    </w:p>
    <w:p w14:paraId="552D8584" w14:textId="7ECF4DF0" w:rsidR="008C685C" w:rsidRPr="00EB2E4B" w:rsidRDefault="003E4280" w:rsidP="003E4280">
      <w:pPr>
        <w:pStyle w:val="Titolo1"/>
        <w:numPr>
          <w:ilvl w:val="0"/>
          <w:numId w:val="43"/>
        </w:numPr>
        <w:spacing w:before="0" w:after="0" w:line="276" w:lineRule="auto"/>
        <w:rPr>
          <w:snapToGrid w:val="0"/>
          <w:sz w:val="24"/>
          <w:szCs w:val="24"/>
        </w:rPr>
      </w:pPr>
      <w:r w:rsidRPr="00EB2E4B">
        <w:rPr>
          <w:snapToGrid w:val="0"/>
          <w:sz w:val="24"/>
          <w:szCs w:val="24"/>
        </w:rPr>
        <w:t xml:space="preserve">Literature review </w:t>
      </w:r>
    </w:p>
    <w:p w14:paraId="013BA7C0" w14:textId="70AB63A4" w:rsidR="003E4280" w:rsidRPr="00EB2E4B" w:rsidRDefault="004236D9" w:rsidP="003E4280">
      <w:pPr>
        <w:rPr>
          <w:sz w:val="24"/>
          <w:szCs w:val="24"/>
        </w:rPr>
      </w:pPr>
      <w:r w:rsidRPr="00EB2E4B">
        <w:rPr>
          <w:sz w:val="24"/>
          <w:szCs w:val="24"/>
        </w:rPr>
        <w:t>Over the past few years</w:t>
      </w:r>
      <w:r w:rsidR="003E4280" w:rsidRPr="00EB2E4B">
        <w:rPr>
          <w:sz w:val="24"/>
          <w:szCs w:val="24"/>
        </w:rPr>
        <w:t>, the CE</w:t>
      </w:r>
      <w:r w:rsidRPr="00EB2E4B">
        <w:rPr>
          <w:sz w:val="24"/>
          <w:szCs w:val="24"/>
        </w:rPr>
        <w:t xml:space="preserve"> notion</w:t>
      </w:r>
      <w:r w:rsidR="003E4280" w:rsidRPr="00EB2E4B">
        <w:rPr>
          <w:sz w:val="24"/>
          <w:szCs w:val="24"/>
        </w:rPr>
        <w:t xml:space="preserve"> has been </w:t>
      </w:r>
      <w:r w:rsidRPr="00EB2E4B">
        <w:rPr>
          <w:sz w:val="24"/>
          <w:szCs w:val="24"/>
        </w:rPr>
        <w:t>extensively</w:t>
      </w:r>
      <w:r w:rsidR="003E4280" w:rsidRPr="00EB2E4B">
        <w:rPr>
          <w:sz w:val="24"/>
          <w:szCs w:val="24"/>
        </w:rPr>
        <w:t xml:space="preserve"> </w:t>
      </w:r>
      <w:r w:rsidRPr="00EB2E4B">
        <w:rPr>
          <w:sz w:val="24"/>
          <w:szCs w:val="24"/>
        </w:rPr>
        <w:t>investigated</w:t>
      </w:r>
      <w:r w:rsidR="003E4280" w:rsidRPr="00EB2E4B">
        <w:rPr>
          <w:sz w:val="24"/>
          <w:szCs w:val="24"/>
        </w:rPr>
        <w:t xml:space="preserve">, </w:t>
      </w:r>
      <w:r w:rsidRPr="00EB2E4B">
        <w:rPr>
          <w:sz w:val="24"/>
          <w:szCs w:val="24"/>
        </w:rPr>
        <w:t>resulting in</w:t>
      </w:r>
      <w:r w:rsidR="003E4280" w:rsidRPr="00EB2E4B">
        <w:rPr>
          <w:sz w:val="24"/>
          <w:szCs w:val="24"/>
        </w:rPr>
        <w:t xml:space="preserve"> the </w:t>
      </w:r>
      <w:r w:rsidRPr="00EB2E4B">
        <w:rPr>
          <w:sz w:val="24"/>
          <w:szCs w:val="24"/>
        </w:rPr>
        <w:t>elaboration</w:t>
      </w:r>
      <w:r w:rsidR="003E4280" w:rsidRPr="00EB2E4B">
        <w:rPr>
          <w:sz w:val="24"/>
          <w:szCs w:val="24"/>
        </w:rPr>
        <w:t xml:space="preserve"> of </w:t>
      </w:r>
      <w:r w:rsidRPr="00EB2E4B">
        <w:rPr>
          <w:sz w:val="24"/>
          <w:szCs w:val="24"/>
        </w:rPr>
        <w:t>multiple</w:t>
      </w:r>
      <w:r w:rsidR="003E4280" w:rsidRPr="00EB2E4B">
        <w:rPr>
          <w:sz w:val="24"/>
          <w:szCs w:val="24"/>
        </w:rPr>
        <w:t xml:space="preserve"> </w:t>
      </w:r>
      <w:r w:rsidRPr="00EB2E4B">
        <w:rPr>
          <w:sz w:val="24"/>
          <w:szCs w:val="24"/>
        </w:rPr>
        <w:t>concepts</w:t>
      </w:r>
      <w:r w:rsidR="003E4280" w:rsidRPr="00EB2E4B">
        <w:rPr>
          <w:sz w:val="24"/>
          <w:szCs w:val="24"/>
        </w:rPr>
        <w:t xml:space="preserve"> </w:t>
      </w:r>
      <w:r w:rsidRPr="00EB2E4B">
        <w:rPr>
          <w:sz w:val="24"/>
          <w:szCs w:val="24"/>
        </w:rPr>
        <w:t>in the light of</w:t>
      </w:r>
      <w:r w:rsidR="003E4280" w:rsidRPr="00EB2E4B">
        <w:rPr>
          <w:sz w:val="24"/>
          <w:szCs w:val="24"/>
        </w:rPr>
        <w:t xml:space="preserve"> </w:t>
      </w:r>
      <w:r w:rsidRPr="00EB2E4B">
        <w:rPr>
          <w:sz w:val="24"/>
          <w:szCs w:val="24"/>
        </w:rPr>
        <w:t>several</w:t>
      </w:r>
      <w:r w:rsidR="003E4280" w:rsidRPr="00EB2E4B">
        <w:rPr>
          <w:sz w:val="24"/>
          <w:szCs w:val="24"/>
        </w:rPr>
        <w:t xml:space="preserve"> </w:t>
      </w:r>
      <w:r w:rsidRPr="00EB2E4B">
        <w:rPr>
          <w:sz w:val="24"/>
          <w:szCs w:val="24"/>
        </w:rPr>
        <w:t>streams of</w:t>
      </w:r>
      <w:r w:rsidR="003E4280" w:rsidRPr="00EB2E4B">
        <w:rPr>
          <w:sz w:val="24"/>
          <w:szCs w:val="24"/>
        </w:rPr>
        <w:t xml:space="preserve"> </w:t>
      </w:r>
      <w:r w:rsidRPr="00EB2E4B">
        <w:rPr>
          <w:sz w:val="24"/>
          <w:szCs w:val="24"/>
        </w:rPr>
        <w:t xml:space="preserve">research. Among them </w:t>
      </w:r>
      <w:r w:rsidR="00EB2E4B" w:rsidRPr="00EB2E4B">
        <w:rPr>
          <w:sz w:val="24"/>
          <w:szCs w:val="24"/>
        </w:rPr>
        <w:t xml:space="preserve">are </w:t>
      </w:r>
      <w:r w:rsidR="003E4280" w:rsidRPr="00EB2E4B">
        <w:rPr>
          <w:sz w:val="24"/>
          <w:szCs w:val="24"/>
        </w:rPr>
        <w:t>regenerative design</w:t>
      </w:r>
      <w:r w:rsidR="009856E6" w:rsidRPr="00EB2E4B">
        <w:rPr>
          <w:sz w:val="24"/>
          <w:szCs w:val="24"/>
        </w:rPr>
        <w:t xml:space="preserve"> (</w:t>
      </w:r>
      <w:proofErr w:type="spellStart"/>
      <w:r w:rsidR="009856E6" w:rsidRPr="00EB2E4B">
        <w:rPr>
          <w:sz w:val="24"/>
          <w:szCs w:val="24"/>
        </w:rPr>
        <w:t>Stahel</w:t>
      </w:r>
      <w:proofErr w:type="spellEnd"/>
      <w:r w:rsidR="009856E6" w:rsidRPr="00EB2E4B">
        <w:rPr>
          <w:sz w:val="24"/>
          <w:szCs w:val="24"/>
        </w:rPr>
        <w:t>, 2016)</w:t>
      </w:r>
      <w:r w:rsidR="003E4280" w:rsidRPr="00EB2E4B">
        <w:rPr>
          <w:sz w:val="24"/>
          <w:szCs w:val="24"/>
        </w:rPr>
        <w:t xml:space="preserve">; </w:t>
      </w:r>
      <w:r w:rsidR="003E4280" w:rsidRPr="00EB2E4B">
        <w:rPr>
          <w:sz w:val="24"/>
          <w:szCs w:val="24"/>
        </w:rPr>
        <w:lastRenderedPageBreak/>
        <w:t>industrial ecology</w:t>
      </w:r>
      <w:r w:rsidR="009856E6" w:rsidRPr="00EB2E4B">
        <w:rPr>
          <w:sz w:val="24"/>
          <w:szCs w:val="24"/>
        </w:rPr>
        <w:t xml:space="preserve"> (</w:t>
      </w:r>
      <w:proofErr w:type="spellStart"/>
      <w:r w:rsidR="009856E6" w:rsidRPr="00EB2E4B">
        <w:rPr>
          <w:sz w:val="24"/>
          <w:szCs w:val="24"/>
        </w:rPr>
        <w:t>Alkmanash</w:t>
      </w:r>
      <w:proofErr w:type="spellEnd"/>
      <w:r w:rsidR="009856E6" w:rsidRPr="00EB2E4B">
        <w:rPr>
          <w:sz w:val="24"/>
          <w:szCs w:val="24"/>
        </w:rPr>
        <w:t xml:space="preserve"> et al., 2019)</w:t>
      </w:r>
      <w:r w:rsidR="003E4280" w:rsidRPr="00EB2E4B">
        <w:rPr>
          <w:sz w:val="24"/>
          <w:szCs w:val="24"/>
        </w:rPr>
        <w:t>; industrial symbiosis</w:t>
      </w:r>
      <w:r w:rsidR="009856E6" w:rsidRPr="00EB2E4B">
        <w:rPr>
          <w:sz w:val="24"/>
          <w:szCs w:val="24"/>
        </w:rPr>
        <w:t xml:space="preserve"> (Boons, 2017)</w:t>
      </w:r>
      <w:r w:rsidR="003E4280" w:rsidRPr="00EB2E4B">
        <w:rPr>
          <w:sz w:val="24"/>
          <w:szCs w:val="24"/>
        </w:rPr>
        <w:t xml:space="preserve">; </w:t>
      </w:r>
      <w:r w:rsidRPr="00EB2E4B">
        <w:rPr>
          <w:sz w:val="24"/>
          <w:szCs w:val="24"/>
        </w:rPr>
        <w:t xml:space="preserve">the </w:t>
      </w:r>
      <w:r w:rsidR="003E4280" w:rsidRPr="00EB2E4B">
        <w:rPr>
          <w:sz w:val="24"/>
          <w:szCs w:val="24"/>
        </w:rPr>
        <w:t>green economy</w:t>
      </w:r>
      <w:r w:rsidR="009856E6" w:rsidRPr="00EB2E4B">
        <w:rPr>
          <w:sz w:val="24"/>
          <w:szCs w:val="24"/>
        </w:rPr>
        <w:t xml:space="preserve"> (Mohan, 2016) </w:t>
      </w:r>
      <w:r w:rsidR="003E4280" w:rsidRPr="00EB2E4B">
        <w:rPr>
          <w:sz w:val="24"/>
          <w:szCs w:val="24"/>
        </w:rPr>
        <w:t>and</w:t>
      </w:r>
      <w:r w:rsidRPr="00EB2E4B">
        <w:rPr>
          <w:sz w:val="24"/>
          <w:szCs w:val="24"/>
        </w:rPr>
        <w:t xml:space="preserve"> the</w:t>
      </w:r>
      <w:r w:rsidR="003E4280" w:rsidRPr="00EB2E4B">
        <w:rPr>
          <w:sz w:val="24"/>
          <w:szCs w:val="24"/>
        </w:rPr>
        <w:t xml:space="preserve"> cradle</w:t>
      </w:r>
      <w:r w:rsidRPr="00EB2E4B">
        <w:rPr>
          <w:sz w:val="24"/>
          <w:szCs w:val="24"/>
        </w:rPr>
        <w:t>-to-</w:t>
      </w:r>
      <w:r w:rsidR="003E4280" w:rsidRPr="00EB2E4B">
        <w:rPr>
          <w:sz w:val="24"/>
          <w:szCs w:val="24"/>
        </w:rPr>
        <w:t>cradle design</w:t>
      </w:r>
      <w:r w:rsidR="009856E6" w:rsidRPr="00EB2E4B">
        <w:rPr>
          <w:sz w:val="24"/>
          <w:szCs w:val="24"/>
        </w:rPr>
        <w:t xml:space="preserve"> (</w:t>
      </w:r>
      <w:proofErr w:type="spellStart"/>
      <w:r w:rsidR="009856E6" w:rsidRPr="00EB2E4B">
        <w:rPr>
          <w:sz w:val="24"/>
          <w:szCs w:val="24"/>
        </w:rPr>
        <w:t>Braungart</w:t>
      </w:r>
      <w:proofErr w:type="spellEnd"/>
      <w:r w:rsidR="009856E6" w:rsidRPr="00EB2E4B">
        <w:rPr>
          <w:sz w:val="24"/>
          <w:szCs w:val="24"/>
        </w:rPr>
        <w:t xml:space="preserve"> et al., 2012)</w:t>
      </w:r>
      <w:r w:rsidRPr="00EB2E4B">
        <w:rPr>
          <w:sz w:val="24"/>
          <w:szCs w:val="24"/>
        </w:rPr>
        <w:t xml:space="preserve"> have been developed</w:t>
      </w:r>
      <w:r w:rsidR="003E4280" w:rsidRPr="00EB2E4B">
        <w:rPr>
          <w:sz w:val="24"/>
          <w:szCs w:val="24"/>
        </w:rPr>
        <w:t xml:space="preserve">. </w:t>
      </w:r>
      <w:r w:rsidRPr="00EB2E4B">
        <w:rPr>
          <w:sz w:val="24"/>
          <w:szCs w:val="24"/>
        </w:rPr>
        <w:t>Accordingly</w:t>
      </w:r>
      <w:r w:rsidR="003E4280" w:rsidRPr="00EB2E4B">
        <w:rPr>
          <w:sz w:val="24"/>
          <w:szCs w:val="24"/>
        </w:rPr>
        <w:t xml:space="preserve">, the CE concept </w:t>
      </w:r>
      <w:r w:rsidRPr="00EB2E4B">
        <w:rPr>
          <w:sz w:val="24"/>
          <w:szCs w:val="24"/>
        </w:rPr>
        <w:t>has been seen by some scholars as an "</w:t>
      </w:r>
      <w:r w:rsidR="003E4280" w:rsidRPr="00EB2E4B">
        <w:rPr>
          <w:sz w:val="24"/>
          <w:szCs w:val="24"/>
        </w:rPr>
        <w:t>umbrella</w:t>
      </w:r>
      <w:r w:rsidRPr="00EB2E4B">
        <w:rPr>
          <w:sz w:val="24"/>
          <w:szCs w:val="24"/>
        </w:rPr>
        <w:t xml:space="preserve"> concept" for its characteristic of encompassing all the approaches previously mentioned to reach sustainable development </w:t>
      </w:r>
      <w:r w:rsidR="009856E6" w:rsidRPr="00EB2E4B">
        <w:rPr>
          <w:sz w:val="24"/>
          <w:szCs w:val="24"/>
        </w:rPr>
        <w:t>(</w:t>
      </w:r>
      <w:proofErr w:type="spellStart"/>
      <w:r w:rsidR="009856E6" w:rsidRPr="00EB2E4B">
        <w:rPr>
          <w:sz w:val="24"/>
          <w:szCs w:val="24"/>
        </w:rPr>
        <w:t>Blomsma</w:t>
      </w:r>
      <w:proofErr w:type="spellEnd"/>
      <w:r w:rsidR="009856E6" w:rsidRPr="00EB2E4B">
        <w:rPr>
          <w:sz w:val="24"/>
          <w:szCs w:val="24"/>
        </w:rPr>
        <w:t xml:space="preserve"> and Brennan, 2017)</w:t>
      </w:r>
      <w:r w:rsidR="003E4280" w:rsidRPr="00EB2E4B">
        <w:rPr>
          <w:sz w:val="24"/>
          <w:szCs w:val="24"/>
        </w:rPr>
        <w:t xml:space="preserve">. </w:t>
      </w:r>
      <w:r w:rsidRPr="00EB2E4B">
        <w:rPr>
          <w:sz w:val="24"/>
          <w:szCs w:val="24"/>
        </w:rPr>
        <w:t xml:space="preserve">The Ellen MacArthur Foundation has provided the most recognized CE definition worldwide, whereby </w:t>
      </w:r>
      <w:r w:rsidR="003E4280" w:rsidRPr="00EB2E4B">
        <w:rPr>
          <w:sz w:val="24"/>
          <w:szCs w:val="24"/>
        </w:rPr>
        <w:t xml:space="preserve">CE is </w:t>
      </w:r>
      <w:r w:rsidR="00432AFD" w:rsidRPr="00EB2E4B">
        <w:rPr>
          <w:sz w:val="24"/>
          <w:szCs w:val="24"/>
        </w:rPr>
        <w:t>"</w:t>
      </w:r>
      <w:r w:rsidR="003E4280" w:rsidRPr="00EB2E4B">
        <w:rPr>
          <w:sz w:val="24"/>
          <w:szCs w:val="24"/>
        </w:rPr>
        <w:t>a systems solution framework that tackles global challenges like climate change, biodiversity loss, waste, and pollution</w:t>
      </w:r>
      <w:r w:rsidR="00432AFD" w:rsidRPr="00EB2E4B">
        <w:rPr>
          <w:sz w:val="24"/>
          <w:szCs w:val="24"/>
        </w:rPr>
        <w:t>"</w:t>
      </w:r>
      <w:r w:rsidR="003E4280" w:rsidRPr="00EB2E4B">
        <w:rPr>
          <w:sz w:val="24"/>
          <w:szCs w:val="24"/>
        </w:rPr>
        <w:t xml:space="preserve"> </w:t>
      </w:r>
      <w:r w:rsidR="00656641" w:rsidRPr="00EB2E4B">
        <w:rPr>
          <w:sz w:val="24"/>
          <w:szCs w:val="24"/>
        </w:rPr>
        <w:t>(Ellen MacArthur Foundation, 2013)</w:t>
      </w:r>
      <w:r w:rsidR="003E4280" w:rsidRPr="00EB2E4B">
        <w:rPr>
          <w:sz w:val="24"/>
          <w:szCs w:val="24"/>
        </w:rPr>
        <w:t xml:space="preserve">. </w:t>
      </w:r>
      <w:r w:rsidRPr="00EB2E4B">
        <w:rPr>
          <w:sz w:val="24"/>
          <w:szCs w:val="24"/>
        </w:rPr>
        <w:t xml:space="preserve">Considering the relevance of CE to implementing this framework in order to deal with these global trials, European and International policymakers </w:t>
      </w:r>
      <w:r w:rsidR="003E4280" w:rsidRPr="00EB2E4B">
        <w:rPr>
          <w:sz w:val="24"/>
          <w:szCs w:val="24"/>
        </w:rPr>
        <w:t xml:space="preserve">have </w:t>
      </w:r>
      <w:r w:rsidRPr="00EB2E4B">
        <w:rPr>
          <w:sz w:val="24"/>
          <w:szCs w:val="24"/>
        </w:rPr>
        <w:t>encouraged</w:t>
      </w:r>
      <w:r w:rsidR="003E4280" w:rsidRPr="00EB2E4B">
        <w:rPr>
          <w:sz w:val="24"/>
          <w:szCs w:val="24"/>
        </w:rPr>
        <w:t xml:space="preserve"> </w:t>
      </w:r>
      <w:r w:rsidRPr="00EB2E4B">
        <w:rPr>
          <w:sz w:val="24"/>
          <w:szCs w:val="24"/>
        </w:rPr>
        <w:t>several</w:t>
      </w:r>
      <w:r w:rsidR="003E4280" w:rsidRPr="00EB2E4B">
        <w:rPr>
          <w:sz w:val="24"/>
          <w:szCs w:val="24"/>
        </w:rPr>
        <w:t xml:space="preserve"> initiatives and</w:t>
      </w:r>
      <w:r w:rsidRPr="00EB2E4B">
        <w:rPr>
          <w:sz w:val="24"/>
          <w:szCs w:val="24"/>
        </w:rPr>
        <w:t xml:space="preserve"> developed</w:t>
      </w:r>
      <w:r w:rsidR="003E4280" w:rsidRPr="00EB2E4B">
        <w:rPr>
          <w:sz w:val="24"/>
          <w:szCs w:val="24"/>
        </w:rPr>
        <w:t xml:space="preserve"> guidelines to </w:t>
      </w:r>
      <w:r w:rsidRPr="00EB2E4B">
        <w:rPr>
          <w:sz w:val="24"/>
          <w:szCs w:val="24"/>
        </w:rPr>
        <w:t>accelerate</w:t>
      </w:r>
      <w:r w:rsidR="003E4280" w:rsidRPr="00EB2E4B">
        <w:rPr>
          <w:sz w:val="24"/>
          <w:szCs w:val="24"/>
        </w:rPr>
        <w:t xml:space="preserve"> the</w:t>
      </w:r>
      <w:r w:rsidRPr="00EB2E4B">
        <w:rPr>
          <w:sz w:val="24"/>
          <w:szCs w:val="24"/>
        </w:rPr>
        <w:t xml:space="preserve"> CE</w:t>
      </w:r>
      <w:r w:rsidR="003E4280" w:rsidRPr="00EB2E4B">
        <w:rPr>
          <w:sz w:val="24"/>
          <w:szCs w:val="24"/>
        </w:rPr>
        <w:t xml:space="preserve"> </w:t>
      </w:r>
      <w:r w:rsidRPr="00EB2E4B">
        <w:rPr>
          <w:sz w:val="24"/>
          <w:szCs w:val="24"/>
        </w:rPr>
        <w:t xml:space="preserve">transition (e.g., </w:t>
      </w:r>
      <w:r w:rsidR="003E4280" w:rsidRPr="00EB2E4B">
        <w:rPr>
          <w:sz w:val="24"/>
          <w:szCs w:val="24"/>
        </w:rPr>
        <w:t xml:space="preserve">the European Circular Economy Action Plan </w:t>
      </w:r>
      <w:r w:rsidRPr="00EB2E4B">
        <w:rPr>
          <w:sz w:val="24"/>
          <w:szCs w:val="24"/>
        </w:rPr>
        <w:t>(</w:t>
      </w:r>
      <w:r w:rsidR="00656641" w:rsidRPr="00EB2E4B">
        <w:rPr>
          <w:sz w:val="24"/>
          <w:szCs w:val="24"/>
        </w:rPr>
        <w:t>EU, 2014; EU, 2015; EU, 2016; EU, 2014)</w:t>
      </w:r>
      <w:r w:rsidRPr="00EB2E4B">
        <w:rPr>
          <w:sz w:val="24"/>
          <w:szCs w:val="24"/>
        </w:rPr>
        <w:t>,</w:t>
      </w:r>
      <w:r w:rsidR="00656641" w:rsidRPr="00EB2E4B">
        <w:rPr>
          <w:sz w:val="24"/>
          <w:szCs w:val="24"/>
        </w:rPr>
        <w:t xml:space="preserve"> </w:t>
      </w:r>
      <w:r w:rsidR="003E4280" w:rsidRPr="00EB2E4B">
        <w:rPr>
          <w:sz w:val="24"/>
          <w:szCs w:val="24"/>
        </w:rPr>
        <w:t xml:space="preserve">the 2030 Agenda for Sustainable Development, the European Green Deal </w:t>
      </w:r>
      <w:r w:rsidR="00656641" w:rsidRPr="00EB2E4B">
        <w:rPr>
          <w:sz w:val="24"/>
          <w:szCs w:val="24"/>
        </w:rPr>
        <w:t xml:space="preserve">(EU, 2019a; EU, 2019b; EU, 2019c; EU, 2020; EU, 2021) </w:t>
      </w:r>
      <w:r w:rsidR="003E4280" w:rsidRPr="00EB2E4B">
        <w:rPr>
          <w:sz w:val="24"/>
          <w:szCs w:val="24"/>
        </w:rPr>
        <w:t xml:space="preserve">and the UN Climate Change Conference 2021 </w:t>
      </w:r>
      <w:r w:rsidR="00656641" w:rsidRPr="00EB2E4B">
        <w:rPr>
          <w:sz w:val="24"/>
          <w:szCs w:val="24"/>
        </w:rPr>
        <w:t>(COP26, 2021)</w:t>
      </w:r>
      <w:r w:rsidRPr="00EB2E4B">
        <w:rPr>
          <w:sz w:val="24"/>
          <w:szCs w:val="24"/>
        </w:rPr>
        <w:t>).</w:t>
      </w:r>
    </w:p>
    <w:p w14:paraId="25611B82" w14:textId="77777777" w:rsidR="00EB2E4B" w:rsidRPr="00EB2E4B" w:rsidRDefault="004236D9" w:rsidP="003E4280">
      <w:pPr>
        <w:rPr>
          <w:sz w:val="24"/>
          <w:szCs w:val="24"/>
        </w:rPr>
      </w:pPr>
      <w:r w:rsidRPr="00EB2E4B">
        <w:rPr>
          <w:sz w:val="24"/>
          <w:szCs w:val="24"/>
        </w:rPr>
        <w:t xml:space="preserve">In this light, governments have started a process of awareness-raising among citizens </w:t>
      </w:r>
      <w:r w:rsidR="003E4280" w:rsidRPr="00EB2E4B">
        <w:rPr>
          <w:sz w:val="24"/>
          <w:szCs w:val="24"/>
        </w:rPr>
        <w:t xml:space="preserve">to </w:t>
      </w:r>
      <w:r w:rsidRPr="00EB2E4B">
        <w:rPr>
          <w:sz w:val="24"/>
          <w:szCs w:val="24"/>
        </w:rPr>
        <w:t>trigger</w:t>
      </w:r>
      <w:r w:rsidR="003E4280" w:rsidRPr="00EB2E4B">
        <w:rPr>
          <w:sz w:val="24"/>
          <w:szCs w:val="24"/>
        </w:rPr>
        <w:t xml:space="preserve"> a circular cycle of materials, </w:t>
      </w:r>
      <w:proofErr w:type="gramStart"/>
      <w:r w:rsidR="003E4280" w:rsidRPr="00EB2E4B">
        <w:rPr>
          <w:sz w:val="24"/>
          <w:szCs w:val="24"/>
        </w:rPr>
        <w:t>resources</w:t>
      </w:r>
      <w:proofErr w:type="gramEnd"/>
      <w:r w:rsidR="003E4280" w:rsidRPr="00EB2E4B">
        <w:rPr>
          <w:sz w:val="24"/>
          <w:szCs w:val="24"/>
        </w:rPr>
        <w:t xml:space="preserve"> and energies</w:t>
      </w:r>
      <w:r w:rsidRPr="00EB2E4B">
        <w:rPr>
          <w:sz w:val="24"/>
          <w:szCs w:val="24"/>
        </w:rPr>
        <w:t xml:space="preserve">. Several scholars have confirmed and demonstrated this proactive approach toward the engagement of all stakeholders in activating virtuous strategies for waste and loss reduction </w:t>
      </w:r>
      <w:r w:rsidR="00656641" w:rsidRPr="00EB2E4B">
        <w:rPr>
          <w:sz w:val="24"/>
          <w:szCs w:val="24"/>
        </w:rPr>
        <w:t>(</w:t>
      </w:r>
      <w:r w:rsidRPr="00EB2E4B">
        <w:rPr>
          <w:sz w:val="24"/>
          <w:szCs w:val="24"/>
        </w:rPr>
        <w:t xml:space="preserve">e.g., </w:t>
      </w:r>
      <w:proofErr w:type="spellStart"/>
      <w:r w:rsidR="00656641" w:rsidRPr="00EB2E4B">
        <w:rPr>
          <w:sz w:val="24"/>
          <w:szCs w:val="24"/>
        </w:rPr>
        <w:t>Gusmerotti</w:t>
      </w:r>
      <w:proofErr w:type="spellEnd"/>
      <w:r w:rsidR="00656641" w:rsidRPr="00EB2E4B">
        <w:rPr>
          <w:sz w:val="24"/>
          <w:szCs w:val="24"/>
        </w:rPr>
        <w:t xml:space="preserve"> et al., 2019</w:t>
      </w:r>
      <w:r w:rsidRPr="00EB2E4B">
        <w:rPr>
          <w:sz w:val="24"/>
          <w:szCs w:val="24"/>
        </w:rPr>
        <w:t xml:space="preserve">; </w:t>
      </w:r>
      <w:proofErr w:type="spellStart"/>
      <w:r w:rsidRPr="00EB2E4B">
        <w:rPr>
          <w:sz w:val="24"/>
          <w:szCs w:val="24"/>
        </w:rPr>
        <w:t>Barnabè</w:t>
      </w:r>
      <w:proofErr w:type="spellEnd"/>
      <w:r w:rsidRPr="00EB2E4B">
        <w:rPr>
          <w:sz w:val="24"/>
          <w:szCs w:val="24"/>
        </w:rPr>
        <w:t xml:space="preserve"> and Nazir, 2021; Esposito et al., 2021</w:t>
      </w:r>
      <w:r w:rsidR="00656641" w:rsidRPr="00EB2E4B">
        <w:rPr>
          <w:sz w:val="24"/>
          <w:szCs w:val="24"/>
        </w:rPr>
        <w:t>)</w:t>
      </w:r>
      <w:r w:rsidR="003E4280" w:rsidRPr="00EB2E4B">
        <w:rPr>
          <w:sz w:val="24"/>
          <w:szCs w:val="24"/>
        </w:rPr>
        <w:t>.</w:t>
      </w:r>
      <w:r w:rsidRPr="00EB2E4B">
        <w:rPr>
          <w:sz w:val="24"/>
          <w:szCs w:val="24"/>
        </w:rPr>
        <w:t xml:space="preserve"> Accordingly, companies, associations, and governments are</w:t>
      </w:r>
      <w:r w:rsidR="003E4280" w:rsidRPr="00EB2E4B">
        <w:rPr>
          <w:sz w:val="24"/>
          <w:szCs w:val="24"/>
        </w:rPr>
        <w:t xml:space="preserve"> called </w:t>
      </w:r>
      <w:r w:rsidRPr="00EB2E4B">
        <w:rPr>
          <w:sz w:val="24"/>
          <w:szCs w:val="24"/>
        </w:rPr>
        <w:t>to provide</w:t>
      </w:r>
      <w:r w:rsidR="003E4280" w:rsidRPr="00EB2E4B">
        <w:rPr>
          <w:sz w:val="24"/>
          <w:szCs w:val="24"/>
        </w:rPr>
        <w:t xml:space="preserve"> comprehensive and reliable information on CE practices and policies</w:t>
      </w:r>
      <w:r w:rsidR="00656641" w:rsidRPr="00EB2E4B">
        <w:rPr>
          <w:sz w:val="24"/>
          <w:szCs w:val="24"/>
        </w:rPr>
        <w:t xml:space="preserve"> (EU, 2020)</w:t>
      </w:r>
      <w:r w:rsidR="003E4280" w:rsidRPr="00EB2E4B">
        <w:rPr>
          <w:sz w:val="24"/>
          <w:szCs w:val="24"/>
        </w:rPr>
        <w:t xml:space="preserve">. </w:t>
      </w:r>
      <w:r w:rsidRPr="00EB2E4B">
        <w:rPr>
          <w:sz w:val="24"/>
          <w:szCs w:val="24"/>
        </w:rPr>
        <w:t>Moreover</w:t>
      </w:r>
      <w:r w:rsidR="003E4280" w:rsidRPr="00EB2E4B">
        <w:rPr>
          <w:sz w:val="24"/>
          <w:szCs w:val="24"/>
        </w:rPr>
        <w:t xml:space="preserve">, </w:t>
      </w:r>
      <w:r w:rsidRPr="00EB2E4B">
        <w:rPr>
          <w:sz w:val="24"/>
          <w:szCs w:val="24"/>
        </w:rPr>
        <w:t>companies ought to</w:t>
      </w:r>
      <w:r w:rsidR="003E4280" w:rsidRPr="00EB2E4B">
        <w:rPr>
          <w:sz w:val="24"/>
          <w:szCs w:val="24"/>
        </w:rPr>
        <w:t xml:space="preserve"> </w:t>
      </w:r>
      <w:r w:rsidRPr="00EB2E4B">
        <w:rPr>
          <w:sz w:val="24"/>
          <w:szCs w:val="24"/>
        </w:rPr>
        <w:t>assess</w:t>
      </w:r>
      <w:r w:rsidR="003E4280" w:rsidRPr="00EB2E4B">
        <w:rPr>
          <w:sz w:val="24"/>
          <w:szCs w:val="24"/>
        </w:rPr>
        <w:t xml:space="preserve"> the</w:t>
      </w:r>
      <w:r w:rsidRPr="00EB2E4B">
        <w:rPr>
          <w:sz w:val="24"/>
          <w:szCs w:val="24"/>
        </w:rPr>
        <w:t xml:space="preserve"> impacts of the</w:t>
      </w:r>
      <w:r w:rsidR="003E4280" w:rsidRPr="00EB2E4B">
        <w:rPr>
          <w:sz w:val="24"/>
          <w:szCs w:val="24"/>
        </w:rPr>
        <w:t xml:space="preserve"> CE investments</w:t>
      </w:r>
      <w:r w:rsidRPr="00EB2E4B">
        <w:rPr>
          <w:sz w:val="24"/>
          <w:szCs w:val="24"/>
        </w:rPr>
        <w:t xml:space="preserve"> on their results</w:t>
      </w:r>
      <w:r w:rsidR="003E4280" w:rsidRPr="00EB2E4B">
        <w:rPr>
          <w:sz w:val="24"/>
          <w:szCs w:val="24"/>
        </w:rPr>
        <w:t xml:space="preserve"> </w:t>
      </w:r>
      <w:r w:rsidRPr="00EB2E4B">
        <w:rPr>
          <w:sz w:val="24"/>
          <w:szCs w:val="24"/>
        </w:rPr>
        <w:t xml:space="preserve">to follow up actions to continuously improve their business models. Therefore, </w:t>
      </w:r>
      <w:proofErr w:type="gramStart"/>
      <w:r w:rsidR="003E4280" w:rsidRPr="00EB2E4B">
        <w:rPr>
          <w:sz w:val="24"/>
          <w:szCs w:val="24"/>
        </w:rPr>
        <w:t>sustainable</w:t>
      </w:r>
      <w:proofErr w:type="gramEnd"/>
      <w:r w:rsidR="003E4280" w:rsidRPr="00EB2E4B">
        <w:rPr>
          <w:sz w:val="24"/>
          <w:szCs w:val="24"/>
        </w:rPr>
        <w:t xml:space="preserve"> and circular</w:t>
      </w:r>
      <w:r w:rsidRPr="00EB2E4B">
        <w:rPr>
          <w:sz w:val="24"/>
          <w:szCs w:val="24"/>
        </w:rPr>
        <w:t>-related information</w:t>
      </w:r>
      <w:r w:rsidR="003E4280" w:rsidRPr="00EB2E4B">
        <w:rPr>
          <w:sz w:val="24"/>
          <w:szCs w:val="24"/>
        </w:rPr>
        <w:t xml:space="preserve"> is </w:t>
      </w:r>
      <w:r w:rsidRPr="00EB2E4B">
        <w:rPr>
          <w:sz w:val="24"/>
          <w:szCs w:val="24"/>
        </w:rPr>
        <w:t>pivotal</w:t>
      </w:r>
      <w:r w:rsidR="003E4280" w:rsidRPr="00EB2E4B">
        <w:rPr>
          <w:sz w:val="24"/>
          <w:szCs w:val="24"/>
        </w:rPr>
        <w:t xml:space="preserve"> </w:t>
      </w:r>
      <w:r w:rsidRPr="00EB2E4B">
        <w:rPr>
          <w:sz w:val="24"/>
          <w:szCs w:val="24"/>
        </w:rPr>
        <w:t>in building</w:t>
      </w:r>
      <w:r w:rsidR="003E4280" w:rsidRPr="00EB2E4B">
        <w:rPr>
          <w:sz w:val="24"/>
          <w:szCs w:val="24"/>
        </w:rPr>
        <w:t xml:space="preserve"> </w:t>
      </w:r>
      <w:r w:rsidRPr="00EB2E4B">
        <w:rPr>
          <w:sz w:val="24"/>
          <w:szCs w:val="24"/>
        </w:rPr>
        <w:t>successful</w:t>
      </w:r>
      <w:r w:rsidR="003E4280" w:rsidRPr="00EB2E4B">
        <w:rPr>
          <w:sz w:val="24"/>
          <w:szCs w:val="24"/>
        </w:rPr>
        <w:t xml:space="preserve"> circular</w:t>
      </w:r>
      <w:r w:rsidRPr="00EB2E4B">
        <w:rPr>
          <w:sz w:val="24"/>
          <w:szCs w:val="24"/>
        </w:rPr>
        <w:t xml:space="preserve"> </w:t>
      </w:r>
      <w:r w:rsidR="003E4280" w:rsidRPr="00EB2E4B">
        <w:rPr>
          <w:sz w:val="24"/>
          <w:szCs w:val="24"/>
        </w:rPr>
        <w:t>strategies</w:t>
      </w:r>
      <w:r w:rsidR="00656641" w:rsidRPr="00EB2E4B">
        <w:rPr>
          <w:sz w:val="24"/>
          <w:szCs w:val="24"/>
        </w:rPr>
        <w:t xml:space="preserve"> (Esposito et al., 2021)</w:t>
      </w:r>
      <w:r w:rsidR="003E4280" w:rsidRPr="00EB2E4B">
        <w:rPr>
          <w:sz w:val="24"/>
          <w:szCs w:val="24"/>
        </w:rPr>
        <w:t>.</w:t>
      </w:r>
    </w:p>
    <w:p w14:paraId="39AE343B" w14:textId="63D2B470" w:rsidR="003E4280" w:rsidRPr="00EB2E4B" w:rsidRDefault="002A3427" w:rsidP="003E4280">
      <w:pPr>
        <w:rPr>
          <w:sz w:val="24"/>
          <w:szCs w:val="24"/>
        </w:rPr>
      </w:pPr>
      <w:r w:rsidRPr="00EB2E4B">
        <w:rPr>
          <w:sz w:val="24"/>
          <w:szCs w:val="24"/>
        </w:rPr>
        <w:t>Furthermore</w:t>
      </w:r>
      <w:r w:rsidR="003E4280" w:rsidRPr="00EB2E4B">
        <w:rPr>
          <w:sz w:val="24"/>
          <w:szCs w:val="24"/>
        </w:rPr>
        <w:t xml:space="preserve">, </w:t>
      </w:r>
      <w:r w:rsidRPr="00EB2E4B">
        <w:rPr>
          <w:sz w:val="24"/>
          <w:szCs w:val="24"/>
        </w:rPr>
        <w:t xml:space="preserve">the growing interest in these issues makes CE </w:t>
      </w:r>
      <w:r w:rsidR="003E4280" w:rsidRPr="00EB2E4B">
        <w:rPr>
          <w:sz w:val="24"/>
          <w:szCs w:val="24"/>
        </w:rPr>
        <w:t xml:space="preserve">information </w:t>
      </w:r>
      <w:r w:rsidRPr="00EB2E4B">
        <w:rPr>
          <w:sz w:val="24"/>
          <w:szCs w:val="24"/>
        </w:rPr>
        <w:t>focal</w:t>
      </w:r>
      <w:r w:rsidR="003E4280" w:rsidRPr="00EB2E4B">
        <w:rPr>
          <w:sz w:val="24"/>
          <w:szCs w:val="24"/>
        </w:rPr>
        <w:t xml:space="preserve"> </w:t>
      </w:r>
      <w:r w:rsidRPr="00EB2E4B">
        <w:rPr>
          <w:sz w:val="24"/>
          <w:szCs w:val="24"/>
        </w:rPr>
        <w:t xml:space="preserve">also </w:t>
      </w:r>
      <w:r w:rsidR="003E4280" w:rsidRPr="00EB2E4B">
        <w:rPr>
          <w:sz w:val="24"/>
          <w:szCs w:val="24"/>
        </w:rPr>
        <w:t xml:space="preserve">for </w:t>
      </w:r>
      <w:r w:rsidRPr="00EB2E4B">
        <w:rPr>
          <w:sz w:val="24"/>
          <w:szCs w:val="24"/>
        </w:rPr>
        <w:t>funders</w:t>
      </w:r>
      <w:r w:rsidR="003E4280" w:rsidRPr="00EB2E4B">
        <w:rPr>
          <w:sz w:val="24"/>
          <w:szCs w:val="24"/>
        </w:rPr>
        <w:t xml:space="preserve">, </w:t>
      </w:r>
      <w:r w:rsidRPr="00EB2E4B">
        <w:rPr>
          <w:sz w:val="24"/>
          <w:szCs w:val="24"/>
        </w:rPr>
        <w:t>authorities</w:t>
      </w:r>
      <w:r w:rsidR="003E4280" w:rsidRPr="00EB2E4B">
        <w:rPr>
          <w:sz w:val="24"/>
          <w:szCs w:val="24"/>
        </w:rPr>
        <w:t xml:space="preserve">, </w:t>
      </w:r>
      <w:proofErr w:type="gramStart"/>
      <w:r w:rsidRPr="00EB2E4B">
        <w:rPr>
          <w:sz w:val="24"/>
          <w:szCs w:val="24"/>
        </w:rPr>
        <w:t>banks</w:t>
      </w:r>
      <w:proofErr w:type="gramEnd"/>
      <w:r w:rsidRPr="00EB2E4B">
        <w:rPr>
          <w:sz w:val="24"/>
          <w:szCs w:val="24"/>
        </w:rPr>
        <w:t xml:space="preserve"> and other stakeholders. Some scholars have shown that information asymmetries are one of the principal barriers to the effective implementation of CE parading within a SC. Accordingly, information pooling and sharing could be considered the best approach to reduce these asymmetries and succeed in shifting toward sustainable business models</w:t>
      </w:r>
      <w:r w:rsidR="003E4280" w:rsidRPr="00EB2E4B">
        <w:rPr>
          <w:sz w:val="24"/>
          <w:szCs w:val="24"/>
        </w:rPr>
        <w:t xml:space="preserve"> </w:t>
      </w:r>
      <w:r w:rsidR="00656641" w:rsidRPr="00EB2E4B">
        <w:rPr>
          <w:sz w:val="24"/>
          <w:szCs w:val="24"/>
        </w:rPr>
        <w:t>(Testa et al., 2022)</w:t>
      </w:r>
      <w:r w:rsidR="003E4280" w:rsidRPr="00EB2E4B">
        <w:rPr>
          <w:sz w:val="24"/>
          <w:szCs w:val="24"/>
        </w:rPr>
        <w:t>.</w:t>
      </w:r>
    </w:p>
    <w:p w14:paraId="6B168CCE" w14:textId="6F912941" w:rsidR="003E4280" w:rsidRPr="00EB2E4B" w:rsidRDefault="002A3427" w:rsidP="003E4280">
      <w:pPr>
        <w:rPr>
          <w:sz w:val="24"/>
          <w:szCs w:val="24"/>
        </w:rPr>
      </w:pPr>
      <w:r w:rsidRPr="00EB2E4B">
        <w:rPr>
          <w:sz w:val="24"/>
          <w:szCs w:val="24"/>
        </w:rPr>
        <w:t xml:space="preserve">In this scenario, customers are also more engaged </w:t>
      </w:r>
      <w:r w:rsidR="003E4280" w:rsidRPr="00EB2E4B">
        <w:rPr>
          <w:sz w:val="24"/>
          <w:szCs w:val="24"/>
        </w:rPr>
        <w:t xml:space="preserve">in environmental and sustainable </w:t>
      </w:r>
      <w:r w:rsidRPr="00EB2E4B">
        <w:rPr>
          <w:sz w:val="24"/>
          <w:szCs w:val="24"/>
        </w:rPr>
        <w:t>issues</w:t>
      </w:r>
      <w:r w:rsidR="003E4280" w:rsidRPr="00EB2E4B">
        <w:rPr>
          <w:sz w:val="24"/>
          <w:szCs w:val="24"/>
        </w:rPr>
        <w:t>. As a result,</w:t>
      </w:r>
      <w:r w:rsidRPr="00EB2E4B">
        <w:rPr>
          <w:sz w:val="24"/>
          <w:szCs w:val="24"/>
        </w:rPr>
        <w:t xml:space="preserve"> CE information disclosure is becoming essential to involve the last stage of the SCs, the consumption stage, in </w:t>
      </w:r>
      <w:r w:rsidRPr="00EB2E4B">
        <w:rPr>
          <w:sz w:val="24"/>
          <w:szCs w:val="24"/>
        </w:rPr>
        <w:lastRenderedPageBreak/>
        <w:t>changing their consumption models inspired by the 3R paradigm.</w:t>
      </w:r>
      <w:r w:rsidR="003E4280" w:rsidRPr="00EB2E4B">
        <w:rPr>
          <w:sz w:val="24"/>
          <w:szCs w:val="24"/>
        </w:rPr>
        <w:t xml:space="preserve"> </w:t>
      </w:r>
      <w:r w:rsidRPr="00EB2E4B">
        <w:rPr>
          <w:sz w:val="24"/>
          <w:szCs w:val="24"/>
        </w:rPr>
        <w:t>Accordingly, industries</w:t>
      </w:r>
      <w:r w:rsidR="003E4280" w:rsidRPr="00EB2E4B">
        <w:rPr>
          <w:sz w:val="24"/>
          <w:szCs w:val="24"/>
        </w:rPr>
        <w:t xml:space="preserve"> are </w:t>
      </w:r>
      <w:r w:rsidRPr="00EB2E4B">
        <w:rPr>
          <w:sz w:val="24"/>
          <w:szCs w:val="24"/>
        </w:rPr>
        <w:t>called</w:t>
      </w:r>
      <w:r w:rsidR="003E4280" w:rsidRPr="00EB2E4B">
        <w:rPr>
          <w:sz w:val="24"/>
          <w:szCs w:val="24"/>
        </w:rPr>
        <w:t xml:space="preserve"> to disclose CE information</w:t>
      </w:r>
      <w:r w:rsidR="005668FC" w:rsidRPr="00EB2E4B">
        <w:rPr>
          <w:sz w:val="24"/>
          <w:szCs w:val="24"/>
        </w:rPr>
        <w:t xml:space="preserve"> for a </w:t>
      </w:r>
      <w:proofErr w:type="gramStart"/>
      <w:r w:rsidR="005668FC" w:rsidRPr="00EB2E4B">
        <w:rPr>
          <w:sz w:val="24"/>
          <w:szCs w:val="24"/>
        </w:rPr>
        <w:t>double reasons</w:t>
      </w:r>
      <w:proofErr w:type="gramEnd"/>
      <w:r w:rsidR="005668FC" w:rsidRPr="00EB2E4B">
        <w:rPr>
          <w:sz w:val="24"/>
          <w:szCs w:val="24"/>
        </w:rPr>
        <w:t>. From one side, firms</w:t>
      </w:r>
      <w:r w:rsidR="003E4280" w:rsidRPr="00EB2E4B">
        <w:rPr>
          <w:sz w:val="24"/>
          <w:szCs w:val="24"/>
        </w:rPr>
        <w:t xml:space="preserve"> can </w:t>
      </w:r>
      <w:r w:rsidR="005668FC" w:rsidRPr="00EB2E4B">
        <w:rPr>
          <w:sz w:val="24"/>
          <w:szCs w:val="24"/>
        </w:rPr>
        <w:t>obtain</w:t>
      </w:r>
      <w:r w:rsidR="003E4280" w:rsidRPr="00EB2E4B">
        <w:rPr>
          <w:sz w:val="24"/>
          <w:szCs w:val="24"/>
        </w:rPr>
        <w:t xml:space="preserve"> a competitive advantage</w:t>
      </w:r>
      <w:r w:rsidR="005668FC" w:rsidRPr="00EB2E4B">
        <w:rPr>
          <w:sz w:val="24"/>
          <w:szCs w:val="24"/>
        </w:rPr>
        <w:t xml:space="preserve"> by enhancing their corporate image</w:t>
      </w:r>
      <w:r w:rsidR="003E4280" w:rsidRPr="00EB2E4B">
        <w:rPr>
          <w:sz w:val="24"/>
          <w:szCs w:val="24"/>
        </w:rPr>
        <w:t xml:space="preserve">. </w:t>
      </w:r>
      <w:r w:rsidR="00EB2E4B" w:rsidRPr="00EB2E4B">
        <w:rPr>
          <w:sz w:val="24"/>
          <w:szCs w:val="24"/>
        </w:rPr>
        <w:t>On</w:t>
      </w:r>
      <w:r w:rsidR="005668FC" w:rsidRPr="00EB2E4B">
        <w:rPr>
          <w:sz w:val="24"/>
          <w:szCs w:val="24"/>
        </w:rPr>
        <w:t xml:space="preserve"> the other side,</w:t>
      </w:r>
      <w:r w:rsidR="003E4280" w:rsidRPr="00EB2E4B">
        <w:rPr>
          <w:sz w:val="24"/>
          <w:szCs w:val="24"/>
        </w:rPr>
        <w:t xml:space="preserve"> their stakeholders</w:t>
      </w:r>
      <w:r w:rsidR="005668FC" w:rsidRPr="00EB2E4B">
        <w:rPr>
          <w:sz w:val="24"/>
          <w:szCs w:val="24"/>
        </w:rPr>
        <w:t xml:space="preserve"> could be involved in</w:t>
      </w:r>
      <w:r w:rsidR="003E4280" w:rsidRPr="00EB2E4B">
        <w:rPr>
          <w:sz w:val="24"/>
          <w:szCs w:val="24"/>
        </w:rPr>
        <w:t xml:space="preserve"> their </w:t>
      </w:r>
      <w:r w:rsidR="005668FC" w:rsidRPr="00EB2E4B">
        <w:rPr>
          <w:sz w:val="24"/>
          <w:szCs w:val="24"/>
        </w:rPr>
        <w:t>CE</w:t>
      </w:r>
      <w:r w:rsidR="003E4280" w:rsidRPr="00EB2E4B">
        <w:rPr>
          <w:sz w:val="24"/>
          <w:szCs w:val="24"/>
        </w:rPr>
        <w:t xml:space="preserve"> practices</w:t>
      </w:r>
      <w:r w:rsidR="00656641" w:rsidRPr="00EB2E4B">
        <w:rPr>
          <w:sz w:val="24"/>
          <w:szCs w:val="24"/>
        </w:rPr>
        <w:t xml:space="preserve"> (</w:t>
      </w:r>
      <w:proofErr w:type="spellStart"/>
      <w:r w:rsidR="00656641" w:rsidRPr="00EB2E4B">
        <w:rPr>
          <w:sz w:val="24"/>
          <w:szCs w:val="24"/>
        </w:rPr>
        <w:t>Kazancoglu</w:t>
      </w:r>
      <w:proofErr w:type="spellEnd"/>
      <w:r w:rsidR="00656641" w:rsidRPr="00EB2E4B">
        <w:rPr>
          <w:sz w:val="24"/>
          <w:szCs w:val="24"/>
        </w:rPr>
        <w:t xml:space="preserve"> et al., 2021)</w:t>
      </w:r>
      <w:r w:rsidR="003E4280" w:rsidRPr="00EB2E4B">
        <w:rPr>
          <w:sz w:val="24"/>
          <w:szCs w:val="24"/>
        </w:rPr>
        <w:t xml:space="preserve">.  </w:t>
      </w:r>
    </w:p>
    <w:p w14:paraId="5B249EB7" w14:textId="2EE88D03" w:rsidR="003E4280" w:rsidRPr="00EB2E4B" w:rsidRDefault="005668FC" w:rsidP="003E4280">
      <w:pPr>
        <w:rPr>
          <w:sz w:val="24"/>
          <w:szCs w:val="24"/>
        </w:rPr>
      </w:pPr>
      <w:r w:rsidRPr="00EB2E4B">
        <w:rPr>
          <w:sz w:val="24"/>
          <w:szCs w:val="24"/>
        </w:rPr>
        <w:t>Regarding the importance of this issue</w:t>
      </w:r>
      <w:r w:rsidR="003E4280" w:rsidRPr="00EB2E4B">
        <w:rPr>
          <w:sz w:val="24"/>
          <w:szCs w:val="24"/>
        </w:rPr>
        <w:t xml:space="preserve">, </w:t>
      </w:r>
      <w:r w:rsidRPr="00EB2E4B">
        <w:rPr>
          <w:sz w:val="24"/>
          <w:szCs w:val="24"/>
        </w:rPr>
        <w:t>academics</w:t>
      </w:r>
      <w:r w:rsidR="003E4280" w:rsidRPr="00EB2E4B">
        <w:rPr>
          <w:sz w:val="24"/>
          <w:szCs w:val="24"/>
        </w:rPr>
        <w:t xml:space="preserve"> have started </w:t>
      </w:r>
      <w:r w:rsidRPr="00EB2E4B">
        <w:rPr>
          <w:sz w:val="24"/>
          <w:szCs w:val="24"/>
        </w:rPr>
        <w:t>inquiring</w:t>
      </w:r>
      <w:r w:rsidR="003E4280" w:rsidRPr="00EB2E4B">
        <w:rPr>
          <w:sz w:val="24"/>
          <w:szCs w:val="24"/>
        </w:rPr>
        <w:t xml:space="preserve"> </w:t>
      </w:r>
      <w:r w:rsidRPr="00EB2E4B">
        <w:rPr>
          <w:sz w:val="24"/>
          <w:szCs w:val="24"/>
        </w:rPr>
        <w:t xml:space="preserve">about the function of </w:t>
      </w:r>
      <w:r w:rsidR="003E4280" w:rsidRPr="00EB2E4B">
        <w:rPr>
          <w:sz w:val="24"/>
          <w:szCs w:val="24"/>
        </w:rPr>
        <w:t>CE strategies and practices</w:t>
      </w:r>
      <w:r w:rsidRPr="00EB2E4B">
        <w:rPr>
          <w:sz w:val="24"/>
          <w:szCs w:val="24"/>
        </w:rPr>
        <w:t xml:space="preserve"> disclosure</w:t>
      </w:r>
      <w:r w:rsidR="003E4280" w:rsidRPr="00EB2E4B">
        <w:rPr>
          <w:sz w:val="24"/>
          <w:szCs w:val="24"/>
        </w:rPr>
        <w:t xml:space="preserve"> (i.e</w:t>
      </w:r>
      <w:r w:rsidRPr="00EB2E4B">
        <w:rPr>
          <w:sz w:val="24"/>
          <w:szCs w:val="24"/>
        </w:rPr>
        <w:t>.</w:t>
      </w:r>
      <w:r w:rsidR="003E4280" w:rsidRPr="00EB2E4B">
        <w:rPr>
          <w:sz w:val="24"/>
          <w:szCs w:val="24"/>
        </w:rPr>
        <w:t xml:space="preserve">, </w:t>
      </w:r>
      <w:proofErr w:type="spellStart"/>
      <w:r w:rsidR="00656641" w:rsidRPr="00EB2E4B">
        <w:rPr>
          <w:sz w:val="24"/>
          <w:szCs w:val="24"/>
        </w:rPr>
        <w:t>Jakhar</w:t>
      </w:r>
      <w:proofErr w:type="spellEnd"/>
      <w:r w:rsidR="00656641" w:rsidRPr="00EB2E4B">
        <w:rPr>
          <w:sz w:val="24"/>
          <w:szCs w:val="24"/>
        </w:rPr>
        <w:t xml:space="preserve"> et al., 2019; </w:t>
      </w:r>
      <w:proofErr w:type="spellStart"/>
      <w:r w:rsidR="00656641" w:rsidRPr="00EB2E4B">
        <w:rPr>
          <w:sz w:val="24"/>
          <w:szCs w:val="24"/>
        </w:rPr>
        <w:t>Unal</w:t>
      </w:r>
      <w:proofErr w:type="spellEnd"/>
      <w:r w:rsidR="00656641" w:rsidRPr="00EB2E4B">
        <w:rPr>
          <w:sz w:val="24"/>
          <w:szCs w:val="24"/>
        </w:rPr>
        <w:t xml:space="preserve"> et al., 2019; </w:t>
      </w:r>
      <w:proofErr w:type="spellStart"/>
      <w:r w:rsidR="00656641" w:rsidRPr="00EB2E4B">
        <w:rPr>
          <w:sz w:val="24"/>
          <w:szCs w:val="24"/>
        </w:rPr>
        <w:t>Scarpellini</w:t>
      </w:r>
      <w:proofErr w:type="spellEnd"/>
      <w:r w:rsidR="00656641" w:rsidRPr="00EB2E4B">
        <w:rPr>
          <w:sz w:val="24"/>
          <w:szCs w:val="24"/>
        </w:rPr>
        <w:t xml:space="preserve"> et al., 2020). </w:t>
      </w:r>
      <w:proofErr w:type="spellStart"/>
      <w:r w:rsidR="003E4280" w:rsidRPr="00EB2E4B">
        <w:rPr>
          <w:sz w:val="24"/>
          <w:szCs w:val="24"/>
        </w:rPr>
        <w:t>Jakhar</w:t>
      </w:r>
      <w:proofErr w:type="spellEnd"/>
      <w:r w:rsidR="003E4280" w:rsidRPr="00EB2E4B">
        <w:rPr>
          <w:sz w:val="24"/>
          <w:szCs w:val="24"/>
        </w:rPr>
        <w:t xml:space="preserve"> et al.</w:t>
      </w:r>
      <w:r w:rsidR="00656641" w:rsidRPr="00EB2E4B">
        <w:rPr>
          <w:sz w:val="24"/>
          <w:szCs w:val="24"/>
        </w:rPr>
        <w:t xml:space="preserve"> (2019)</w:t>
      </w:r>
      <w:r w:rsidR="003E4280" w:rsidRPr="00EB2E4B">
        <w:rPr>
          <w:sz w:val="24"/>
          <w:szCs w:val="24"/>
        </w:rPr>
        <w:t xml:space="preserve"> have </w:t>
      </w:r>
      <w:r w:rsidRPr="00EB2E4B">
        <w:rPr>
          <w:sz w:val="24"/>
          <w:szCs w:val="24"/>
        </w:rPr>
        <w:t>investigated how companies' circular economy practices could be influenced by the</w:t>
      </w:r>
      <w:r w:rsidR="003E4280" w:rsidRPr="00EB2E4B">
        <w:rPr>
          <w:sz w:val="24"/>
          <w:szCs w:val="24"/>
        </w:rPr>
        <w:t xml:space="preserve"> stakeholder pressures </w:t>
      </w:r>
      <w:r w:rsidRPr="00EB2E4B">
        <w:rPr>
          <w:sz w:val="24"/>
          <w:szCs w:val="24"/>
        </w:rPr>
        <w:t xml:space="preserve">on </w:t>
      </w:r>
      <w:r w:rsidR="003E4280" w:rsidRPr="00EB2E4B">
        <w:rPr>
          <w:sz w:val="24"/>
          <w:szCs w:val="24"/>
        </w:rPr>
        <w:t xml:space="preserve">their </w:t>
      </w:r>
      <w:r w:rsidRPr="00EB2E4B">
        <w:rPr>
          <w:sz w:val="24"/>
          <w:szCs w:val="24"/>
        </w:rPr>
        <w:t>resultant</w:t>
      </w:r>
      <w:r w:rsidR="003E4280" w:rsidRPr="00EB2E4B">
        <w:rPr>
          <w:sz w:val="24"/>
          <w:szCs w:val="24"/>
        </w:rPr>
        <w:t xml:space="preserve"> disclosure</w:t>
      </w:r>
      <w:r w:rsidRPr="00EB2E4B">
        <w:rPr>
          <w:sz w:val="24"/>
          <w:szCs w:val="24"/>
        </w:rPr>
        <w:t xml:space="preserve"> level</w:t>
      </w:r>
      <w:r w:rsidR="003E4280" w:rsidRPr="00EB2E4B">
        <w:rPr>
          <w:sz w:val="24"/>
          <w:szCs w:val="24"/>
        </w:rPr>
        <w:t xml:space="preserve">. </w:t>
      </w:r>
      <w:proofErr w:type="spellStart"/>
      <w:r w:rsidR="003E4280" w:rsidRPr="00EB2E4B">
        <w:rPr>
          <w:sz w:val="24"/>
          <w:szCs w:val="24"/>
        </w:rPr>
        <w:t>Unal</w:t>
      </w:r>
      <w:proofErr w:type="spellEnd"/>
      <w:r w:rsidR="003E4280" w:rsidRPr="00EB2E4B">
        <w:rPr>
          <w:sz w:val="24"/>
          <w:szCs w:val="24"/>
        </w:rPr>
        <w:t xml:space="preserve"> et al. </w:t>
      </w:r>
      <w:r w:rsidR="00656641" w:rsidRPr="00EB2E4B">
        <w:rPr>
          <w:sz w:val="24"/>
          <w:szCs w:val="24"/>
        </w:rPr>
        <w:t>(2019)</w:t>
      </w:r>
      <w:r w:rsidRPr="00EB2E4B">
        <w:rPr>
          <w:sz w:val="24"/>
          <w:szCs w:val="24"/>
        </w:rPr>
        <w:t xml:space="preserve"> </w:t>
      </w:r>
      <w:r w:rsidR="003E4280" w:rsidRPr="00EB2E4B">
        <w:rPr>
          <w:sz w:val="24"/>
          <w:szCs w:val="24"/>
        </w:rPr>
        <w:t xml:space="preserve">have </w:t>
      </w:r>
      <w:r w:rsidRPr="00EB2E4B">
        <w:rPr>
          <w:sz w:val="24"/>
          <w:szCs w:val="24"/>
        </w:rPr>
        <w:t>analyzed</w:t>
      </w:r>
      <w:r w:rsidR="003E4280" w:rsidRPr="00EB2E4B">
        <w:rPr>
          <w:sz w:val="24"/>
          <w:szCs w:val="24"/>
        </w:rPr>
        <w:t xml:space="preserve"> how </w:t>
      </w:r>
      <w:r w:rsidRPr="00EB2E4B">
        <w:rPr>
          <w:sz w:val="24"/>
          <w:szCs w:val="24"/>
        </w:rPr>
        <w:t>companies</w:t>
      </w:r>
      <w:r w:rsidR="003E4280" w:rsidRPr="00EB2E4B">
        <w:rPr>
          <w:sz w:val="24"/>
          <w:szCs w:val="24"/>
        </w:rPr>
        <w:t xml:space="preserve"> can </w:t>
      </w:r>
      <w:r w:rsidRPr="00EB2E4B">
        <w:rPr>
          <w:sz w:val="24"/>
          <w:szCs w:val="24"/>
        </w:rPr>
        <w:t>build</w:t>
      </w:r>
      <w:r w:rsidR="003E4280" w:rsidRPr="00EB2E4B">
        <w:rPr>
          <w:sz w:val="24"/>
          <w:szCs w:val="24"/>
        </w:rPr>
        <w:t xml:space="preserve"> value </w:t>
      </w:r>
      <w:r w:rsidRPr="00EB2E4B">
        <w:rPr>
          <w:sz w:val="24"/>
          <w:szCs w:val="24"/>
        </w:rPr>
        <w:t>through implementing a CE business model</w:t>
      </w:r>
      <w:r w:rsidR="003E4280" w:rsidRPr="00EB2E4B">
        <w:rPr>
          <w:sz w:val="24"/>
          <w:szCs w:val="24"/>
        </w:rPr>
        <w:t xml:space="preserve"> and </w:t>
      </w:r>
      <w:r w:rsidRPr="00EB2E4B">
        <w:rPr>
          <w:sz w:val="24"/>
          <w:szCs w:val="24"/>
        </w:rPr>
        <w:t>how they disclose</w:t>
      </w:r>
      <w:r w:rsidR="003E4280" w:rsidRPr="00EB2E4B">
        <w:rPr>
          <w:sz w:val="24"/>
          <w:szCs w:val="24"/>
        </w:rPr>
        <w:t xml:space="preserve"> this value </w:t>
      </w:r>
      <w:r w:rsidRPr="00EB2E4B">
        <w:rPr>
          <w:sz w:val="24"/>
          <w:szCs w:val="24"/>
        </w:rPr>
        <w:t>beyond</w:t>
      </w:r>
      <w:r w:rsidR="003E4280" w:rsidRPr="00EB2E4B">
        <w:rPr>
          <w:sz w:val="24"/>
          <w:szCs w:val="24"/>
        </w:rPr>
        <w:t xml:space="preserve"> the organization. </w:t>
      </w:r>
      <w:r w:rsidRPr="00EB2E4B">
        <w:rPr>
          <w:sz w:val="24"/>
          <w:szCs w:val="24"/>
        </w:rPr>
        <w:t>While</w:t>
      </w:r>
      <w:r w:rsidR="003E4280" w:rsidRPr="00EB2E4B">
        <w:rPr>
          <w:sz w:val="24"/>
          <w:szCs w:val="24"/>
        </w:rPr>
        <w:t xml:space="preserve"> </w:t>
      </w:r>
      <w:proofErr w:type="spellStart"/>
      <w:r w:rsidR="003E4280" w:rsidRPr="00EB2E4B">
        <w:rPr>
          <w:sz w:val="24"/>
          <w:szCs w:val="24"/>
        </w:rPr>
        <w:t>Scarpellini</w:t>
      </w:r>
      <w:proofErr w:type="spellEnd"/>
      <w:r w:rsidR="003E4280" w:rsidRPr="00EB2E4B">
        <w:rPr>
          <w:sz w:val="24"/>
          <w:szCs w:val="24"/>
        </w:rPr>
        <w:t xml:space="preserve"> et al.</w:t>
      </w:r>
      <w:r w:rsidR="00656641" w:rsidRPr="00EB2E4B">
        <w:rPr>
          <w:sz w:val="24"/>
          <w:szCs w:val="24"/>
        </w:rPr>
        <w:t xml:space="preserve"> (2020) </w:t>
      </w:r>
      <w:r w:rsidR="003E4280" w:rsidRPr="00EB2E4B">
        <w:rPr>
          <w:sz w:val="24"/>
          <w:szCs w:val="24"/>
        </w:rPr>
        <w:t xml:space="preserve">have </w:t>
      </w:r>
      <w:r w:rsidRPr="00EB2E4B">
        <w:rPr>
          <w:sz w:val="24"/>
          <w:szCs w:val="24"/>
        </w:rPr>
        <w:t xml:space="preserve">investigated how industries that implement CE models develop environmental accounting practices </w:t>
      </w:r>
      <w:r w:rsidR="003E4280" w:rsidRPr="00EB2E4B">
        <w:rPr>
          <w:sz w:val="24"/>
          <w:szCs w:val="24"/>
        </w:rPr>
        <w:t>to engage their stakeholders</w:t>
      </w:r>
      <w:r w:rsidRPr="00EB2E4B">
        <w:rPr>
          <w:sz w:val="24"/>
          <w:szCs w:val="24"/>
        </w:rPr>
        <w:t xml:space="preserve">. To the best of the authors' knowledge, </w:t>
      </w:r>
      <w:r w:rsidR="003E4280" w:rsidRPr="00EB2E4B">
        <w:rPr>
          <w:sz w:val="24"/>
          <w:szCs w:val="24"/>
        </w:rPr>
        <w:t xml:space="preserve">no </w:t>
      </w:r>
      <w:r w:rsidRPr="00EB2E4B">
        <w:rPr>
          <w:sz w:val="24"/>
          <w:szCs w:val="24"/>
        </w:rPr>
        <w:t>scientific articles have</w:t>
      </w:r>
      <w:r w:rsidR="003E4280" w:rsidRPr="00EB2E4B">
        <w:rPr>
          <w:sz w:val="24"/>
          <w:szCs w:val="24"/>
        </w:rPr>
        <w:t xml:space="preserve"> </w:t>
      </w:r>
      <w:r w:rsidR="00DC50E1" w:rsidRPr="00EB2E4B">
        <w:rPr>
          <w:sz w:val="24"/>
          <w:szCs w:val="24"/>
        </w:rPr>
        <w:t>examin</w:t>
      </w:r>
      <w:r w:rsidRPr="00EB2E4B">
        <w:rPr>
          <w:sz w:val="24"/>
          <w:szCs w:val="24"/>
        </w:rPr>
        <w:t>ed</w:t>
      </w:r>
      <w:r w:rsidR="003E4280" w:rsidRPr="00EB2E4B">
        <w:rPr>
          <w:sz w:val="24"/>
          <w:szCs w:val="24"/>
        </w:rPr>
        <w:t xml:space="preserve"> </w:t>
      </w:r>
      <w:r w:rsidR="00DC50E1" w:rsidRPr="00EB2E4B">
        <w:rPr>
          <w:sz w:val="24"/>
          <w:szCs w:val="24"/>
        </w:rPr>
        <w:t xml:space="preserve">the </w:t>
      </w:r>
      <w:r w:rsidR="003E4280" w:rsidRPr="00EB2E4B">
        <w:rPr>
          <w:sz w:val="24"/>
          <w:szCs w:val="24"/>
        </w:rPr>
        <w:t>CE</w:t>
      </w:r>
      <w:r w:rsidR="00DC50E1" w:rsidRPr="00EB2E4B">
        <w:rPr>
          <w:sz w:val="24"/>
          <w:szCs w:val="24"/>
        </w:rPr>
        <w:t xml:space="preserve"> disclosure to reach the stakeholders'</w:t>
      </w:r>
      <w:r w:rsidR="003E4280" w:rsidRPr="00EB2E4B">
        <w:rPr>
          <w:sz w:val="24"/>
          <w:szCs w:val="24"/>
        </w:rPr>
        <w:t xml:space="preserve"> engagement</w:t>
      </w:r>
      <w:r w:rsidRPr="00EB2E4B">
        <w:rPr>
          <w:sz w:val="24"/>
          <w:szCs w:val="24"/>
        </w:rPr>
        <w:t xml:space="preserve">. </w:t>
      </w:r>
      <w:r w:rsidR="003E4280" w:rsidRPr="00EB2E4B">
        <w:rPr>
          <w:sz w:val="24"/>
          <w:szCs w:val="24"/>
        </w:rPr>
        <w:t>Aiming to fill this gap, th</w:t>
      </w:r>
      <w:r w:rsidR="00DC50E1" w:rsidRPr="00EB2E4B">
        <w:rPr>
          <w:sz w:val="24"/>
          <w:szCs w:val="24"/>
        </w:rPr>
        <w:t>is study</w:t>
      </w:r>
      <w:r w:rsidR="003E4280" w:rsidRPr="00EB2E4B">
        <w:rPr>
          <w:sz w:val="24"/>
          <w:szCs w:val="24"/>
        </w:rPr>
        <w:t xml:space="preserve"> is </w:t>
      </w:r>
      <w:r w:rsidR="00DC50E1" w:rsidRPr="00EB2E4B">
        <w:rPr>
          <w:sz w:val="24"/>
          <w:szCs w:val="24"/>
        </w:rPr>
        <w:t>developed</w:t>
      </w:r>
      <w:r w:rsidR="003E4280" w:rsidRPr="00EB2E4B">
        <w:rPr>
          <w:sz w:val="24"/>
          <w:szCs w:val="24"/>
        </w:rPr>
        <w:t xml:space="preserve"> </w:t>
      </w:r>
      <w:r w:rsidR="00DC50E1" w:rsidRPr="00EB2E4B">
        <w:rPr>
          <w:sz w:val="24"/>
          <w:szCs w:val="24"/>
        </w:rPr>
        <w:t>using two</w:t>
      </w:r>
      <w:r w:rsidR="003E4280" w:rsidRPr="00EB2E4B">
        <w:rPr>
          <w:sz w:val="24"/>
          <w:szCs w:val="24"/>
        </w:rPr>
        <w:t xml:space="preserve"> theoretical </w:t>
      </w:r>
      <w:r w:rsidR="00DC50E1" w:rsidRPr="00EB2E4B">
        <w:rPr>
          <w:sz w:val="24"/>
          <w:szCs w:val="24"/>
        </w:rPr>
        <w:t>backgrounds</w:t>
      </w:r>
      <w:r w:rsidR="003E4280" w:rsidRPr="00EB2E4B">
        <w:rPr>
          <w:sz w:val="24"/>
          <w:szCs w:val="24"/>
        </w:rPr>
        <w:t xml:space="preserve"> </w:t>
      </w:r>
      <w:r w:rsidR="00DC50E1" w:rsidRPr="00EB2E4B">
        <w:rPr>
          <w:sz w:val="24"/>
          <w:szCs w:val="24"/>
        </w:rPr>
        <w:t xml:space="preserve">based on </w:t>
      </w:r>
      <w:r w:rsidR="003E4280" w:rsidRPr="00EB2E4B">
        <w:rPr>
          <w:sz w:val="24"/>
          <w:szCs w:val="24"/>
        </w:rPr>
        <w:t xml:space="preserve">the stakeholder </w:t>
      </w:r>
      <w:r w:rsidR="00DC50E1" w:rsidRPr="00EB2E4B">
        <w:rPr>
          <w:sz w:val="24"/>
          <w:szCs w:val="24"/>
        </w:rPr>
        <w:t>and legitimacy theories</w:t>
      </w:r>
      <w:r w:rsidR="003E4280" w:rsidRPr="00EB2E4B">
        <w:rPr>
          <w:sz w:val="24"/>
          <w:szCs w:val="24"/>
        </w:rPr>
        <w:t xml:space="preserve">. </w:t>
      </w:r>
    </w:p>
    <w:p w14:paraId="26E9B144" w14:textId="3318A673" w:rsidR="003E4280" w:rsidRPr="00EB2E4B" w:rsidRDefault="00DC50E1" w:rsidP="003E4280">
      <w:pPr>
        <w:rPr>
          <w:sz w:val="24"/>
          <w:szCs w:val="24"/>
        </w:rPr>
      </w:pPr>
      <w:r w:rsidRPr="00EB2E4B">
        <w:rPr>
          <w:sz w:val="24"/>
          <w:szCs w:val="24"/>
        </w:rPr>
        <w:t>According to Carroll (2021), t</w:t>
      </w:r>
      <w:r w:rsidR="003E4280" w:rsidRPr="00EB2E4B">
        <w:rPr>
          <w:sz w:val="24"/>
          <w:szCs w:val="24"/>
        </w:rPr>
        <w:t xml:space="preserve">he stakeholder theory is </w:t>
      </w:r>
      <w:r w:rsidRPr="00EB2E4B">
        <w:rPr>
          <w:sz w:val="24"/>
          <w:szCs w:val="24"/>
        </w:rPr>
        <w:t>built</w:t>
      </w:r>
      <w:r w:rsidR="003E4280" w:rsidRPr="00EB2E4B">
        <w:rPr>
          <w:sz w:val="24"/>
          <w:szCs w:val="24"/>
        </w:rPr>
        <w:t xml:space="preserve"> on the </w:t>
      </w:r>
      <w:r w:rsidRPr="00EB2E4B">
        <w:rPr>
          <w:sz w:val="24"/>
          <w:szCs w:val="24"/>
        </w:rPr>
        <w:t>premise</w:t>
      </w:r>
      <w:r w:rsidR="003E4280" w:rsidRPr="00EB2E4B">
        <w:rPr>
          <w:sz w:val="24"/>
          <w:szCs w:val="24"/>
        </w:rPr>
        <w:t xml:space="preserve"> that </w:t>
      </w:r>
      <w:r w:rsidRPr="00EB2E4B">
        <w:rPr>
          <w:sz w:val="24"/>
          <w:szCs w:val="24"/>
        </w:rPr>
        <w:t>companies</w:t>
      </w:r>
      <w:r w:rsidR="003E4280" w:rsidRPr="00EB2E4B">
        <w:rPr>
          <w:sz w:val="24"/>
          <w:szCs w:val="24"/>
        </w:rPr>
        <w:t xml:space="preserve"> </w:t>
      </w:r>
      <w:r w:rsidRPr="00EB2E4B">
        <w:rPr>
          <w:sz w:val="24"/>
          <w:szCs w:val="24"/>
        </w:rPr>
        <w:t>ought</w:t>
      </w:r>
      <w:r w:rsidR="003E4280" w:rsidRPr="00EB2E4B">
        <w:rPr>
          <w:sz w:val="24"/>
          <w:szCs w:val="24"/>
        </w:rPr>
        <w:t xml:space="preserve"> to </w:t>
      </w:r>
      <w:r w:rsidRPr="00EB2E4B">
        <w:rPr>
          <w:sz w:val="24"/>
          <w:szCs w:val="24"/>
        </w:rPr>
        <w:t>create</w:t>
      </w:r>
      <w:r w:rsidR="003E4280" w:rsidRPr="00EB2E4B">
        <w:rPr>
          <w:sz w:val="24"/>
          <w:szCs w:val="24"/>
        </w:rPr>
        <w:t xml:space="preserve"> value in the long term</w:t>
      </w:r>
      <w:r w:rsidRPr="00EB2E4B">
        <w:rPr>
          <w:sz w:val="24"/>
          <w:szCs w:val="24"/>
        </w:rPr>
        <w:t xml:space="preserve">, which could be reached </w:t>
      </w:r>
      <w:r w:rsidR="003E4280" w:rsidRPr="00EB2E4B">
        <w:rPr>
          <w:sz w:val="24"/>
          <w:szCs w:val="24"/>
        </w:rPr>
        <w:t xml:space="preserve">through </w:t>
      </w:r>
      <w:r w:rsidRPr="00EB2E4B">
        <w:rPr>
          <w:sz w:val="24"/>
          <w:szCs w:val="24"/>
        </w:rPr>
        <w:t xml:space="preserve">stakeholder </w:t>
      </w:r>
      <w:r w:rsidR="003E4280" w:rsidRPr="00EB2E4B">
        <w:rPr>
          <w:sz w:val="24"/>
          <w:szCs w:val="24"/>
        </w:rPr>
        <w:t>engagement</w:t>
      </w:r>
      <w:r w:rsidRPr="00EB2E4B">
        <w:rPr>
          <w:sz w:val="24"/>
          <w:szCs w:val="24"/>
        </w:rPr>
        <w:t xml:space="preserve">. </w:t>
      </w:r>
      <w:r w:rsidR="003E4280" w:rsidRPr="00EB2E4B">
        <w:rPr>
          <w:sz w:val="24"/>
          <w:szCs w:val="24"/>
        </w:rPr>
        <w:t>Freeman</w:t>
      </w:r>
      <w:r w:rsidR="00763EBA" w:rsidRPr="00EB2E4B">
        <w:rPr>
          <w:sz w:val="24"/>
          <w:szCs w:val="24"/>
        </w:rPr>
        <w:t xml:space="preserve"> (1984)</w:t>
      </w:r>
      <w:r w:rsidR="003E4280" w:rsidRPr="00EB2E4B">
        <w:rPr>
          <w:sz w:val="24"/>
          <w:szCs w:val="24"/>
        </w:rPr>
        <w:t xml:space="preserve"> </w:t>
      </w:r>
      <w:r w:rsidRPr="00EB2E4B">
        <w:rPr>
          <w:sz w:val="24"/>
          <w:szCs w:val="24"/>
        </w:rPr>
        <w:t xml:space="preserve">defined stakeholders </w:t>
      </w:r>
      <w:r w:rsidR="003E4280" w:rsidRPr="00EB2E4B">
        <w:rPr>
          <w:sz w:val="24"/>
          <w:szCs w:val="24"/>
        </w:rPr>
        <w:t>as a group or</w:t>
      </w:r>
      <w:r w:rsidRPr="00EB2E4B">
        <w:rPr>
          <w:sz w:val="24"/>
          <w:szCs w:val="24"/>
        </w:rPr>
        <w:t xml:space="preserve"> individuals</w:t>
      </w:r>
      <w:r w:rsidR="003E4280" w:rsidRPr="00EB2E4B">
        <w:rPr>
          <w:sz w:val="24"/>
          <w:szCs w:val="24"/>
        </w:rPr>
        <w:t xml:space="preserve"> </w:t>
      </w:r>
      <w:r w:rsidRPr="00EB2E4B">
        <w:rPr>
          <w:sz w:val="24"/>
          <w:szCs w:val="24"/>
        </w:rPr>
        <w:t>that could</w:t>
      </w:r>
      <w:r w:rsidR="003E4280" w:rsidRPr="00EB2E4B">
        <w:rPr>
          <w:sz w:val="24"/>
          <w:szCs w:val="24"/>
        </w:rPr>
        <w:t xml:space="preserve"> </w:t>
      </w:r>
      <w:r w:rsidRPr="00EB2E4B">
        <w:rPr>
          <w:sz w:val="24"/>
          <w:szCs w:val="24"/>
        </w:rPr>
        <w:t>impact</w:t>
      </w:r>
      <w:r w:rsidR="003E4280" w:rsidRPr="00EB2E4B">
        <w:rPr>
          <w:sz w:val="24"/>
          <w:szCs w:val="24"/>
        </w:rPr>
        <w:t xml:space="preserve"> or be </w:t>
      </w:r>
      <w:r w:rsidRPr="00EB2E4B">
        <w:rPr>
          <w:sz w:val="24"/>
          <w:szCs w:val="24"/>
        </w:rPr>
        <w:t>impacted</w:t>
      </w:r>
      <w:r w:rsidR="003E4280" w:rsidRPr="00EB2E4B">
        <w:rPr>
          <w:sz w:val="24"/>
          <w:szCs w:val="24"/>
        </w:rPr>
        <w:t xml:space="preserve"> by the </w:t>
      </w:r>
      <w:r w:rsidRPr="00EB2E4B">
        <w:rPr>
          <w:sz w:val="24"/>
          <w:szCs w:val="24"/>
        </w:rPr>
        <w:t>company's</w:t>
      </w:r>
      <w:r w:rsidR="003E4280" w:rsidRPr="00EB2E4B">
        <w:rPr>
          <w:sz w:val="24"/>
          <w:szCs w:val="24"/>
        </w:rPr>
        <w:t xml:space="preserve"> </w:t>
      </w:r>
      <w:r w:rsidRPr="00EB2E4B">
        <w:rPr>
          <w:sz w:val="24"/>
          <w:szCs w:val="24"/>
        </w:rPr>
        <w:t>practices and actions</w:t>
      </w:r>
      <w:r w:rsidR="003E4280" w:rsidRPr="00EB2E4B">
        <w:rPr>
          <w:sz w:val="24"/>
          <w:szCs w:val="24"/>
        </w:rPr>
        <w:t xml:space="preserve">. In this </w:t>
      </w:r>
      <w:r w:rsidRPr="00EB2E4B">
        <w:rPr>
          <w:sz w:val="24"/>
          <w:szCs w:val="24"/>
        </w:rPr>
        <w:t>journey</w:t>
      </w:r>
      <w:r w:rsidR="003E4280" w:rsidRPr="00EB2E4B">
        <w:rPr>
          <w:sz w:val="24"/>
          <w:szCs w:val="24"/>
        </w:rPr>
        <w:t xml:space="preserve"> toward a </w:t>
      </w:r>
      <w:r w:rsidRPr="00EB2E4B">
        <w:rPr>
          <w:sz w:val="24"/>
          <w:szCs w:val="24"/>
        </w:rPr>
        <w:t xml:space="preserve">CE </w:t>
      </w:r>
      <w:proofErr w:type="gramStart"/>
      <w:r w:rsidR="003E4280" w:rsidRPr="00EB2E4B">
        <w:rPr>
          <w:sz w:val="24"/>
          <w:szCs w:val="24"/>
        </w:rPr>
        <w:t>transition</w:t>
      </w:r>
      <w:r w:rsidRPr="00EB2E4B">
        <w:rPr>
          <w:sz w:val="24"/>
          <w:szCs w:val="24"/>
        </w:rPr>
        <w:t xml:space="preserve">, </w:t>
      </w:r>
      <w:r w:rsidR="003E4280" w:rsidRPr="00EB2E4B">
        <w:rPr>
          <w:sz w:val="24"/>
          <w:szCs w:val="24"/>
        </w:rPr>
        <w:t xml:space="preserve"> the</w:t>
      </w:r>
      <w:proofErr w:type="gramEnd"/>
      <w:r w:rsidR="003E4280" w:rsidRPr="00EB2E4B">
        <w:rPr>
          <w:sz w:val="24"/>
          <w:szCs w:val="24"/>
        </w:rPr>
        <w:t xml:space="preserve"> </w:t>
      </w:r>
      <w:r w:rsidRPr="00EB2E4B">
        <w:rPr>
          <w:sz w:val="24"/>
          <w:szCs w:val="24"/>
        </w:rPr>
        <w:t>AFS</w:t>
      </w:r>
      <w:r w:rsidR="003E4280" w:rsidRPr="00EB2E4B">
        <w:rPr>
          <w:sz w:val="24"/>
          <w:szCs w:val="24"/>
        </w:rPr>
        <w:t xml:space="preserve"> </w:t>
      </w:r>
      <w:r w:rsidRPr="00EB2E4B">
        <w:rPr>
          <w:sz w:val="24"/>
          <w:szCs w:val="24"/>
        </w:rPr>
        <w:t xml:space="preserve">must </w:t>
      </w:r>
      <w:r w:rsidR="003E4280" w:rsidRPr="00EB2E4B">
        <w:rPr>
          <w:sz w:val="24"/>
          <w:szCs w:val="24"/>
        </w:rPr>
        <w:t xml:space="preserve">engage with its stakeholders </w:t>
      </w:r>
      <w:r w:rsidRPr="00EB2E4B">
        <w:rPr>
          <w:sz w:val="24"/>
          <w:szCs w:val="24"/>
        </w:rPr>
        <w:t xml:space="preserve">in order </w:t>
      </w:r>
      <w:r w:rsidR="003E4280" w:rsidRPr="00EB2E4B">
        <w:rPr>
          <w:sz w:val="24"/>
          <w:szCs w:val="24"/>
        </w:rPr>
        <w:t xml:space="preserve">to </w:t>
      </w:r>
      <w:r w:rsidRPr="00EB2E4B">
        <w:rPr>
          <w:sz w:val="24"/>
          <w:szCs w:val="24"/>
        </w:rPr>
        <w:t xml:space="preserve">make them the primary actors of this paradigm change </w:t>
      </w:r>
      <w:r w:rsidR="00763EBA" w:rsidRPr="00EB2E4B">
        <w:rPr>
          <w:sz w:val="24"/>
          <w:szCs w:val="24"/>
        </w:rPr>
        <w:t>(</w:t>
      </w:r>
      <w:proofErr w:type="spellStart"/>
      <w:r w:rsidRPr="00EB2E4B">
        <w:rPr>
          <w:sz w:val="24"/>
          <w:szCs w:val="24"/>
        </w:rPr>
        <w:t>Barnabè</w:t>
      </w:r>
      <w:proofErr w:type="spellEnd"/>
      <w:r w:rsidRPr="00EB2E4B">
        <w:rPr>
          <w:sz w:val="24"/>
          <w:szCs w:val="24"/>
        </w:rPr>
        <w:t xml:space="preserve"> and Nazir, 2020).</w:t>
      </w:r>
      <w:r w:rsidR="00763EBA" w:rsidRPr="00EB2E4B">
        <w:rPr>
          <w:sz w:val="24"/>
          <w:szCs w:val="24"/>
        </w:rPr>
        <w:t xml:space="preserve"> </w:t>
      </w:r>
    </w:p>
    <w:p w14:paraId="6E424EEC" w14:textId="63559F46" w:rsidR="003E4280" w:rsidRPr="00EB2E4B" w:rsidRDefault="00DC50E1" w:rsidP="003E4280">
      <w:pPr>
        <w:rPr>
          <w:sz w:val="24"/>
          <w:szCs w:val="24"/>
        </w:rPr>
      </w:pPr>
      <w:r w:rsidRPr="00EB2E4B">
        <w:rPr>
          <w:sz w:val="24"/>
          <w:szCs w:val="24"/>
        </w:rPr>
        <w:t>Accordingly</w:t>
      </w:r>
      <w:r w:rsidR="003E4280" w:rsidRPr="00EB2E4B">
        <w:rPr>
          <w:sz w:val="24"/>
          <w:szCs w:val="24"/>
        </w:rPr>
        <w:t xml:space="preserve">, </w:t>
      </w:r>
      <w:r w:rsidR="00432AFD" w:rsidRPr="00EB2E4B">
        <w:rPr>
          <w:sz w:val="24"/>
          <w:szCs w:val="24"/>
        </w:rPr>
        <w:t>"</w:t>
      </w:r>
      <w:r w:rsidR="003E4280" w:rsidRPr="00EB2E4B">
        <w:rPr>
          <w:sz w:val="24"/>
          <w:szCs w:val="24"/>
        </w:rPr>
        <w:t>the more an organization engages with its stakeholders, the more accountable and responsible that organization is towards these stakeholders</w:t>
      </w:r>
      <w:r w:rsidR="00432AFD" w:rsidRPr="00EB2E4B">
        <w:rPr>
          <w:sz w:val="24"/>
          <w:szCs w:val="24"/>
        </w:rPr>
        <w:t>"</w:t>
      </w:r>
      <w:r w:rsidR="00763EBA" w:rsidRPr="00EB2E4B">
        <w:rPr>
          <w:sz w:val="24"/>
          <w:szCs w:val="24"/>
        </w:rPr>
        <w:t xml:space="preserve"> (Greenwood et al., 2007</w:t>
      </w:r>
      <w:r w:rsidR="003E4280" w:rsidRPr="00EB2E4B">
        <w:rPr>
          <w:sz w:val="24"/>
          <w:szCs w:val="24"/>
        </w:rPr>
        <w:t>, p. 1</w:t>
      </w:r>
      <w:r w:rsidR="00763EBA" w:rsidRPr="00EB2E4B">
        <w:rPr>
          <w:sz w:val="24"/>
          <w:szCs w:val="24"/>
        </w:rPr>
        <w:t>)</w:t>
      </w:r>
      <w:r w:rsidR="003E4280" w:rsidRPr="00EB2E4B">
        <w:rPr>
          <w:sz w:val="24"/>
          <w:szCs w:val="24"/>
        </w:rPr>
        <w:t xml:space="preserve">. </w:t>
      </w:r>
      <w:proofErr w:type="gramStart"/>
      <w:r w:rsidRPr="00EB2E4B">
        <w:rPr>
          <w:sz w:val="24"/>
          <w:szCs w:val="24"/>
        </w:rPr>
        <w:t>In particular, in</w:t>
      </w:r>
      <w:proofErr w:type="gramEnd"/>
      <w:r w:rsidRPr="00EB2E4B">
        <w:rPr>
          <w:sz w:val="24"/>
          <w:szCs w:val="24"/>
        </w:rPr>
        <w:t xml:space="preserve"> the agri-food sector</w:t>
      </w:r>
      <w:r w:rsidR="003E4280" w:rsidRPr="00EB2E4B">
        <w:rPr>
          <w:sz w:val="24"/>
          <w:szCs w:val="24"/>
        </w:rPr>
        <w:t xml:space="preserve">, industries are </w:t>
      </w:r>
      <w:r w:rsidRPr="00EB2E4B">
        <w:rPr>
          <w:sz w:val="24"/>
          <w:szCs w:val="24"/>
        </w:rPr>
        <w:t xml:space="preserve">asked </w:t>
      </w:r>
      <w:r w:rsidR="003E4280" w:rsidRPr="00EB2E4B">
        <w:rPr>
          <w:sz w:val="24"/>
          <w:szCs w:val="24"/>
        </w:rPr>
        <w:t xml:space="preserve">to </w:t>
      </w:r>
      <w:r w:rsidRPr="00EB2E4B">
        <w:rPr>
          <w:sz w:val="24"/>
          <w:szCs w:val="24"/>
        </w:rPr>
        <w:t>meet</w:t>
      </w:r>
      <w:r w:rsidR="003E4280" w:rsidRPr="00EB2E4B">
        <w:rPr>
          <w:sz w:val="24"/>
          <w:szCs w:val="24"/>
        </w:rPr>
        <w:t xml:space="preserve"> the </w:t>
      </w:r>
      <w:r w:rsidRPr="00EB2E4B">
        <w:rPr>
          <w:sz w:val="24"/>
          <w:szCs w:val="24"/>
        </w:rPr>
        <w:t>stakeholders'</w:t>
      </w:r>
      <w:r w:rsidR="003E4280" w:rsidRPr="00EB2E4B">
        <w:rPr>
          <w:sz w:val="24"/>
          <w:szCs w:val="24"/>
        </w:rPr>
        <w:t xml:space="preserve"> </w:t>
      </w:r>
      <w:r w:rsidRPr="00EB2E4B">
        <w:rPr>
          <w:sz w:val="24"/>
          <w:szCs w:val="24"/>
        </w:rPr>
        <w:t>demand</w:t>
      </w:r>
      <w:r w:rsidR="003E4280" w:rsidRPr="00EB2E4B">
        <w:rPr>
          <w:sz w:val="24"/>
          <w:szCs w:val="24"/>
        </w:rPr>
        <w:t xml:space="preserve"> for accountability</w:t>
      </w:r>
      <w:r w:rsidRPr="00EB2E4B">
        <w:rPr>
          <w:sz w:val="24"/>
          <w:szCs w:val="24"/>
        </w:rPr>
        <w:t xml:space="preserve">. </w:t>
      </w:r>
      <w:r w:rsidR="003E4280" w:rsidRPr="00EB2E4B">
        <w:rPr>
          <w:sz w:val="24"/>
          <w:szCs w:val="24"/>
        </w:rPr>
        <w:t xml:space="preserve">The </w:t>
      </w:r>
      <w:r w:rsidRPr="00EB2E4B">
        <w:rPr>
          <w:sz w:val="24"/>
          <w:szCs w:val="24"/>
        </w:rPr>
        <w:t>adoption</w:t>
      </w:r>
      <w:r w:rsidR="003E4280" w:rsidRPr="00EB2E4B">
        <w:rPr>
          <w:sz w:val="24"/>
          <w:szCs w:val="24"/>
        </w:rPr>
        <w:t xml:space="preserve"> of SM </w:t>
      </w:r>
      <w:r w:rsidRPr="00EB2E4B">
        <w:rPr>
          <w:sz w:val="24"/>
          <w:szCs w:val="24"/>
        </w:rPr>
        <w:t xml:space="preserve">strategies to communicate sustainable actions </w:t>
      </w:r>
      <w:r w:rsidR="003E4280" w:rsidRPr="00EB2E4B">
        <w:rPr>
          <w:sz w:val="24"/>
          <w:szCs w:val="24"/>
        </w:rPr>
        <w:t xml:space="preserve">can support the </w:t>
      </w:r>
      <w:r w:rsidRPr="00EB2E4B">
        <w:rPr>
          <w:sz w:val="24"/>
          <w:szCs w:val="24"/>
        </w:rPr>
        <w:t>AFS</w:t>
      </w:r>
      <w:r w:rsidR="003E4280" w:rsidRPr="00EB2E4B">
        <w:rPr>
          <w:sz w:val="24"/>
          <w:szCs w:val="24"/>
        </w:rPr>
        <w:t xml:space="preserve"> </w:t>
      </w:r>
      <w:r w:rsidRPr="00EB2E4B">
        <w:rPr>
          <w:sz w:val="24"/>
          <w:szCs w:val="24"/>
        </w:rPr>
        <w:t>in enhancing</w:t>
      </w:r>
      <w:r w:rsidR="003E4280" w:rsidRPr="00EB2E4B">
        <w:rPr>
          <w:sz w:val="24"/>
          <w:szCs w:val="24"/>
        </w:rPr>
        <w:t xml:space="preserve"> stakeholder engagement </w:t>
      </w:r>
      <w:r w:rsidRPr="00EB2E4B">
        <w:rPr>
          <w:sz w:val="24"/>
          <w:szCs w:val="24"/>
        </w:rPr>
        <w:t>by establishing a</w:t>
      </w:r>
      <w:r w:rsidR="003E4280" w:rsidRPr="00EB2E4B">
        <w:rPr>
          <w:sz w:val="24"/>
          <w:szCs w:val="24"/>
        </w:rPr>
        <w:t xml:space="preserve"> </w:t>
      </w:r>
      <w:r w:rsidRPr="00EB2E4B">
        <w:rPr>
          <w:sz w:val="24"/>
          <w:szCs w:val="24"/>
        </w:rPr>
        <w:t xml:space="preserve">bidirectional </w:t>
      </w:r>
      <w:r w:rsidR="003E4280" w:rsidRPr="00EB2E4B">
        <w:rPr>
          <w:sz w:val="24"/>
          <w:szCs w:val="24"/>
        </w:rPr>
        <w:t xml:space="preserve">dialogue between companies and </w:t>
      </w:r>
      <w:r w:rsidRPr="00EB2E4B">
        <w:rPr>
          <w:sz w:val="24"/>
          <w:szCs w:val="24"/>
        </w:rPr>
        <w:t xml:space="preserve">SM users </w:t>
      </w:r>
      <w:r w:rsidR="00763EBA" w:rsidRPr="00EB2E4B">
        <w:rPr>
          <w:sz w:val="24"/>
          <w:szCs w:val="24"/>
        </w:rPr>
        <w:t xml:space="preserve">(Bellucci and </w:t>
      </w:r>
      <w:proofErr w:type="spellStart"/>
      <w:r w:rsidR="00763EBA" w:rsidRPr="00EB2E4B">
        <w:rPr>
          <w:sz w:val="24"/>
          <w:szCs w:val="24"/>
        </w:rPr>
        <w:t>Manetti</w:t>
      </w:r>
      <w:proofErr w:type="spellEnd"/>
      <w:r w:rsidR="00763EBA" w:rsidRPr="00EB2E4B">
        <w:rPr>
          <w:sz w:val="24"/>
          <w:szCs w:val="24"/>
        </w:rPr>
        <w:t>, 2017)</w:t>
      </w:r>
      <w:r w:rsidR="003E4280" w:rsidRPr="00EB2E4B">
        <w:rPr>
          <w:sz w:val="24"/>
          <w:szCs w:val="24"/>
        </w:rPr>
        <w:t xml:space="preserve">. </w:t>
      </w:r>
      <w:r w:rsidRPr="00EB2E4B">
        <w:rPr>
          <w:sz w:val="24"/>
          <w:szCs w:val="24"/>
        </w:rPr>
        <w:t>Scholars</w:t>
      </w:r>
      <w:r w:rsidR="003E4280" w:rsidRPr="00EB2E4B">
        <w:rPr>
          <w:sz w:val="24"/>
          <w:szCs w:val="24"/>
        </w:rPr>
        <w:t xml:space="preserve"> have </w:t>
      </w:r>
      <w:r w:rsidRPr="00EB2E4B">
        <w:rPr>
          <w:sz w:val="24"/>
          <w:szCs w:val="24"/>
        </w:rPr>
        <w:t>defined</w:t>
      </w:r>
      <w:r w:rsidR="003E4280" w:rsidRPr="00EB2E4B">
        <w:rPr>
          <w:sz w:val="24"/>
          <w:szCs w:val="24"/>
        </w:rPr>
        <w:t xml:space="preserve"> SM as supporting dialogic instruments for information</w:t>
      </w:r>
      <w:r w:rsidRPr="00EB2E4B">
        <w:rPr>
          <w:sz w:val="24"/>
          <w:szCs w:val="24"/>
        </w:rPr>
        <w:t xml:space="preserve"> pooling and sharing</w:t>
      </w:r>
      <w:r w:rsidR="003E4280" w:rsidRPr="00EB2E4B">
        <w:rPr>
          <w:sz w:val="24"/>
          <w:szCs w:val="24"/>
        </w:rPr>
        <w:t xml:space="preserve"> </w:t>
      </w:r>
      <w:r w:rsidRPr="00EB2E4B">
        <w:rPr>
          <w:sz w:val="24"/>
          <w:szCs w:val="24"/>
        </w:rPr>
        <w:t xml:space="preserve">to grasp </w:t>
      </w:r>
      <w:r w:rsidR="003E4280" w:rsidRPr="00EB2E4B">
        <w:rPr>
          <w:sz w:val="24"/>
          <w:szCs w:val="24"/>
        </w:rPr>
        <w:t>the stakeholders</w:t>
      </w:r>
      <w:r w:rsidR="00432AFD" w:rsidRPr="00EB2E4B">
        <w:rPr>
          <w:sz w:val="24"/>
          <w:szCs w:val="24"/>
        </w:rPr>
        <w:t>'</w:t>
      </w:r>
      <w:r w:rsidR="003E4280" w:rsidRPr="00EB2E4B">
        <w:rPr>
          <w:sz w:val="24"/>
          <w:szCs w:val="24"/>
        </w:rPr>
        <w:t xml:space="preserve"> expectations</w:t>
      </w:r>
      <w:r w:rsidR="00763EBA" w:rsidRPr="00EB2E4B">
        <w:rPr>
          <w:sz w:val="24"/>
          <w:szCs w:val="24"/>
        </w:rPr>
        <w:t xml:space="preserve"> (Bebbington et al., 2007)</w:t>
      </w:r>
      <w:r w:rsidR="003E4280" w:rsidRPr="00EB2E4B">
        <w:rPr>
          <w:sz w:val="24"/>
          <w:szCs w:val="24"/>
        </w:rPr>
        <w:t xml:space="preserve">. </w:t>
      </w:r>
      <w:r w:rsidRPr="00EB2E4B">
        <w:rPr>
          <w:sz w:val="24"/>
          <w:szCs w:val="24"/>
        </w:rPr>
        <w:t>Hence</w:t>
      </w:r>
      <w:r w:rsidR="003E4280" w:rsidRPr="00EB2E4B">
        <w:rPr>
          <w:sz w:val="24"/>
          <w:szCs w:val="24"/>
        </w:rPr>
        <w:t xml:space="preserve">, SM are </w:t>
      </w:r>
      <w:r w:rsidRPr="00EB2E4B">
        <w:rPr>
          <w:sz w:val="24"/>
          <w:szCs w:val="24"/>
        </w:rPr>
        <w:t>incrementally</w:t>
      </w:r>
      <w:r w:rsidR="003E4280" w:rsidRPr="00EB2E4B">
        <w:rPr>
          <w:sz w:val="24"/>
          <w:szCs w:val="24"/>
        </w:rPr>
        <w:t xml:space="preserve"> becoming </w:t>
      </w:r>
      <w:r w:rsidRPr="00EB2E4B">
        <w:rPr>
          <w:sz w:val="24"/>
          <w:szCs w:val="24"/>
        </w:rPr>
        <w:t>vital</w:t>
      </w:r>
      <w:r w:rsidR="003E4280" w:rsidRPr="00EB2E4B">
        <w:rPr>
          <w:sz w:val="24"/>
          <w:szCs w:val="24"/>
        </w:rPr>
        <w:t xml:space="preserve"> </w:t>
      </w:r>
      <w:r w:rsidRPr="00EB2E4B">
        <w:rPr>
          <w:sz w:val="24"/>
          <w:szCs w:val="24"/>
        </w:rPr>
        <w:t>for</w:t>
      </w:r>
      <w:r w:rsidR="003E4280" w:rsidRPr="00EB2E4B">
        <w:rPr>
          <w:sz w:val="24"/>
          <w:szCs w:val="24"/>
        </w:rPr>
        <w:t xml:space="preserve"> CE </w:t>
      </w:r>
      <w:r w:rsidRPr="00EB2E4B">
        <w:rPr>
          <w:sz w:val="24"/>
          <w:szCs w:val="24"/>
        </w:rPr>
        <w:t>transition since the compelling need to</w:t>
      </w:r>
      <w:r w:rsidR="003E4280" w:rsidRPr="00EB2E4B">
        <w:rPr>
          <w:sz w:val="24"/>
          <w:szCs w:val="24"/>
        </w:rPr>
        <w:t xml:space="preserve"> </w:t>
      </w:r>
      <w:r w:rsidRPr="00EB2E4B">
        <w:rPr>
          <w:sz w:val="24"/>
          <w:szCs w:val="24"/>
        </w:rPr>
        <w:t xml:space="preserve">involve all the </w:t>
      </w:r>
      <w:r w:rsidR="003E4280" w:rsidRPr="00EB2E4B">
        <w:rPr>
          <w:sz w:val="24"/>
          <w:szCs w:val="24"/>
        </w:rPr>
        <w:t xml:space="preserve">supply chain </w:t>
      </w:r>
      <w:r w:rsidRPr="00EB2E4B">
        <w:rPr>
          <w:sz w:val="24"/>
          <w:szCs w:val="24"/>
        </w:rPr>
        <w:t>actors in this paradigm shift</w:t>
      </w:r>
      <w:r w:rsidR="00763EBA" w:rsidRPr="00EB2E4B">
        <w:rPr>
          <w:sz w:val="24"/>
          <w:szCs w:val="24"/>
        </w:rPr>
        <w:t xml:space="preserve"> (Esposito et al., 2021).</w:t>
      </w:r>
    </w:p>
    <w:p w14:paraId="00DAB00B" w14:textId="6303C16D" w:rsidR="003E4280" w:rsidRPr="00EB2E4B" w:rsidRDefault="00DC50E1" w:rsidP="003E4280">
      <w:pPr>
        <w:rPr>
          <w:sz w:val="24"/>
          <w:szCs w:val="24"/>
        </w:rPr>
      </w:pPr>
      <w:r w:rsidRPr="00EB2E4B">
        <w:rPr>
          <w:sz w:val="24"/>
          <w:szCs w:val="24"/>
        </w:rPr>
        <w:lastRenderedPageBreak/>
        <w:t>Furthermore</w:t>
      </w:r>
      <w:r w:rsidR="003E4280" w:rsidRPr="00EB2E4B">
        <w:rPr>
          <w:sz w:val="24"/>
          <w:szCs w:val="24"/>
        </w:rPr>
        <w:t xml:space="preserve">, SM </w:t>
      </w:r>
      <w:r w:rsidRPr="00EB2E4B">
        <w:rPr>
          <w:sz w:val="24"/>
          <w:szCs w:val="24"/>
        </w:rPr>
        <w:t>help obtains</w:t>
      </w:r>
      <w:r w:rsidR="003E4280" w:rsidRPr="00EB2E4B">
        <w:rPr>
          <w:sz w:val="24"/>
          <w:szCs w:val="24"/>
        </w:rPr>
        <w:t xml:space="preserve"> </w:t>
      </w:r>
      <w:r w:rsidRPr="00EB2E4B">
        <w:rPr>
          <w:sz w:val="24"/>
          <w:szCs w:val="24"/>
        </w:rPr>
        <w:t>stakeholders'</w:t>
      </w:r>
      <w:r w:rsidR="003E4280" w:rsidRPr="00EB2E4B">
        <w:rPr>
          <w:sz w:val="24"/>
          <w:szCs w:val="24"/>
        </w:rPr>
        <w:t xml:space="preserve"> collaboration</w:t>
      </w:r>
      <w:r w:rsidRPr="00EB2E4B">
        <w:rPr>
          <w:sz w:val="24"/>
          <w:szCs w:val="24"/>
        </w:rPr>
        <w:t xml:space="preserve"> and bring</w:t>
      </w:r>
      <w:r w:rsidR="003E4280" w:rsidRPr="00EB2E4B">
        <w:rPr>
          <w:sz w:val="24"/>
          <w:szCs w:val="24"/>
        </w:rPr>
        <w:t xml:space="preserve"> legitimacy</w:t>
      </w:r>
      <w:r w:rsidRPr="00EB2E4B">
        <w:rPr>
          <w:sz w:val="24"/>
          <w:szCs w:val="24"/>
        </w:rPr>
        <w:t xml:space="preserve"> </w:t>
      </w:r>
      <w:proofErr w:type="gramStart"/>
      <w:r w:rsidRPr="00EB2E4B">
        <w:rPr>
          <w:sz w:val="24"/>
          <w:szCs w:val="24"/>
        </w:rPr>
        <w:t>in order to</w:t>
      </w:r>
      <w:proofErr w:type="gramEnd"/>
      <w:r w:rsidRPr="00EB2E4B">
        <w:rPr>
          <w:sz w:val="24"/>
          <w:szCs w:val="24"/>
        </w:rPr>
        <w:t xml:space="preserve"> </w:t>
      </w:r>
      <w:r w:rsidR="003E4280" w:rsidRPr="00EB2E4B">
        <w:rPr>
          <w:sz w:val="24"/>
          <w:szCs w:val="24"/>
        </w:rPr>
        <w:t xml:space="preserve">become </w:t>
      </w:r>
      <w:r w:rsidRPr="00EB2E4B">
        <w:rPr>
          <w:sz w:val="24"/>
          <w:szCs w:val="24"/>
        </w:rPr>
        <w:t>increasingly</w:t>
      </w:r>
      <w:r w:rsidR="003E4280" w:rsidRPr="00EB2E4B">
        <w:rPr>
          <w:sz w:val="24"/>
          <w:szCs w:val="24"/>
        </w:rPr>
        <w:t xml:space="preserve"> competitive</w:t>
      </w:r>
      <w:r w:rsidRPr="00EB2E4B">
        <w:rPr>
          <w:sz w:val="24"/>
          <w:szCs w:val="24"/>
        </w:rPr>
        <w:t xml:space="preserve">. </w:t>
      </w:r>
      <w:r w:rsidR="003E4280" w:rsidRPr="00EB2E4B">
        <w:rPr>
          <w:sz w:val="24"/>
          <w:szCs w:val="24"/>
        </w:rPr>
        <w:t xml:space="preserve">The legitimacy theory </w:t>
      </w:r>
      <w:r w:rsidRPr="00EB2E4B">
        <w:rPr>
          <w:sz w:val="24"/>
          <w:szCs w:val="24"/>
        </w:rPr>
        <w:t>claim</w:t>
      </w:r>
      <w:r w:rsidR="003E4280" w:rsidRPr="00EB2E4B">
        <w:rPr>
          <w:sz w:val="24"/>
          <w:szCs w:val="24"/>
        </w:rPr>
        <w:t xml:space="preserve"> that </w:t>
      </w:r>
      <w:r w:rsidRPr="00EB2E4B">
        <w:rPr>
          <w:sz w:val="24"/>
          <w:szCs w:val="24"/>
        </w:rPr>
        <w:t>companies</w:t>
      </w:r>
      <w:r w:rsidR="003E4280" w:rsidRPr="00EB2E4B">
        <w:rPr>
          <w:sz w:val="24"/>
          <w:szCs w:val="24"/>
        </w:rPr>
        <w:t xml:space="preserve"> should </w:t>
      </w:r>
      <w:r w:rsidRPr="00EB2E4B">
        <w:rPr>
          <w:sz w:val="24"/>
          <w:szCs w:val="24"/>
        </w:rPr>
        <w:t>comply</w:t>
      </w:r>
      <w:r w:rsidR="003E4280" w:rsidRPr="00EB2E4B">
        <w:rPr>
          <w:sz w:val="24"/>
          <w:szCs w:val="24"/>
        </w:rPr>
        <w:t xml:space="preserve"> </w:t>
      </w:r>
      <w:r w:rsidRPr="00EB2E4B">
        <w:rPr>
          <w:sz w:val="24"/>
          <w:szCs w:val="24"/>
        </w:rPr>
        <w:t>with</w:t>
      </w:r>
      <w:r w:rsidR="003E4280" w:rsidRPr="00EB2E4B">
        <w:rPr>
          <w:sz w:val="24"/>
          <w:szCs w:val="24"/>
        </w:rPr>
        <w:t xml:space="preserve"> the values, norms, and expectations </w:t>
      </w:r>
      <w:r w:rsidRPr="00EB2E4B">
        <w:rPr>
          <w:sz w:val="24"/>
          <w:szCs w:val="24"/>
        </w:rPr>
        <w:t xml:space="preserve">system </w:t>
      </w:r>
      <w:r w:rsidR="003E4280" w:rsidRPr="00EB2E4B">
        <w:rPr>
          <w:sz w:val="24"/>
          <w:szCs w:val="24"/>
        </w:rPr>
        <w:t xml:space="preserve">of the social context they </w:t>
      </w:r>
      <w:r w:rsidRPr="00EB2E4B">
        <w:rPr>
          <w:sz w:val="24"/>
          <w:szCs w:val="24"/>
        </w:rPr>
        <w:t>act</w:t>
      </w:r>
      <w:r w:rsidR="003E4280" w:rsidRPr="00EB2E4B">
        <w:rPr>
          <w:sz w:val="24"/>
          <w:szCs w:val="24"/>
        </w:rPr>
        <w:t xml:space="preserve"> </w:t>
      </w:r>
      <w:r w:rsidR="00763EBA" w:rsidRPr="00EB2E4B">
        <w:rPr>
          <w:sz w:val="24"/>
          <w:szCs w:val="24"/>
        </w:rPr>
        <w:t>(</w:t>
      </w:r>
      <w:proofErr w:type="spellStart"/>
      <w:r w:rsidR="00763EBA" w:rsidRPr="00EB2E4B">
        <w:rPr>
          <w:sz w:val="24"/>
          <w:szCs w:val="24"/>
        </w:rPr>
        <w:t>Suchman</w:t>
      </w:r>
      <w:proofErr w:type="spellEnd"/>
      <w:r w:rsidR="00763EBA" w:rsidRPr="00EB2E4B">
        <w:rPr>
          <w:sz w:val="24"/>
          <w:szCs w:val="24"/>
        </w:rPr>
        <w:t>, 1995)</w:t>
      </w:r>
      <w:r w:rsidR="003E4280" w:rsidRPr="00EB2E4B">
        <w:rPr>
          <w:sz w:val="24"/>
          <w:szCs w:val="24"/>
        </w:rPr>
        <w:t xml:space="preserve">. </w:t>
      </w:r>
      <w:r w:rsidRPr="00EB2E4B">
        <w:rPr>
          <w:sz w:val="24"/>
          <w:szCs w:val="24"/>
        </w:rPr>
        <w:t>As a result</w:t>
      </w:r>
      <w:r w:rsidR="003E4280" w:rsidRPr="00EB2E4B">
        <w:rPr>
          <w:sz w:val="24"/>
          <w:szCs w:val="24"/>
        </w:rPr>
        <w:t xml:space="preserve">, the </w:t>
      </w:r>
      <w:r w:rsidRPr="00EB2E4B">
        <w:rPr>
          <w:sz w:val="24"/>
          <w:szCs w:val="24"/>
        </w:rPr>
        <w:t>AFS</w:t>
      </w:r>
      <w:r w:rsidR="003E4280" w:rsidRPr="00EB2E4B">
        <w:rPr>
          <w:sz w:val="24"/>
          <w:szCs w:val="24"/>
        </w:rPr>
        <w:t xml:space="preserve"> is </w:t>
      </w:r>
      <w:r w:rsidRPr="00EB2E4B">
        <w:rPr>
          <w:sz w:val="24"/>
          <w:szCs w:val="24"/>
        </w:rPr>
        <w:t>summoned</w:t>
      </w:r>
      <w:r w:rsidR="003E4280" w:rsidRPr="00EB2E4B">
        <w:rPr>
          <w:sz w:val="24"/>
          <w:szCs w:val="24"/>
        </w:rPr>
        <w:t xml:space="preserve"> to </w:t>
      </w:r>
      <w:r w:rsidRPr="00EB2E4B">
        <w:rPr>
          <w:sz w:val="24"/>
          <w:szCs w:val="24"/>
        </w:rPr>
        <w:t>carry out</w:t>
      </w:r>
      <w:r w:rsidR="003E4280" w:rsidRPr="00EB2E4B">
        <w:rPr>
          <w:sz w:val="24"/>
          <w:szCs w:val="24"/>
        </w:rPr>
        <w:t xml:space="preserve"> activities</w:t>
      </w:r>
      <w:r w:rsidRPr="00EB2E4B">
        <w:rPr>
          <w:sz w:val="24"/>
          <w:szCs w:val="24"/>
        </w:rPr>
        <w:t xml:space="preserve"> and policies</w:t>
      </w:r>
      <w:r w:rsidR="003E4280" w:rsidRPr="00EB2E4B">
        <w:rPr>
          <w:sz w:val="24"/>
          <w:szCs w:val="24"/>
        </w:rPr>
        <w:t xml:space="preserve"> to </w:t>
      </w:r>
      <w:r w:rsidRPr="00EB2E4B">
        <w:rPr>
          <w:sz w:val="24"/>
          <w:szCs w:val="24"/>
        </w:rPr>
        <w:t>obtain</w:t>
      </w:r>
      <w:r w:rsidR="003E4280" w:rsidRPr="00EB2E4B">
        <w:rPr>
          <w:sz w:val="24"/>
          <w:szCs w:val="24"/>
        </w:rPr>
        <w:t xml:space="preserve"> </w:t>
      </w:r>
      <w:r w:rsidRPr="00EB2E4B">
        <w:rPr>
          <w:sz w:val="24"/>
          <w:szCs w:val="24"/>
        </w:rPr>
        <w:t>societal legitimac</w:t>
      </w:r>
      <w:r w:rsidR="003E4280" w:rsidRPr="00EB2E4B">
        <w:rPr>
          <w:sz w:val="24"/>
          <w:szCs w:val="24"/>
        </w:rPr>
        <w:t xml:space="preserve">y and </w:t>
      </w:r>
      <w:r w:rsidRPr="00EB2E4B">
        <w:rPr>
          <w:sz w:val="24"/>
          <w:szCs w:val="24"/>
        </w:rPr>
        <w:t>endure</w:t>
      </w:r>
      <w:r w:rsidR="003E4280" w:rsidRPr="00EB2E4B">
        <w:rPr>
          <w:sz w:val="24"/>
          <w:szCs w:val="24"/>
        </w:rPr>
        <w:t xml:space="preserve"> </w:t>
      </w:r>
      <w:r w:rsidRPr="00EB2E4B">
        <w:rPr>
          <w:sz w:val="24"/>
          <w:szCs w:val="24"/>
        </w:rPr>
        <w:t>over the long run</w:t>
      </w:r>
      <w:r w:rsidR="00763EBA" w:rsidRPr="00EB2E4B">
        <w:rPr>
          <w:sz w:val="24"/>
          <w:szCs w:val="24"/>
        </w:rPr>
        <w:t xml:space="preserve"> (Esposito et al., 2021).</w:t>
      </w:r>
      <w:r w:rsidR="003E4280" w:rsidRPr="00EB2E4B">
        <w:rPr>
          <w:sz w:val="24"/>
          <w:szCs w:val="24"/>
        </w:rPr>
        <w:t xml:space="preserve"> </w:t>
      </w:r>
    </w:p>
    <w:p w14:paraId="06DB876B" w14:textId="3A665F33" w:rsidR="003E4280" w:rsidRPr="00EB2E4B" w:rsidRDefault="00DC50E1" w:rsidP="003E4280">
      <w:r w:rsidRPr="00EB2E4B">
        <w:rPr>
          <w:sz w:val="24"/>
          <w:szCs w:val="24"/>
        </w:rPr>
        <w:t>Starting from</w:t>
      </w:r>
      <w:r w:rsidR="003E4280" w:rsidRPr="00EB2E4B">
        <w:rPr>
          <w:sz w:val="24"/>
          <w:szCs w:val="24"/>
        </w:rPr>
        <w:t xml:space="preserve"> this background, the present </w:t>
      </w:r>
      <w:r w:rsidRPr="00EB2E4B">
        <w:rPr>
          <w:sz w:val="24"/>
          <w:szCs w:val="24"/>
        </w:rPr>
        <w:t>research aims to explore</w:t>
      </w:r>
      <w:r w:rsidR="003E4280" w:rsidRPr="00EB2E4B">
        <w:rPr>
          <w:sz w:val="24"/>
          <w:szCs w:val="24"/>
        </w:rPr>
        <w:t xml:space="preserve"> how agri-food </w:t>
      </w:r>
      <w:r w:rsidRPr="00EB2E4B">
        <w:rPr>
          <w:sz w:val="24"/>
          <w:szCs w:val="24"/>
        </w:rPr>
        <w:t>firms</w:t>
      </w:r>
      <w:r w:rsidR="003E4280" w:rsidRPr="00EB2E4B">
        <w:rPr>
          <w:sz w:val="24"/>
          <w:szCs w:val="24"/>
        </w:rPr>
        <w:t xml:space="preserve"> engage with their stakeholders.</w:t>
      </w:r>
    </w:p>
    <w:p w14:paraId="089C6A1A" w14:textId="5071333B" w:rsidR="003E4280" w:rsidRPr="00EB2E4B" w:rsidRDefault="003E4280" w:rsidP="003E4280"/>
    <w:p w14:paraId="74E02EEA" w14:textId="49F67B1B" w:rsidR="003E4280" w:rsidRPr="00EB2E4B" w:rsidRDefault="003E4280" w:rsidP="003E4280">
      <w:pPr>
        <w:pStyle w:val="Titolo1"/>
        <w:numPr>
          <w:ilvl w:val="0"/>
          <w:numId w:val="43"/>
        </w:numPr>
        <w:spacing w:before="0" w:after="0" w:line="276" w:lineRule="auto"/>
        <w:rPr>
          <w:snapToGrid w:val="0"/>
          <w:sz w:val="24"/>
          <w:szCs w:val="24"/>
        </w:rPr>
      </w:pPr>
      <w:r w:rsidRPr="00EB2E4B">
        <w:rPr>
          <w:snapToGrid w:val="0"/>
          <w:sz w:val="24"/>
          <w:szCs w:val="24"/>
        </w:rPr>
        <w:t>Methodology</w:t>
      </w:r>
    </w:p>
    <w:p w14:paraId="00888112" w14:textId="40DDD22C" w:rsidR="003E4280" w:rsidRPr="00EB2E4B" w:rsidRDefault="003E4280" w:rsidP="003E4280">
      <w:pPr>
        <w:rPr>
          <w:sz w:val="24"/>
          <w:szCs w:val="24"/>
        </w:rPr>
      </w:pPr>
      <w:r w:rsidRPr="00EB2E4B">
        <w:rPr>
          <w:sz w:val="24"/>
          <w:szCs w:val="24"/>
        </w:rPr>
        <w:t xml:space="preserve">The present </w:t>
      </w:r>
      <w:r w:rsidR="00997AC6" w:rsidRPr="00EB2E4B">
        <w:rPr>
          <w:sz w:val="24"/>
          <w:szCs w:val="24"/>
        </w:rPr>
        <w:t>research aims to</w:t>
      </w:r>
      <w:r w:rsidRPr="00EB2E4B">
        <w:rPr>
          <w:sz w:val="24"/>
          <w:szCs w:val="24"/>
        </w:rPr>
        <w:t xml:space="preserve"> </w:t>
      </w:r>
      <w:r w:rsidR="00997AC6" w:rsidRPr="00EB2E4B">
        <w:rPr>
          <w:sz w:val="24"/>
          <w:szCs w:val="24"/>
        </w:rPr>
        <w:t>investigate</w:t>
      </w:r>
      <w:r w:rsidRPr="00EB2E4B">
        <w:rPr>
          <w:sz w:val="24"/>
          <w:szCs w:val="24"/>
        </w:rPr>
        <w:t xml:space="preserve"> the CE disclosure and</w:t>
      </w:r>
      <w:r w:rsidR="00997AC6" w:rsidRPr="00EB2E4B">
        <w:rPr>
          <w:sz w:val="24"/>
          <w:szCs w:val="24"/>
        </w:rPr>
        <w:t xml:space="preserve"> the </w:t>
      </w:r>
      <w:r w:rsidRPr="00EB2E4B">
        <w:rPr>
          <w:sz w:val="24"/>
          <w:szCs w:val="24"/>
        </w:rPr>
        <w:t>stakeholder engagement</w:t>
      </w:r>
      <w:r w:rsidR="00997AC6" w:rsidRPr="00EB2E4B">
        <w:rPr>
          <w:sz w:val="24"/>
          <w:szCs w:val="24"/>
        </w:rPr>
        <w:t xml:space="preserve"> level of CE posts published by three agri-food companies </w:t>
      </w:r>
      <w:r w:rsidRPr="00EB2E4B">
        <w:rPr>
          <w:sz w:val="24"/>
          <w:szCs w:val="24"/>
        </w:rPr>
        <w:t xml:space="preserve">on </w:t>
      </w:r>
      <w:r w:rsidR="00997AC6" w:rsidRPr="00EB2E4B">
        <w:rPr>
          <w:sz w:val="24"/>
          <w:szCs w:val="24"/>
        </w:rPr>
        <w:t>T</w:t>
      </w:r>
      <w:r w:rsidRPr="00EB2E4B">
        <w:rPr>
          <w:sz w:val="24"/>
          <w:szCs w:val="24"/>
        </w:rPr>
        <w:t>w</w:t>
      </w:r>
      <w:r w:rsidR="00997AC6" w:rsidRPr="00EB2E4B">
        <w:rPr>
          <w:sz w:val="24"/>
          <w:szCs w:val="24"/>
        </w:rPr>
        <w:t>it</w:t>
      </w:r>
      <w:r w:rsidRPr="00EB2E4B">
        <w:rPr>
          <w:sz w:val="24"/>
          <w:szCs w:val="24"/>
        </w:rPr>
        <w:t>t</w:t>
      </w:r>
      <w:r w:rsidR="00997AC6" w:rsidRPr="00EB2E4B">
        <w:rPr>
          <w:sz w:val="24"/>
          <w:szCs w:val="24"/>
        </w:rPr>
        <w:t>er.</w:t>
      </w:r>
      <w:r w:rsidRPr="00EB2E4B">
        <w:rPr>
          <w:sz w:val="24"/>
          <w:szCs w:val="24"/>
        </w:rPr>
        <w:t xml:space="preserve"> </w:t>
      </w:r>
    </w:p>
    <w:p w14:paraId="0FCC5261" w14:textId="4588DB37" w:rsidR="003E4280" w:rsidRPr="00EB2E4B" w:rsidRDefault="00997AC6" w:rsidP="003E4280">
      <w:pPr>
        <w:rPr>
          <w:sz w:val="24"/>
          <w:szCs w:val="24"/>
        </w:rPr>
      </w:pPr>
      <w:r w:rsidRPr="00EB2E4B">
        <w:rPr>
          <w:sz w:val="24"/>
          <w:szCs w:val="24"/>
        </w:rPr>
        <w:t xml:space="preserve">This SM </w:t>
      </w:r>
      <w:r w:rsidR="003E4280" w:rsidRPr="00EB2E4B">
        <w:rPr>
          <w:sz w:val="24"/>
          <w:szCs w:val="24"/>
        </w:rPr>
        <w:t xml:space="preserve">was </w:t>
      </w:r>
      <w:r w:rsidRPr="00EB2E4B">
        <w:rPr>
          <w:sz w:val="24"/>
          <w:szCs w:val="24"/>
        </w:rPr>
        <w:t>selected</w:t>
      </w:r>
      <w:r w:rsidR="003E4280" w:rsidRPr="00EB2E4B">
        <w:rPr>
          <w:sz w:val="24"/>
          <w:szCs w:val="24"/>
        </w:rPr>
        <w:t xml:space="preserve"> for </w:t>
      </w:r>
      <w:r w:rsidRPr="00EB2E4B">
        <w:rPr>
          <w:sz w:val="24"/>
          <w:szCs w:val="24"/>
        </w:rPr>
        <w:t>multiple</w:t>
      </w:r>
      <w:r w:rsidR="003E4280" w:rsidRPr="00EB2E4B">
        <w:rPr>
          <w:sz w:val="24"/>
          <w:szCs w:val="24"/>
        </w:rPr>
        <w:t xml:space="preserve"> </w:t>
      </w:r>
      <w:r w:rsidRPr="00EB2E4B">
        <w:rPr>
          <w:sz w:val="24"/>
          <w:szCs w:val="24"/>
        </w:rPr>
        <w:t>rations</w:t>
      </w:r>
      <w:r w:rsidR="003E4280" w:rsidRPr="00EB2E4B">
        <w:rPr>
          <w:sz w:val="24"/>
          <w:szCs w:val="24"/>
        </w:rPr>
        <w:t xml:space="preserve">. </w:t>
      </w:r>
      <w:r w:rsidRPr="00EB2E4B">
        <w:rPr>
          <w:sz w:val="24"/>
          <w:szCs w:val="24"/>
        </w:rPr>
        <w:t>Twitter</w:t>
      </w:r>
      <w:r w:rsidR="003E4280" w:rsidRPr="00EB2E4B">
        <w:rPr>
          <w:sz w:val="24"/>
          <w:szCs w:val="24"/>
        </w:rPr>
        <w:t xml:space="preserve"> is </w:t>
      </w:r>
      <w:r w:rsidRPr="00EB2E4B">
        <w:rPr>
          <w:sz w:val="24"/>
          <w:szCs w:val="24"/>
        </w:rPr>
        <w:t>a commonly used social network</w:t>
      </w:r>
      <w:r w:rsidR="003E4280" w:rsidRPr="00EB2E4B">
        <w:rPr>
          <w:sz w:val="24"/>
          <w:szCs w:val="24"/>
        </w:rPr>
        <w:t xml:space="preserve"> worldwide </w:t>
      </w:r>
      <w:r w:rsidR="00763EBA" w:rsidRPr="00EB2E4B">
        <w:rPr>
          <w:sz w:val="24"/>
          <w:szCs w:val="24"/>
        </w:rPr>
        <w:t>(</w:t>
      </w:r>
      <w:proofErr w:type="spellStart"/>
      <w:r w:rsidR="00763EBA" w:rsidRPr="00EB2E4B">
        <w:rPr>
          <w:sz w:val="24"/>
          <w:szCs w:val="24"/>
        </w:rPr>
        <w:t>Mergel</w:t>
      </w:r>
      <w:proofErr w:type="spellEnd"/>
      <w:r w:rsidR="00763EBA" w:rsidRPr="00EB2E4B">
        <w:rPr>
          <w:sz w:val="24"/>
          <w:szCs w:val="24"/>
        </w:rPr>
        <w:t>, 2013)</w:t>
      </w:r>
      <w:r w:rsidR="003E4280" w:rsidRPr="00EB2E4B">
        <w:rPr>
          <w:sz w:val="24"/>
          <w:szCs w:val="24"/>
        </w:rPr>
        <w:t xml:space="preserve">. </w:t>
      </w:r>
      <w:r w:rsidRPr="00EB2E4B">
        <w:rPr>
          <w:sz w:val="24"/>
          <w:szCs w:val="24"/>
        </w:rPr>
        <w:t>Furthermore</w:t>
      </w:r>
      <w:r w:rsidR="003E4280" w:rsidRPr="00EB2E4B">
        <w:rPr>
          <w:sz w:val="24"/>
          <w:szCs w:val="24"/>
        </w:rPr>
        <w:t xml:space="preserve">, </w:t>
      </w:r>
      <w:r w:rsidRPr="00EB2E4B">
        <w:rPr>
          <w:sz w:val="24"/>
          <w:szCs w:val="24"/>
        </w:rPr>
        <w:t>being an open-source platform, it</w:t>
      </w:r>
      <w:r w:rsidR="003E4280" w:rsidRPr="00EB2E4B">
        <w:rPr>
          <w:sz w:val="24"/>
          <w:szCs w:val="24"/>
        </w:rPr>
        <w:t xml:space="preserve"> </w:t>
      </w:r>
      <w:r w:rsidRPr="00EB2E4B">
        <w:rPr>
          <w:sz w:val="24"/>
          <w:szCs w:val="24"/>
        </w:rPr>
        <w:t>helps</w:t>
      </w:r>
      <w:r w:rsidR="003E4280" w:rsidRPr="00EB2E4B">
        <w:rPr>
          <w:sz w:val="24"/>
          <w:szCs w:val="24"/>
        </w:rPr>
        <w:t xml:space="preserve"> </w:t>
      </w:r>
      <w:r w:rsidRPr="00EB2E4B">
        <w:rPr>
          <w:sz w:val="24"/>
          <w:szCs w:val="24"/>
        </w:rPr>
        <w:t>researchers</w:t>
      </w:r>
      <w:r w:rsidR="003E4280" w:rsidRPr="00EB2E4B">
        <w:rPr>
          <w:sz w:val="24"/>
          <w:szCs w:val="24"/>
        </w:rPr>
        <w:t xml:space="preserve"> </w:t>
      </w:r>
      <w:r w:rsidRPr="00EB2E4B">
        <w:rPr>
          <w:sz w:val="24"/>
          <w:szCs w:val="24"/>
        </w:rPr>
        <w:t>collect and analyze</w:t>
      </w:r>
      <w:r w:rsidR="003E4280" w:rsidRPr="00EB2E4B">
        <w:rPr>
          <w:sz w:val="24"/>
          <w:szCs w:val="24"/>
        </w:rPr>
        <w:t xml:space="preserve"> data </w:t>
      </w:r>
      <w:r w:rsidR="00763EBA" w:rsidRPr="00EB2E4B">
        <w:rPr>
          <w:sz w:val="24"/>
          <w:szCs w:val="24"/>
        </w:rPr>
        <w:t>(</w:t>
      </w:r>
      <w:proofErr w:type="spellStart"/>
      <w:r w:rsidR="00763EBA" w:rsidRPr="00EB2E4B">
        <w:rPr>
          <w:sz w:val="24"/>
          <w:szCs w:val="24"/>
        </w:rPr>
        <w:t>Panagiotopoulos</w:t>
      </w:r>
      <w:proofErr w:type="spellEnd"/>
      <w:r w:rsidR="00763EBA" w:rsidRPr="00EB2E4B">
        <w:rPr>
          <w:sz w:val="24"/>
          <w:szCs w:val="24"/>
        </w:rPr>
        <w:t xml:space="preserve"> et al., 2014)</w:t>
      </w:r>
      <w:r w:rsidR="003E4280" w:rsidRPr="00EB2E4B">
        <w:rPr>
          <w:sz w:val="24"/>
          <w:szCs w:val="24"/>
        </w:rPr>
        <w:t xml:space="preserve">. </w:t>
      </w:r>
      <w:r w:rsidRPr="00EB2E4B">
        <w:rPr>
          <w:sz w:val="24"/>
          <w:szCs w:val="24"/>
        </w:rPr>
        <w:t>Finally</w:t>
      </w:r>
      <w:r w:rsidR="003E4280" w:rsidRPr="00EB2E4B">
        <w:rPr>
          <w:sz w:val="24"/>
          <w:szCs w:val="24"/>
        </w:rPr>
        <w:t xml:space="preserve">, the </w:t>
      </w:r>
      <w:r w:rsidRPr="00EB2E4B">
        <w:rPr>
          <w:sz w:val="24"/>
          <w:szCs w:val="24"/>
        </w:rPr>
        <w:t xml:space="preserve">post's brevity </w:t>
      </w:r>
      <w:r w:rsidR="003E4280" w:rsidRPr="00EB2E4B">
        <w:rPr>
          <w:sz w:val="24"/>
          <w:szCs w:val="24"/>
        </w:rPr>
        <w:t xml:space="preserve">can </w:t>
      </w:r>
      <w:r w:rsidRPr="00EB2E4B">
        <w:rPr>
          <w:sz w:val="24"/>
          <w:szCs w:val="24"/>
        </w:rPr>
        <w:t>achieve</w:t>
      </w:r>
      <w:r w:rsidR="003E4280" w:rsidRPr="00EB2E4B">
        <w:rPr>
          <w:sz w:val="24"/>
          <w:szCs w:val="24"/>
        </w:rPr>
        <w:t xml:space="preserve"> a </w:t>
      </w:r>
      <w:r w:rsidRPr="00EB2E4B">
        <w:rPr>
          <w:sz w:val="24"/>
          <w:szCs w:val="24"/>
        </w:rPr>
        <w:t>broader</w:t>
      </w:r>
      <w:r w:rsidR="003E4280" w:rsidRPr="00EB2E4B">
        <w:rPr>
          <w:sz w:val="24"/>
          <w:szCs w:val="24"/>
        </w:rPr>
        <w:t xml:space="preserve"> audience, and </w:t>
      </w:r>
      <w:r w:rsidRPr="00EB2E4B">
        <w:rPr>
          <w:sz w:val="24"/>
          <w:szCs w:val="24"/>
        </w:rPr>
        <w:t>companies</w:t>
      </w:r>
      <w:r w:rsidR="003E4280" w:rsidRPr="00EB2E4B">
        <w:rPr>
          <w:sz w:val="24"/>
          <w:szCs w:val="24"/>
        </w:rPr>
        <w:t xml:space="preserve"> </w:t>
      </w:r>
      <w:r w:rsidRPr="00EB2E4B">
        <w:rPr>
          <w:sz w:val="24"/>
          <w:szCs w:val="24"/>
        </w:rPr>
        <w:t xml:space="preserve">can </w:t>
      </w:r>
      <w:r w:rsidR="003E4280" w:rsidRPr="00EB2E4B">
        <w:rPr>
          <w:sz w:val="24"/>
          <w:szCs w:val="24"/>
        </w:rPr>
        <w:t xml:space="preserve">publish posts </w:t>
      </w:r>
      <w:r w:rsidRPr="00EB2E4B">
        <w:rPr>
          <w:sz w:val="24"/>
          <w:szCs w:val="24"/>
        </w:rPr>
        <w:t>several times</w:t>
      </w:r>
      <w:r w:rsidR="00763EBA" w:rsidRPr="00EB2E4B">
        <w:rPr>
          <w:sz w:val="24"/>
          <w:szCs w:val="24"/>
        </w:rPr>
        <w:t xml:space="preserve"> (Kim et al., 2014)</w:t>
      </w:r>
      <w:r w:rsidR="003E4280" w:rsidRPr="00EB2E4B">
        <w:rPr>
          <w:sz w:val="24"/>
          <w:szCs w:val="24"/>
        </w:rPr>
        <w:t xml:space="preserve">. </w:t>
      </w:r>
      <w:r w:rsidRPr="00EB2E4B">
        <w:rPr>
          <w:sz w:val="24"/>
          <w:szCs w:val="24"/>
        </w:rPr>
        <w:t>Therefore</w:t>
      </w:r>
      <w:r w:rsidR="003E4280" w:rsidRPr="00EB2E4B">
        <w:rPr>
          <w:sz w:val="24"/>
          <w:szCs w:val="24"/>
        </w:rPr>
        <w:t xml:space="preserve">, Twitter has been </w:t>
      </w:r>
      <w:r w:rsidRPr="00EB2E4B">
        <w:rPr>
          <w:sz w:val="24"/>
          <w:szCs w:val="24"/>
        </w:rPr>
        <w:t>defined as</w:t>
      </w:r>
      <w:r w:rsidR="003E4280" w:rsidRPr="00EB2E4B">
        <w:rPr>
          <w:sz w:val="24"/>
          <w:szCs w:val="24"/>
        </w:rPr>
        <w:t xml:space="preserve"> a </w:t>
      </w:r>
      <w:r w:rsidRPr="00EB2E4B">
        <w:rPr>
          <w:sz w:val="24"/>
          <w:szCs w:val="24"/>
        </w:rPr>
        <w:t>proper</w:t>
      </w:r>
      <w:r w:rsidR="003E4280" w:rsidRPr="00EB2E4B">
        <w:rPr>
          <w:sz w:val="24"/>
          <w:szCs w:val="24"/>
        </w:rPr>
        <w:t xml:space="preserve"> social network </w:t>
      </w:r>
      <w:r w:rsidRPr="00EB2E4B">
        <w:rPr>
          <w:sz w:val="24"/>
          <w:szCs w:val="24"/>
        </w:rPr>
        <w:t>for building</w:t>
      </w:r>
      <w:r w:rsidR="003E4280" w:rsidRPr="00EB2E4B">
        <w:rPr>
          <w:sz w:val="24"/>
          <w:szCs w:val="24"/>
        </w:rPr>
        <w:t xml:space="preserve"> engagement</w:t>
      </w:r>
      <w:r w:rsidR="00763EBA" w:rsidRPr="00EB2E4B">
        <w:rPr>
          <w:sz w:val="24"/>
          <w:szCs w:val="24"/>
        </w:rPr>
        <w:t xml:space="preserve"> (</w:t>
      </w:r>
      <w:r w:rsidR="00B21683" w:rsidRPr="00EB2E4B">
        <w:rPr>
          <w:sz w:val="24"/>
          <w:szCs w:val="24"/>
        </w:rPr>
        <w:t>Boons et al., 2017)</w:t>
      </w:r>
      <w:r w:rsidR="003E4280" w:rsidRPr="00EB2E4B">
        <w:rPr>
          <w:sz w:val="24"/>
          <w:szCs w:val="24"/>
        </w:rPr>
        <w:t xml:space="preserve">. </w:t>
      </w:r>
    </w:p>
    <w:p w14:paraId="2CCF7E36" w14:textId="4256D7C5" w:rsidR="00997AC6" w:rsidRPr="00EB2E4B" w:rsidRDefault="00997AC6" w:rsidP="003E4280">
      <w:pPr>
        <w:rPr>
          <w:sz w:val="24"/>
          <w:szCs w:val="24"/>
        </w:rPr>
      </w:pPr>
      <w:r w:rsidRPr="00EB2E4B">
        <w:rPr>
          <w:sz w:val="24"/>
          <w:szCs w:val="24"/>
        </w:rPr>
        <w:t xml:space="preserve">Three big Italian companies have been chosen from the "AIDA </w:t>
      </w:r>
      <w:proofErr w:type="spellStart"/>
      <w:r w:rsidRPr="00EB2E4B">
        <w:rPr>
          <w:sz w:val="24"/>
          <w:szCs w:val="24"/>
        </w:rPr>
        <w:t>Breau</w:t>
      </w:r>
      <w:proofErr w:type="spellEnd"/>
      <w:r w:rsidRPr="00EB2E4B">
        <w:rPr>
          <w:sz w:val="24"/>
          <w:szCs w:val="24"/>
        </w:rPr>
        <w:t xml:space="preserve"> van Dijk International" database per capital market using the ATECO codes "10- food processing industries" and "11-beverage companies"</w:t>
      </w:r>
      <w:r w:rsidR="005060FB" w:rsidRPr="00EB2E4B">
        <w:rPr>
          <w:sz w:val="24"/>
          <w:szCs w:val="24"/>
        </w:rPr>
        <w:t xml:space="preserve"> in the Campania region. </w:t>
      </w:r>
    </w:p>
    <w:p w14:paraId="36E54EE5" w14:textId="5ED6C9E8" w:rsidR="00997AC6" w:rsidRPr="00EB2E4B" w:rsidRDefault="00997AC6" w:rsidP="003E4280">
      <w:pPr>
        <w:rPr>
          <w:sz w:val="24"/>
          <w:szCs w:val="24"/>
        </w:rPr>
      </w:pPr>
      <w:r w:rsidRPr="00EB2E4B">
        <w:rPr>
          <w:sz w:val="24"/>
          <w:szCs w:val="24"/>
        </w:rPr>
        <w:t xml:space="preserve">The dimension criterion has been chosen since the company's size affects its attitude towards circular and environmental investments (D'Amico et al., 2016; </w:t>
      </w:r>
      <w:proofErr w:type="spellStart"/>
      <w:r w:rsidRPr="00EB2E4B">
        <w:rPr>
          <w:sz w:val="24"/>
          <w:szCs w:val="24"/>
        </w:rPr>
        <w:t>Giannarakis</w:t>
      </w:r>
      <w:proofErr w:type="spellEnd"/>
      <w:r w:rsidRPr="00EB2E4B">
        <w:rPr>
          <w:sz w:val="24"/>
          <w:szCs w:val="24"/>
        </w:rPr>
        <w:t xml:space="preserve"> et al., 2020). Accordingly, larger companies can be considered more willing to disclose CE practices.</w:t>
      </w:r>
    </w:p>
    <w:p w14:paraId="2C81079E" w14:textId="68FE6E1A" w:rsidR="003E4280" w:rsidRPr="00EB2E4B" w:rsidRDefault="003E4280" w:rsidP="003E4280">
      <w:pPr>
        <w:rPr>
          <w:sz w:val="24"/>
          <w:szCs w:val="24"/>
        </w:rPr>
      </w:pPr>
      <w:r w:rsidRPr="00EB2E4B">
        <w:rPr>
          <w:sz w:val="24"/>
          <w:szCs w:val="24"/>
        </w:rPr>
        <w:t xml:space="preserve">All tweets </w:t>
      </w:r>
      <w:r w:rsidR="00997AC6" w:rsidRPr="00EB2E4B">
        <w:rPr>
          <w:sz w:val="24"/>
          <w:szCs w:val="24"/>
        </w:rPr>
        <w:t xml:space="preserve">published by each company </w:t>
      </w:r>
      <w:r w:rsidRPr="00EB2E4B">
        <w:rPr>
          <w:sz w:val="24"/>
          <w:szCs w:val="24"/>
        </w:rPr>
        <w:t xml:space="preserve">from the 9th of March 2020 until the extraction data on the </w:t>
      </w:r>
      <w:r w:rsidR="00997AC6" w:rsidRPr="00EB2E4B">
        <w:rPr>
          <w:sz w:val="24"/>
          <w:szCs w:val="24"/>
        </w:rPr>
        <w:t>10</w:t>
      </w:r>
      <w:r w:rsidRPr="00EB2E4B">
        <w:rPr>
          <w:sz w:val="24"/>
          <w:szCs w:val="24"/>
        </w:rPr>
        <w:t xml:space="preserve">th of </w:t>
      </w:r>
      <w:r w:rsidR="00997AC6" w:rsidRPr="00EB2E4B">
        <w:rPr>
          <w:sz w:val="24"/>
          <w:szCs w:val="24"/>
        </w:rPr>
        <w:t>June</w:t>
      </w:r>
      <w:r w:rsidRPr="00EB2E4B">
        <w:rPr>
          <w:sz w:val="24"/>
          <w:szCs w:val="24"/>
        </w:rPr>
        <w:t xml:space="preserve"> 2022 were extracted, </w:t>
      </w:r>
      <w:proofErr w:type="gramStart"/>
      <w:r w:rsidRPr="00EB2E4B">
        <w:rPr>
          <w:sz w:val="24"/>
          <w:szCs w:val="24"/>
        </w:rPr>
        <w:t>purified</w:t>
      </w:r>
      <w:proofErr w:type="gramEnd"/>
      <w:r w:rsidRPr="00EB2E4B">
        <w:rPr>
          <w:sz w:val="24"/>
          <w:szCs w:val="24"/>
        </w:rPr>
        <w:t xml:space="preserve"> and analyzed using data mining techniques</w:t>
      </w:r>
      <w:r w:rsidR="00D74EAD" w:rsidRPr="00EB2E4B">
        <w:rPr>
          <w:sz w:val="24"/>
          <w:szCs w:val="24"/>
        </w:rPr>
        <w:t xml:space="preserve"> </w:t>
      </w:r>
      <w:r w:rsidRPr="00EB2E4B">
        <w:rPr>
          <w:sz w:val="24"/>
          <w:szCs w:val="24"/>
        </w:rPr>
        <w:t xml:space="preserve">since our research </w:t>
      </w:r>
      <w:r w:rsidR="00D74EAD" w:rsidRPr="00EB2E4B">
        <w:rPr>
          <w:sz w:val="24"/>
          <w:szCs w:val="24"/>
        </w:rPr>
        <w:t>purpose</w:t>
      </w:r>
      <w:r w:rsidRPr="00EB2E4B">
        <w:rPr>
          <w:sz w:val="24"/>
          <w:szCs w:val="24"/>
        </w:rPr>
        <w:t xml:space="preserve"> was to </w:t>
      </w:r>
      <w:r w:rsidR="00D74EAD" w:rsidRPr="00EB2E4B">
        <w:rPr>
          <w:sz w:val="24"/>
          <w:szCs w:val="24"/>
        </w:rPr>
        <w:t>explore</w:t>
      </w:r>
      <w:r w:rsidRPr="00EB2E4B">
        <w:rPr>
          <w:sz w:val="24"/>
          <w:szCs w:val="24"/>
        </w:rPr>
        <w:t xml:space="preserve"> the engagement </w:t>
      </w:r>
      <w:r w:rsidR="00D74EAD" w:rsidRPr="00EB2E4B">
        <w:rPr>
          <w:sz w:val="24"/>
          <w:szCs w:val="24"/>
        </w:rPr>
        <w:t xml:space="preserve">level </w:t>
      </w:r>
      <w:r w:rsidRPr="00EB2E4B">
        <w:rPr>
          <w:sz w:val="24"/>
          <w:szCs w:val="24"/>
        </w:rPr>
        <w:t>from Twitter</w:t>
      </w:r>
      <w:r w:rsidR="00432AFD" w:rsidRPr="00EB2E4B">
        <w:rPr>
          <w:sz w:val="24"/>
          <w:szCs w:val="24"/>
        </w:rPr>
        <w:t>'</w:t>
      </w:r>
      <w:r w:rsidRPr="00EB2E4B">
        <w:rPr>
          <w:sz w:val="24"/>
          <w:szCs w:val="24"/>
        </w:rPr>
        <w:t xml:space="preserve">s accounts </w:t>
      </w:r>
      <w:r w:rsidR="00D74EAD" w:rsidRPr="00EB2E4B">
        <w:rPr>
          <w:sz w:val="24"/>
          <w:szCs w:val="24"/>
        </w:rPr>
        <w:t xml:space="preserve">on CE </w:t>
      </w:r>
      <w:r w:rsidRPr="00EB2E4B">
        <w:rPr>
          <w:sz w:val="24"/>
          <w:szCs w:val="24"/>
        </w:rPr>
        <w:t xml:space="preserve">in the </w:t>
      </w:r>
      <w:r w:rsidR="00D74EAD" w:rsidRPr="00EB2E4B">
        <w:rPr>
          <w:sz w:val="24"/>
          <w:szCs w:val="24"/>
        </w:rPr>
        <w:t xml:space="preserve">AFS </w:t>
      </w:r>
      <w:r w:rsidRPr="00EB2E4B">
        <w:rPr>
          <w:sz w:val="24"/>
          <w:szCs w:val="24"/>
        </w:rPr>
        <w:t>during the pandemic and post-pandemic period</w:t>
      </w:r>
      <w:r w:rsidR="00D74EAD" w:rsidRPr="00EB2E4B">
        <w:rPr>
          <w:sz w:val="24"/>
          <w:szCs w:val="24"/>
        </w:rPr>
        <w:t xml:space="preserve">. </w:t>
      </w:r>
      <w:r w:rsidR="00012FD6" w:rsidRPr="00EB2E4B">
        <w:rPr>
          <w:sz w:val="24"/>
          <w:szCs w:val="24"/>
        </w:rPr>
        <w:t>However</w:t>
      </w:r>
      <w:r w:rsidRPr="00EB2E4B">
        <w:rPr>
          <w:sz w:val="24"/>
          <w:szCs w:val="24"/>
        </w:rPr>
        <w:t xml:space="preserve">, our </w:t>
      </w:r>
      <w:r w:rsidR="00012FD6" w:rsidRPr="00EB2E4B">
        <w:rPr>
          <w:sz w:val="24"/>
          <w:szCs w:val="24"/>
        </w:rPr>
        <w:t>analysis does not include</w:t>
      </w:r>
      <w:r w:rsidRPr="00EB2E4B">
        <w:rPr>
          <w:sz w:val="24"/>
          <w:szCs w:val="24"/>
        </w:rPr>
        <w:t xml:space="preserve"> Tweets published after the</w:t>
      </w:r>
      <w:r w:rsidR="00012FD6" w:rsidRPr="00EB2E4B">
        <w:rPr>
          <w:sz w:val="24"/>
          <w:szCs w:val="24"/>
        </w:rPr>
        <w:t xml:space="preserve"> 10th of June 2022 and, </w:t>
      </w:r>
      <w:proofErr w:type="gramStart"/>
      <w:r w:rsidR="00012FD6" w:rsidRPr="00EB2E4B">
        <w:rPr>
          <w:sz w:val="24"/>
          <w:szCs w:val="24"/>
        </w:rPr>
        <w:t>as a consequence</w:t>
      </w:r>
      <w:proofErr w:type="gramEnd"/>
      <w:r w:rsidR="00012FD6" w:rsidRPr="00EB2E4B">
        <w:rPr>
          <w:sz w:val="24"/>
          <w:szCs w:val="24"/>
        </w:rPr>
        <w:t>,</w:t>
      </w:r>
      <w:r w:rsidRPr="00EB2E4B">
        <w:rPr>
          <w:sz w:val="24"/>
          <w:szCs w:val="24"/>
        </w:rPr>
        <w:t xml:space="preserve"> show</w:t>
      </w:r>
      <w:r w:rsidR="00012FD6" w:rsidRPr="00EB2E4B">
        <w:rPr>
          <w:sz w:val="24"/>
          <w:szCs w:val="24"/>
        </w:rPr>
        <w:t>s</w:t>
      </w:r>
      <w:r w:rsidRPr="00EB2E4B">
        <w:rPr>
          <w:sz w:val="24"/>
          <w:szCs w:val="24"/>
        </w:rPr>
        <w:t xml:space="preserve"> only a </w:t>
      </w:r>
      <w:r w:rsidR="00012FD6" w:rsidRPr="00EB2E4B">
        <w:rPr>
          <w:sz w:val="24"/>
          <w:szCs w:val="24"/>
        </w:rPr>
        <w:t xml:space="preserve">partial </w:t>
      </w:r>
      <w:r w:rsidRPr="00EB2E4B">
        <w:rPr>
          <w:sz w:val="24"/>
          <w:szCs w:val="24"/>
        </w:rPr>
        <w:t>view of the 2022</w:t>
      </w:r>
      <w:r w:rsidR="00012FD6" w:rsidRPr="00EB2E4B">
        <w:rPr>
          <w:sz w:val="24"/>
          <w:szCs w:val="24"/>
        </w:rPr>
        <w:t xml:space="preserve"> trend.</w:t>
      </w:r>
    </w:p>
    <w:p w14:paraId="6D0DF619" w14:textId="1F9551CA" w:rsidR="003E4280" w:rsidRPr="00EB2E4B" w:rsidRDefault="003E4280" w:rsidP="00627A36">
      <w:pPr>
        <w:rPr>
          <w:sz w:val="24"/>
          <w:szCs w:val="24"/>
        </w:rPr>
      </w:pPr>
      <w:r w:rsidRPr="00EB2E4B">
        <w:rPr>
          <w:sz w:val="24"/>
          <w:szCs w:val="24"/>
        </w:rPr>
        <w:t xml:space="preserve">The data mining was </w:t>
      </w:r>
      <w:r w:rsidR="00627A36" w:rsidRPr="00EB2E4B">
        <w:rPr>
          <w:sz w:val="24"/>
          <w:szCs w:val="24"/>
        </w:rPr>
        <w:t>performed</w:t>
      </w:r>
      <w:r w:rsidRPr="00EB2E4B">
        <w:rPr>
          <w:sz w:val="24"/>
          <w:szCs w:val="24"/>
        </w:rPr>
        <w:t xml:space="preserve"> </w:t>
      </w:r>
      <w:r w:rsidR="00627A36" w:rsidRPr="00EB2E4B">
        <w:rPr>
          <w:sz w:val="24"/>
          <w:szCs w:val="24"/>
        </w:rPr>
        <w:t>using</w:t>
      </w:r>
      <w:r w:rsidRPr="00EB2E4B">
        <w:rPr>
          <w:sz w:val="24"/>
          <w:szCs w:val="24"/>
        </w:rPr>
        <w:t xml:space="preserve"> the NVivo software. </w:t>
      </w:r>
      <w:r w:rsidR="00627A36" w:rsidRPr="00EB2E4B">
        <w:rPr>
          <w:sz w:val="24"/>
          <w:szCs w:val="24"/>
        </w:rPr>
        <w:t>More specifically</w:t>
      </w:r>
      <w:r w:rsidRPr="00EB2E4B">
        <w:rPr>
          <w:sz w:val="24"/>
          <w:szCs w:val="24"/>
        </w:rPr>
        <w:t xml:space="preserve">, the open-source extension </w:t>
      </w:r>
      <w:r w:rsidR="00432AFD" w:rsidRPr="00EB2E4B">
        <w:rPr>
          <w:sz w:val="24"/>
          <w:szCs w:val="24"/>
        </w:rPr>
        <w:t>"</w:t>
      </w:r>
      <w:proofErr w:type="spellStart"/>
      <w:r w:rsidRPr="00EB2E4B">
        <w:rPr>
          <w:sz w:val="24"/>
          <w:szCs w:val="24"/>
        </w:rPr>
        <w:t>NCapture</w:t>
      </w:r>
      <w:proofErr w:type="spellEnd"/>
      <w:r w:rsidR="00432AFD" w:rsidRPr="00EB2E4B">
        <w:rPr>
          <w:sz w:val="24"/>
          <w:szCs w:val="24"/>
        </w:rPr>
        <w:t>"</w:t>
      </w:r>
      <w:r w:rsidRPr="00EB2E4B">
        <w:rPr>
          <w:sz w:val="24"/>
          <w:szCs w:val="24"/>
        </w:rPr>
        <w:t xml:space="preserve"> </w:t>
      </w:r>
      <w:r w:rsidR="00627A36" w:rsidRPr="00EB2E4B">
        <w:rPr>
          <w:sz w:val="24"/>
          <w:szCs w:val="24"/>
        </w:rPr>
        <w:t xml:space="preserve">drawing </w:t>
      </w:r>
      <w:r w:rsidRPr="00EB2E4B">
        <w:rPr>
          <w:sz w:val="24"/>
          <w:szCs w:val="24"/>
        </w:rPr>
        <w:t xml:space="preserve">on Application Programming Interface (API) has been </w:t>
      </w:r>
      <w:r w:rsidR="00627A36" w:rsidRPr="00EB2E4B">
        <w:rPr>
          <w:sz w:val="24"/>
          <w:szCs w:val="24"/>
        </w:rPr>
        <w:t>adopted</w:t>
      </w:r>
      <w:r w:rsidRPr="00EB2E4B">
        <w:rPr>
          <w:sz w:val="24"/>
          <w:szCs w:val="24"/>
        </w:rPr>
        <w:t xml:space="preserve"> </w:t>
      </w:r>
      <w:proofErr w:type="gramStart"/>
      <w:r w:rsidR="00627A36" w:rsidRPr="00EB2E4B">
        <w:rPr>
          <w:sz w:val="24"/>
          <w:szCs w:val="24"/>
        </w:rPr>
        <w:t>in order to</w:t>
      </w:r>
      <w:proofErr w:type="gramEnd"/>
      <w:r w:rsidR="00627A36" w:rsidRPr="00EB2E4B">
        <w:rPr>
          <w:sz w:val="24"/>
          <w:szCs w:val="24"/>
        </w:rPr>
        <w:t xml:space="preserve"> easily</w:t>
      </w:r>
      <w:r w:rsidRPr="00EB2E4B">
        <w:rPr>
          <w:sz w:val="24"/>
          <w:szCs w:val="24"/>
        </w:rPr>
        <w:t xml:space="preserve"> access Twitter</w:t>
      </w:r>
      <w:r w:rsidR="00432AFD" w:rsidRPr="00EB2E4B">
        <w:rPr>
          <w:sz w:val="24"/>
          <w:szCs w:val="24"/>
        </w:rPr>
        <w:t>'</w:t>
      </w:r>
      <w:r w:rsidRPr="00EB2E4B">
        <w:rPr>
          <w:sz w:val="24"/>
          <w:szCs w:val="24"/>
        </w:rPr>
        <w:t>s accounts</w:t>
      </w:r>
      <w:r w:rsidR="00B21683" w:rsidRPr="00EB2E4B">
        <w:rPr>
          <w:sz w:val="24"/>
          <w:szCs w:val="24"/>
        </w:rPr>
        <w:t xml:space="preserve"> (Reyes-Mendez et al., 2018)</w:t>
      </w:r>
      <w:r w:rsidRPr="00EB2E4B">
        <w:rPr>
          <w:sz w:val="24"/>
          <w:szCs w:val="24"/>
        </w:rPr>
        <w:t xml:space="preserve">. </w:t>
      </w:r>
      <w:r w:rsidR="00627A36" w:rsidRPr="00EB2E4B">
        <w:rPr>
          <w:sz w:val="24"/>
          <w:szCs w:val="24"/>
        </w:rPr>
        <w:t>T</w:t>
      </w:r>
      <w:r w:rsidRPr="00EB2E4B">
        <w:rPr>
          <w:sz w:val="24"/>
          <w:szCs w:val="24"/>
        </w:rPr>
        <w:t>he Tweet</w:t>
      </w:r>
      <w:r w:rsidR="00432AFD" w:rsidRPr="00EB2E4B">
        <w:rPr>
          <w:sz w:val="24"/>
          <w:szCs w:val="24"/>
        </w:rPr>
        <w:t>'</w:t>
      </w:r>
      <w:r w:rsidRPr="00EB2E4B">
        <w:rPr>
          <w:sz w:val="24"/>
          <w:szCs w:val="24"/>
        </w:rPr>
        <w:t xml:space="preserve">s publication </w:t>
      </w:r>
      <w:r w:rsidRPr="00EB2E4B">
        <w:rPr>
          <w:sz w:val="24"/>
          <w:szCs w:val="24"/>
        </w:rPr>
        <w:lastRenderedPageBreak/>
        <w:t xml:space="preserve">date, the number of </w:t>
      </w:r>
      <w:r w:rsidR="00432AFD" w:rsidRPr="00EB2E4B">
        <w:rPr>
          <w:sz w:val="24"/>
          <w:szCs w:val="24"/>
        </w:rPr>
        <w:t>"</w:t>
      </w:r>
      <w:r w:rsidRPr="00EB2E4B">
        <w:rPr>
          <w:sz w:val="24"/>
          <w:szCs w:val="24"/>
        </w:rPr>
        <w:t>likes</w:t>
      </w:r>
      <w:r w:rsidR="00432AFD" w:rsidRPr="00EB2E4B">
        <w:rPr>
          <w:sz w:val="24"/>
          <w:szCs w:val="24"/>
        </w:rPr>
        <w:t>"</w:t>
      </w:r>
      <w:r w:rsidRPr="00EB2E4B">
        <w:rPr>
          <w:sz w:val="24"/>
          <w:szCs w:val="24"/>
        </w:rPr>
        <w:t xml:space="preserve">, and the number of </w:t>
      </w:r>
      <w:r w:rsidR="00432AFD" w:rsidRPr="00EB2E4B">
        <w:rPr>
          <w:sz w:val="24"/>
          <w:szCs w:val="24"/>
        </w:rPr>
        <w:t>"</w:t>
      </w:r>
      <w:r w:rsidRPr="00EB2E4B">
        <w:rPr>
          <w:sz w:val="24"/>
          <w:szCs w:val="24"/>
        </w:rPr>
        <w:t>retweets</w:t>
      </w:r>
      <w:r w:rsidR="00432AFD" w:rsidRPr="00EB2E4B">
        <w:rPr>
          <w:sz w:val="24"/>
          <w:szCs w:val="24"/>
        </w:rPr>
        <w:t>"</w:t>
      </w:r>
      <w:r w:rsidR="00627A36" w:rsidRPr="00EB2E4B">
        <w:rPr>
          <w:sz w:val="24"/>
          <w:szCs w:val="24"/>
        </w:rPr>
        <w:t xml:space="preserve"> were extracted for each post</w:t>
      </w:r>
      <w:r w:rsidRPr="00EB2E4B">
        <w:rPr>
          <w:sz w:val="24"/>
          <w:szCs w:val="24"/>
        </w:rPr>
        <w:t xml:space="preserve">. </w:t>
      </w:r>
      <w:r w:rsidR="00627A36" w:rsidRPr="00EB2E4B">
        <w:rPr>
          <w:sz w:val="24"/>
          <w:szCs w:val="24"/>
        </w:rPr>
        <w:t>In detail</w:t>
      </w:r>
      <w:r w:rsidRPr="00EB2E4B">
        <w:rPr>
          <w:sz w:val="24"/>
          <w:szCs w:val="24"/>
        </w:rPr>
        <w:t xml:space="preserve">, the number of likes </w:t>
      </w:r>
      <w:r w:rsidR="00627A36" w:rsidRPr="00EB2E4B">
        <w:rPr>
          <w:sz w:val="24"/>
          <w:szCs w:val="24"/>
        </w:rPr>
        <w:t xml:space="preserve">provides insights </w:t>
      </w:r>
      <w:r w:rsidR="00EB2E4B" w:rsidRPr="00EB2E4B">
        <w:rPr>
          <w:sz w:val="24"/>
          <w:szCs w:val="24"/>
        </w:rPr>
        <w:t>into</w:t>
      </w:r>
      <w:r w:rsidR="00627A36" w:rsidRPr="00EB2E4B">
        <w:rPr>
          <w:sz w:val="24"/>
          <w:szCs w:val="24"/>
        </w:rPr>
        <w:t xml:space="preserve"> the level of</w:t>
      </w:r>
      <w:r w:rsidRPr="00EB2E4B">
        <w:rPr>
          <w:sz w:val="24"/>
          <w:szCs w:val="24"/>
        </w:rPr>
        <w:t xml:space="preserve"> users</w:t>
      </w:r>
      <w:r w:rsidR="00432AFD" w:rsidRPr="00EB2E4B">
        <w:rPr>
          <w:sz w:val="24"/>
          <w:szCs w:val="24"/>
        </w:rPr>
        <w:t>'</w:t>
      </w:r>
      <w:r w:rsidRPr="00EB2E4B">
        <w:rPr>
          <w:sz w:val="24"/>
          <w:szCs w:val="24"/>
        </w:rPr>
        <w:t xml:space="preserve"> </w:t>
      </w:r>
      <w:r w:rsidR="00627A36" w:rsidRPr="00EB2E4B">
        <w:rPr>
          <w:sz w:val="24"/>
          <w:szCs w:val="24"/>
        </w:rPr>
        <w:t>agreement</w:t>
      </w:r>
      <w:r w:rsidRPr="00EB2E4B">
        <w:rPr>
          <w:sz w:val="24"/>
          <w:szCs w:val="24"/>
        </w:rPr>
        <w:t xml:space="preserve"> with specific content, </w:t>
      </w:r>
      <w:r w:rsidR="00627A36" w:rsidRPr="00EB2E4B">
        <w:rPr>
          <w:sz w:val="24"/>
          <w:szCs w:val="24"/>
        </w:rPr>
        <w:t>albeit</w:t>
      </w:r>
      <w:r w:rsidRPr="00EB2E4B">
        <w:rPr>
          <w:sz w:val="24"/>
          <w:szCs w:val="24"/>
        </w:rPr>
        <w:t xml:space="preserve"> the number of retweets </w:t>
      </w:r>
      <w:r w:rsidR="00627A36" w:rsidRPr="00EB2E4B">
        <w:rPr>
          <w:sz w:val="24"/>
          <w:szCs w:val="24"/>
        </w:rPr>
        <w:t>is used to interpret</w:t>
      </w:r>
      <w:r w:rsidRPr="00EB2E4B">
        <w:rPr>
          <w:sz w:val="24"/>
          <w:szCs w:val="24"/>
        </w:rPr>
        <w:t xml:space="preserve"> the debate</w:t>
      </w:r>
      <w:r w:rsidR="00627A36" w:rsidRPr="00EB2E4B">
        <w:rPr>
          <w:sz w:val="24"/>
          <w:szCs w:val="24"/>
        </w:rPr>
        <w:t xml:space="preserve"> degree</w:t>
      </w:r>
      <w:r w:rsidRPr="00EB2E4B">
        <w:rPr>
          <w:sz w:val="24"/>
          <w:szCs w:val="24"/>
        </w:rPr>
        <w:t xml:space="preserve"> among Twitter</w:t>
      </w:r>
      <w:r w:rsidR="00432AFD" w:rsidRPr="00EB2E4B">
        <w:rPr>
          <w:sz w:val="24"/>
          <w:szCs w:val="24"/>
        </w:rPr>
        <w:t>'</w:t>
      </w:r>
      <w:r w:rsidRPr="00EB2E4B">
        <w:rPr>
          <w:sz w:val="24"/>
          <w:szCs w:val="24"/>
        </w:rPr>
        <w:t xml:space="preserve">s users </w:t>
      </w:r>
      <w:r w:rsidR="00B21683" w:rsidRPr="00EB2E4B">
        <w:rPr>
          <w:sz w:val="24"/>
          <w:szCs w:val="24"/>
        </w:rPr>
        <w:t>(</w:t>
      </w:r>
      <w:proofErr w:type="spellStart"/>
      <w:r w:rsidR="00627A36" w:rsidRPr="00EB2E4B">
        <w:rPr>
          <w:sz w:val="24"/>
          <w:szCs w:val="24"/>
        </w:rPr>
        <w:t>Pizzi</w:t>
      </w:r>
      <w:proofErr w:type="spellEnd"/>
      <w:r w:rsidR="00627A36" w:rsidRPr="00EB2E4B">
        <w:rPr>
          <w:sz w:val="24"/>
          <w:szCs w:val="24"/>
        </w:rPr>
        <w:t xml:space="preserve"> et al., 2020</w:t>
      </w:r>
      <w:r w:rsidR="00B21683" w:rsidRPr="00EB2E4B">
        <w:rPr>
          <w:sz w:val="24"/>
          <w:szCs w:val="24"/>
        </w:rPr>
        <w:t>)</w:t>
      </w:r>
      <w:r w:rsidRPr="00EB2E4B">
        <w:rPr>
          <w:sz w:val="24"/>
          <w:szCs w:val="24"/>
        </w:rPr>
        <w:t xml:space="preserve">.  </w:t>
      </w:r>
    </w:p>
    <w:p w14:paraId="21C74649" w14:textId="18465E41" w:rsidR="003E4280" w:rsidRPr="00EB2E4B" w:rsidRDefault="00627A36" w:rsidP="00627A36">
      <w:pPr>
        <w:rPr>
          <w:sz w:val="24"/>
          <w:szCs w:val="24"/>
        </w:rPr>
      </w:pPr>
      <w:r w:rsidRPr="00EB2E4B">
        <w:rPr>
          <w:noProof/>
          <w:sz w:val="24"/>
          <w:szCs w:val="24"/>
        </w:rPr>
        <w:drawing>
          <wp:anchor distT="0" distB="0" distL="114300" distR="114300" simplePos="0" relativeHeight="251665408" behindDoc="0" locked="0" layoutInCell="1" allowOverlap="1" wp14:anchorId="773ADD88" wp14:editId="3F4C5877">
            <wp:simplePos x="0" y="0"/>
            <wp:positionH relativeFrom="margin">
              <wp:posOffset>1697355</wp:posOffset>
            </wp:positionH>
            <wp:positionV relativeFrom="paragraph">
              <wp:posOffset>662940</wp:posOffset>
            </wp:positionV>
            <wp:extent cx="1068070" cy="28448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070" cy="2844800"/>
                    </a:xfrm>
                    <a:prstGeom prst="rect">
                      <a:avLst/>
                    </a:prstGeom>
                  </pic:spPr>
                </pic:pic>
              </a:graphicData>
            </a:graphic>
            <wp14:sizeRelH relativeFrom="page">
              <wp14:pctWidth>0</wp14:pctWidth>
            </wp14:sizeRelH>
            <wp14:sizeRelV relativeFrom="page">
              <wp14:pctHeight>0</wp14:pctHeight>
            </wp14:sizeRelV>
          </wp:anchor>
        </w:drawing>
      </w:r>
      <w:r w:rsidRPr="00EB2E4B">
        <w:rPr>
          <w:sz w:val="24"/>
          <w:szCs w:val="24"/>
        </w:rPr>
        <w:t>T</w:t>
      </w:r>
      <w:r w:rsidR="003E4280" w:rsidRPr="00EB2E4B">
        <w:rPr>
          <w:sz w:val="24"/>
          <w:szCs w:val="24"/>
        </w:rPr>
        <w:t xml:space="preserve">he data analysis has been </w:t>
      </w:r>
      <w:r w:rsidRPr="00EB2E4B">
        <w:rPr>
          <w:sz w:val="24"/>
          <w:szCs w:val="24"/>
        </w:rPr>
        <w:t>structured</w:t>
      </w:r>
      <w:r w:rsidR="003E4280" w:rsidRPr="00EB2E4B">
        <w:rPr>
          <w:sz w:val="24"/>
          <w:szCs w:val="24"/>
        </w:rPr>
        <w:t xml:space="preserve"> into three </w:t>
      </w:r>
      <w:r w:rsidRPr="00EB2E4B">
        <w:rPr>
          <w:sz w:val="24"/>
          <w:szCs w:val="24"/>
        </w:rPr>
        <w:t xml:space="preserve">phases </w:t>
      </w:r>
      <w:r w:rsidR="003E4280" w:rsidRPr="00EB2E4B">
        <w:rPr>
          <w:sz w:val="24"/>
          <w:szCs w:val="24"/>
        </w:rPr>
        <w:t>(Figure 1): 1) dictionary-based content analysis</w:t>
      </w:r>
      <w:r w:rsidRPr="00EB2E4B">
        <w:rPr>
          <w:sz w:val="24"/>
          <w:szCs w:val="24"/>
        </w:rPr>
        <w:t xml:space="preserve"> with NVivo, </w:t>
      </w:r>
      <w:r w:rsidR="003E4280" w:rsidRPr="00EB2E4B">
        <w:rPr>
          <w:sz w:val="24"/>
          <w:szCs w:val="24"/>
        </w:rPr>
        <w:t>2) manual content analysis</w:t>
      </w:r>
      <w:r w:rsidR="00EB2E4B" w:rsidRPr="00EB2E4B">
        <w:rPr>
          <w:sz w:val="24"/>
          <w:szCs w:val="24"/>
        </w:rPr>
        <w:t>,</w:t>
      </w:r>
      <w:r w:rsidRPr="00EB2E4B">
        <w:rPr>
          <w:sz w:val="24"/>
          <w:szCs w:val="24"/>
        </w:rPr>
        <w:t xml:space="preserve"> </w:t>
      </w:r>
      <w:r w:rsidR="003E4280" w:rsidRPr="00EB2E4B">
        <w:rPr>
          <w:sz w:val="24"/>
          <w:szCs w:val="24"/>
        </w:rPr>
        <w:t>and 3) results</w:t>
      </w:r>
      <w:r w:rsidRPr="00EB2E4B">
        <w:rPr>
          <w:sz w:val="24"/>
          <w:szCs w:val="24"/>
        </w:rPr>
        <w:t xml:space="preserve"> integration</w:t>
      </w:r>
      <w:r w:rsidR="003E4280" w:rsidRPr="00EB2E4B">
        <w:rPr>
          <w:sz w:val="24"/>
          <w:szCs w:val="24"/>
        </w:rPr>
        <w:t>.</w:t>
      </w:r>
    </w:p>
    <w:p w14:paraId="3A61C37B" w14:textId="77777777" w:rsidR="00567059" w:rsidRPr="00EB2E4B" w:rsidRDefault="00567059" w:rsidP="00627A36">
      <w:pPr>
        <w:rPr>
          <w:sz w:val="24"/>
          <w:szCs w:val="24"/>
        </w:rPr>
      </w:pPr>
    </w:p>
    <w:p w14:paraId="10264613" w14:textId="2429A127" w:rsidR="00627A36" w:rsidRPr="00EB2E4B" w:rsidRDefault="00627A36" w:rsidP="00627A36">
      <w:pPr>
        <w:rPr>
          <w:sz w:val="24"/>
          <w:szCs w:val="24"/>
        </w:rPr>
      </w:pPr>
    </w:p>
    <w:p w14:paraId="2C4FB685" w14:textId="3368C385" w:rsidR="00627A36" w:rsidRPr="00EB2E4B" w:rsidRDefault="00627A36" w:rsidP="00567059">
      <w:pPr>
        <w:pStyle w:val="FigureCaption"/>
        <w:spacing w:line="276" w:lineRule="auto"/>
        <w:jc w:val="center"/>
      </w:pPr>
      <w:r w:rsidRPr="00EB2E4B">
        <w:t>Fig. 1. Research methodology.</w:t>
      </w:r>
    </w:p>
    <w:p w14:paraId="0919D5F9" w14:textId="4246DBBD" w:rsidR="00627A36" w:rsidRPr="00EB2E4B" w:rsidRDefault="00627A36" w:rsidP="00567059">
      <w:pPr>
        <w:pStyle w:val="FigureCaption"/>
        <w:spacing w:line="276" w:lineRule="auto"/>
        <w:jc w:val="center"/>
      </w:pPr>
      <w:r w:rsidRPr="00EB2E4B">
        <w:t>Sources</w:t>
      </w:r>
      <w:r w:rsidRPr="00EB2E4B">
        <w:rPr>
          <w:szCs w:val="18"/>
        </w:rPr>
        <w:t xml:space="preserve">: </w:t>
      </w:r>
      <w:r w:rsidRPr="00EB2E4B">
        <w:rPr>
          <w:lang w:val="en-SG" w:eastAsia="en-SG"/>
        </w:rPr>
        <w:t>(Esposito et al., 2022).</w:t>
      </w:r>
    </w:p>
    <w:p w14:paraId="5FF52EDE" w14:textId="79303591" w:rsidR="009435E6" w:rsidRPr="00EB2E4B" w:rsidRDefault="009435E6" w:rsidP="003E4280">
      <w:pPr>
        <w:rPr>
          <w:sz w:val="24"/>
          <w:szCs w:val="24"/>
        </w:rPr>
      </w:pPr>
    </w:p>
    <w:p w14:paraId="42610CB9" w14:textId="72298FBA" w:rsidR="009435E6" w:rsidRPr="00EB2E4B" w:rsidRDefault="00182060" w:rsidP="009435E6">
      <w:pPr>
        <w:rPr>
          <w:noProof/>
          <w:sz w:val="24"/>
          <w:szCs w:val="24"/>
        </w:rPr>
      </w:pPr>
      <w:r w:rsidRPr="00EB2E4B">
        <w:rPr>
          <w:sz w:val="24"/>
          <w:szCs w:val="24"/>
        </w:rPr>
        <w:t xml:space="preserve">The authors have developed a coding framework based on </w:t>
      </w:r>
      <w:r w:rsidR="009435E6" w:rsidRPr="00EB2E4B">
        <w:rPr>
          <w:sz w:val="24"/>
          <w:szCs w:val="24"/>
        </w:rPr>
        <w:t>the reduce-reuse-recycle-redesign paradigm, reclassifying the</w:t>
      </w:r>
      <w:r w:rsidRPr="00EB2E4B">
        <w:rPr>
          <w:sz w:val="24"/>
          <w:szCs w:val="24"/>
        </w:rPr>
        <w:t xml:space="preserve"> word presented in the</w:t>
      </w:r>
      <w:r w:rsidR="009435E6" w:rsidRPr="00EB2E4B">
        <w:rPr>
          <w:sz w:val="24"/>
          <w:szCs w:val="24"/>
        </w:rPr>
        <w:t xml:space="preserve"> </w:t>
      </w:r>
      <w:r w:rsidR="00A469CD" w:rsidRPr="00EB2E4B">
        <w:rPr>
          <w:sz w:val="24"/>
          <w:szCs w:val="24"/>
        </w:rPr>
        <w:t>"</w:t>
      </w:r>
      <w:r w:rsidR="009435E6" w:rsidRPr="00EB2E4B">
        <w:rPr>
          <w:sz w:val="24"/>
          <w:szCs w:val="24"/>
        </w:rPr>
        <w:t>Circular Economic glossary</w:t>
      </w:r>
      <w:r w:rsidR="00A469CD" w:rsidRPr="00EB2E4B">
        <w:rPr>
          <w:sz w:val="24"/>
          <w:szCs w:val="24"/>
        </w:rPr>
        <w:t>"</w:t>
      </w:r>
      <w:r w:rsidR="009435E6" w:rsidRPr="00EB2E4B">
        <w:rPr>
          <w:sz w:val="24"/>
          <w:szCs w:val="24"/>
        </w:rPr>
        <w:t xml:space="preserve">. </w:t>
      </w:r>
      <w:r w:rsidRPr="00EB2E4B">
        <w:rPr>
          <w:sz w:val="24"/>
          <w:szCs w:val="24"/>
        </w:rPr>
        <w:t>Furthermore</w:t>
      </w:r>
      <w:r w:rsidR="009435E6" w:rsidRPr="00EB2E4B">
        <w:rPr>
          <w:sz w:val="24"/>
          <w:szCs w:val="24"/>
        </w:rPr>
        <w:t xml:space="preserve">, a </w:t>
      </w:r>
      <w:r w:rsidR="00432AFD" w:rsidRPr="00EB2E4B">
        <w:rPr>
          <w:sz w:val="24"/>
          <w:szCs w:val="24"/>
        </w:rPr>
        <w:t>"</w:t>
      </w:r>
      <w:r w:rsidR="009435E6" w:rsidRPr="00EB2E4B">
        <w:rPr>
          <w:sz w:val="24"/>
          <w:szCs w:val="24"/>
        </w:rPr>
        <w:t>general</w:t>
      </w:r>
      <w:r w:rsidR="00432AFD" w:rsidRPr="00EB2E4B">
        <w:rPr>
          <w:sz w:val="24"/>
          <w:szCs w:val="24"/>
        </w:rPr>
        <w:t>"</w:t>
      </w:r>
      <w:r w:rsidR="009435E6" w:rsidRPr="00EB2E4B">
        <w:rPr>
          <w:sz w:val="24"/>
          <w:szCs w:val="24"/>
        </w:rPr>
        <w:t xml:space="preserve"> </w:t>
      </w:r>
      <w:r w:rsidRPr="00EB2E4B">
        <w:rPr>
          <w:sz w:val="24"/>
          <w:szCs w:val="24"/>
        </w:rPr>
        <w:t>CE bracket</w:t>
      </w:r>
      <w:r w:rsidR="009435E6" w:rsidRPr="00EB2E4B">
        <w:rPr>
          <w:sz w:val="24"/>
          <w:szCs w:val="24"/>
        </w:rPr>
        <w:t xml:space="preserve"> has been added to </w:t>
      </w:r>
      <w:r w:rsidRPr="00EB2E4B">
        <w:rPr>
          <w:sz w:val="24"/>
          <w:szCs w:val="24"/>
        </w:rPr>
        <w:t>enclose</w:t>
      </w:r>
      <w:r w:rsidR="009435E6" w:rsidRPr="00EB2E4B">
        <w:rPr>
          <w:sz w:val="24"/>
          <w:szCs w:val="24"/>
        </w:rPr>
        <w:t xml:space="preserve"> tweets </w:t>
      </w:r>
      <w:r w:rsidRPr="00EB2E4B">
        <w:rPr>
          <w:sz w:val="24"/>
          <w:szCs w:val="24"/>
        </w:rPr>
        <w:t>linked</w:t>
      </w:r>
      <w:r w:rsidR="009435E6" w:rsidRPr="00EB2E4B">
        <w:rPr>
          <w:sz w:val="24"/>
          <w:szCs w:val="24"/>
        </w:rPr>
        <w:t xml:space="preserve"> to the </w:t>
      </w:r>
      <w:r w:rsidRPr="00EB2E4B">
        <w:rPr>
          <w:sz w:val="24"/>
          <w:szCs w:val="24"/>
        </w:rPr>
        <w:t>CE</w:t>
      </w:r>
      <w:r w:rsidR="009435E6" w:rsidRPr="00EB2E4B">
        <w:rPr>
          <w:sz w:val="24"/>
          <w:szCs w:val="24"/>
        </w:rPr>
        <w:t xml:space="preserve"> but</w:t>
      </w:r>
      <w:r w:rsidRPr="00EB2E4B">
        <w:rPr>
          <w:sz w:val="24"/>
          <w:szCs w:val="24"/>
        </w:rPr>
        <w:t xml:space="preserve"> that are not related to the other categories </w:t>
      </w:r>
      <w:r w:rsidR="00A469CD" w:rsidRPr="00EB2E4B">
        <w:rPr>
          <w:sz w:val="24"/>
          <w:szCs w:val="24"/>
        </w:rPr>
        <w:t>"</w:t>
      </w:r>
      <w:r w:rsidRPr="00EB2E4B">
        <w:rPr>
          <w:sz w:val="24"/>
          <w:szCs w:val="24"/>
        </w:rPr>
        <w:t>Reduce</w:t>
      </w:r>
      <w:r w:rsidR="00A469CD" w:rsidRPr="00EB2E4B">
        <w:rPr>
          <w:sz w:val="24"/>
          <w:szCs w:val="24"/>
        </w:rPr>
        <w:t>"</w:t>
      </w:r>
      <w:r w:rsidRPr="00EB2E4B">
        <w:rPr>
          <w:sz w:val="24"/>
          <w:szCs w:val="24"/>
        </w:rPr>
        <w:t xml:space="preserve">, </w:t>
      </w:r>
      <w:r w:rsidR="00A469CD" w:rsidRPr="00EB2E4B">
        <w:rPr>
          <w:sz w:val="24"/>
          <w:szCs w:val="24"/>
        </w:rPr>
        <w:t>"</w:t>
      </w:r>
      <w:r w:rsidRPr="00EB2E4B">
        <w:rPr>
          <w:sz w:val="24"/>
          <w:szCs w:val="24"/>
        </w:rPr>
        <w:t>Reuse</w:t>
      </w:r>
      <w:r w:rsidR="00A469CD" w:rsidRPr="00EB2E4B">
        <w:rPr>
          <w:sz w:val="24"/>
          <w:szCs w:val="24"/>
        </w:rPr>
        <w:t>"</w:t>
      </w:r>
      <w:r w:rsidRPr="00EB2E4B">
        <w:rPr>
          <w:sz w:val="24"/>
          <w:szCs w:val="24"/>
        </w:rPr>
        <w:t xml:space="preserve">, </w:t>
      </w:r>
      <w:r w:rsidR="00A469CD" w:rsidRPr="00EB2E4B">
        <w:rPr>
          <w:sz w:val="24"/>
          <w:szCs w:val="24"/>
        </w:rPr>
        <w:t>"</w:t>
      </w:r>
      <w:r w:rsidRPr="00EB2E4B">
        <w:rPr>
          <w:sz w:val="24"/>
          <w:szCs w:val="24"/>
        </w:rPr>
        <w:t>Recycle</w:t>
      </w:r>
      <w:r w:rsidR="00A469CD" w:rsidRPr="00EB2E4B">
        <w:rPr>
          <w:sz w:val="24"/>
          <w:szCs w:val="24"/>
        </w:rPr>
        <w:t>"</w:t>
      </w:r>
      <w:r w:rsidR="00EB2E4B" w:rsidRPr="00EB2E4B">
        <w:rPr>
          <w:sz w:val="24"/>
          <w:szCs w:val="24"/>
        </w:rPr>
        <w:t>,</w:t>
      </w:r>
      <w:r w:rsidRPr="00EB2E4B">
        <w:rPr>
          <w:sz w:val="24"/>
          <w:szCs w:val="24"/>
        </w:rPr>
        <w:t xml:space="preserve"> and </w:t>
      </w:r>
      <w:r w:rsidR="00A469CD" w:rsidRPr="00EB2E4B">
        <w:rPr>
          <w:sz w:val="24"/>
          <w:szCs w:val="24"/>
        </w:rPr>
        <w:t>"</w:t>
      </w:r>
      <w:r w:rsidRPr="00EB2E4B">
        <w:rPr>
          <w:sz w:val="24"/>
          <w:szCs w:val="24"/>
        </w:rPr>
        <w:t xml:space="preserve">Redesign. Table 1 presents the coding framework adopted to perform the content analysis. </w:t>
      </w:r>
    </w:p>
    <w:p w14:paraId="0C52C9DC" w14:textId="77777777" w:rsidR="00134FA4" w:rsidRPr="00EB2E4B" w:rsidRDefault="00134FA4" w:rsidP="00233E7A">
      <w:pPr>
        <w:rPr>
          <w:b/>
          <w:bCs/>
          <w:sz w:val="24"/>
          <w:szCs w:val="24"/>
        </w:rPr>
      </w:pPr>
    </w:p>
    <w:p w14:paraId="3502D6C3" w14:textId="147DC5C8" w:rsidR="00A65BE5" w:rsidRPr="00EB2E4B" w:rsidRDefault="00A65BE5" w:rsidP="00A65BE5">
      <w:pPr>
        <w:pStyle w:val="TableCaption"/>
        <w:spacing w:after="120" w:line="276" w:lineRule="auto"/>
        <w:ind w:left="1915" w:right="1800"/>
      </w:pPr>
      <w:r w:rsidRPr="00EB2E4B">
        <w:t>Table 1. Circular Economy glossary reclassified according to the 4-R paradigm</w:t>
      </w:r>
    </w:p>
    <w:tbl>
      <w:tblPr>
        <w:tblStyle w:val="Grigliatabel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4525"/>
      </w:tblGrid>
      <w:tr w:rsidR="00233E7A" w:rsidRPr="00EB2E4B" w14:paraId="00099578" w14:textId="77777777" w:rsidTr="00CE4755">
        <w:tc>
          <w:tcPr>
            <w:tcW w:w="3413" w:type="dxa"/>
            <w:tcBorders>
              <w:top w:val="single" w:sz="4" w:space="0" w:color="auto"/>
              <w:bottom w:val="single" w:sz="4" w:space="0" w:color="auto"/>
            </w:tcBorders>
          </w:tcPr>
          <w:p w14:paraId="1A268942" w14:textId="77777777" w:rsidR="00233E7A" w:rsidRPr="00EB2E4B" w:rsidRDefault="00233E7A" w:rsidP="00233E7A">
            <w:pPr>
              <w:rPr>
                <w:sz w:val="24"/>
                <w:szCs w:val="24"/>
                <w:lang w:bidi="en-US"/>
              </w:rPr>
            </w:pPr>
            <w:r w:rsidRPr="00EB2E4B">
              <w:rPr>
                <w:sz w:val="24"/>
                <w:szCs w:val="24"/>
                <w:lang w:bidi="en-US"/>
              </w:rPr>
              <w:t>Categories</w:t>
            </w:r>
          </w:p>
        </w:tc>
        <w:tc>
          <w:tcPr>
            <w:tcW w:w="4525" w:type="dxa"/>
            <w:tcBorders>
              <w:top w:val="single" w:sz="4" w:space="0" w:color="auto"/>
              <w:bottom w:val="single" w:sz="4" w:space="0" w:color="auto"/>
            </w:tcBorders>
          </w:tcPr>
          <w:p w14:paraId="536C6272" w14:textId="110EC23A" w:rsidR="00233E7A" w:rsidRPr="00EB2E4B" w:rsidRDefault="00A65BE5" w:rsidP="00233E7A">
            <w:pPr>
              <w:rPr>
                <w:sz w:val="24"/>
                <w:szCs w:val="24"/>
                <w:lang w:bidi="en-US"/>
              </w:rPr>
            </w:pPr>
            <w:r w:rsidRPr="00EB2E4B">
              <w:rPr>
                <w:sz w:val="24"/>
                <w:szCs w:val="24"/>
                <w:lang w:bidi="en-US"/>
              </w:rPr>
              <w:t>Words</w:t>
            </w:r>
          </w:p>
        </w:tc>
      </w:tr>
      <w:tr w:rsidR="00233E7A" w:rsidRPr="00EB2E4B" w14:paraId="0FC1D094" w14:textId="77777777" w:rsidTr="00CE4755">
        <w:tc>
          <w:tcPr>
            <w:tcW w:w="3413" w:type="dxa"/>
            <w:tcBorders>
              <w:top w:val="single" w:sz="4" w:space="0" w:color="auto"/>
            </w:tcBorders>
          </w:tcPr>
          <w:p w14:paraId="0AB7DF35" w14:textId="77777777" w:rsidR="00233E7A" w:rsidRPr="00EB2E4B" w:rsidRDefault="00233E7A" w:rsidP="00233E7A">
            <w:pPr>
              <w:rPr>
                <w:sz w:val="24"/>
                <w:szCs w:val="24"/>
                <w:lang w:bidi="en-US"/>
              </w:rPr>
            </w:pPr>
            <w:r w:rsidRPr="00EB2E4B">
              <w:rPr>
                <w:sz w:val="24"/>
                <w:szCs w:val="24"/>
                <w:lang w:bidi="en-US"/>
              </w:rPr>
              <w:lastRenderedPageBreak/>
              <w:t>Reduce</w:t>
            </w:r>
          </w:p>
        </w:tc>
        <w:tc>
          <w:tcPr>
            <w:tcW w:w="4525" w:type="dxa"/>
            <w:tcBorders>
              <w:top w:val="single" w:sz="4" w:space="0" w:color="auto"/>
            </w:tcBorders>
          </w:tcPr>
          <w:p w14:paraId="4AFABA17" w14:textId="77777777" w:rsidR="00233E7A" w:rsidRPr="00EB2E4B" w:rsidRDefault="00233E7A" w:rsidP="00233E7A">
            <w:pPr>
              <w:rPr>
                <w:sz w:val="24"/>
                <w:szCs w:val="24"/>
                <w:lang w:val="en-GB"/>
              </w:rPr>
            </w:pPr>
            <w:r w:rsidRPr="00EB2E4B">
              <w:rPr>
                <w:sz w:val="24"/>
                <w:szCs w:val="24"/>
                <w:lang w:val="en-GB"/>
              </w:rPr>
              <w:t xml:space="preserve">carbon footprint reduction; environmental impact reduction; raw materials reduction; waste reduction; emissions reduction; </w:t>
            </w:r>
          </w:p>
        </w:tc>
      </w:tr>
      <w:tr w:rsidR="00233E7A" w:rsidRPr="00EB2E4B" w14:paraId="42C41740" w14:textId="77777777" w:rsidTr="00CE4755">
        <w:tc>
          <w:tcPr>
            <w:tcW w:w="3413" w:type="dxa"/>
          </w:tcPr>
          <w:p w14:paraId="196B8553" w14:textId="77777777" w:rsidR="00233E7A" w:rsidRPr="00EB2E4B" w:rsidRDefault="00233E7A" w:rsidP="00233E7A">
            <w:pPr>
              <w:rPr>
                <w:sz w:val="24"/>
                <w:szCs w:val="24"/>
                <w:lang w:bidi="en-US"/>
              </w:rPr>
            </w:pPr>
            <w:r w:rsidRPr="00EB2E4B">
              <w:rPr>
                <w:sz w:val="24"/>
                <w:szCs w:val="24"/>
                <w:lang w:bidi="en-US"/>
              </w:rPr>
              <w:t>Reuse</w:t>
            </w:r>
          </w:p>
        </w:tc>
        <w:tc>
          <w:tcPr>
            <w:tcW w:w="4525" w:type="dxa"/>
          </w:tcPr>
          <w:p w14:paraId="4CE68689" w14:textId="77777777" w:rsidR="00233E7A" w:rsidRPr="00EB2E4B" w:rsidRDefault="00233E7A" w:rsidP="00233E7A">
            <w:pPr>
              <w:rPr>
                <w:sz w:val="24"/>
                <w:szCs w:val="24"/>
                <w:lang w:bidi="en-US"/>
              </w:rPr>
            </w:pPr>
            <w:r w:rsidRPr="00EB2E4B">
              <w:rPr>
                <w:sz w:val="24"/>
                <w:szCs w:val="24"/>
                <w:lang w:bidi="en-US"/>
              </w:rPr>
              <w:t>alternate materials;</w:t>
            </w:r>
            <w:r w:rsidRPr="00EB2E4B">
              <w:rPr>
                <w:sz w:val="24"/>
                <w:szCs w:val="24"/>
                <w:lang w:val="en-GB"/>
              </w:rPr>
              <w:t xml:space="preserve"> d</w:t>
            </w:r>
            <w:proofErr w:type="spellStart"/>
            <w:r w:rsidRPr="00EB2E4B">
              <w:rPr>
                <w:sz w:val="24"/>
                <w:szCs w:val="24"/>
                <w:lang w:bidi="en-US"/>
              </w:rPr>
              <w:t>isassembly</w:t>
            </w:r>
            <w:proofErr w:type="spellEnd"/>
            <w:r w:rsidRPr="00EB2E4B">
              <w:rPr>
                <w:sz w:val="24"/>
                <w:szCs w:val="24"/>
                <w:lang w:bidi="en-US"/>
              </w:rPr>
              <w:t>; durability; maintain; redistribute; refurbish; remanufacture; repair; reuse; upcycling; waste diversion:</w:t>
            </w:r>
          </w:p>
        </w:tc>
      </w:tr>
      <w:tr w:rsidR="00233E7A" w:rsidRPr="00EB2E4B" w14:paraId="4E2F5E67" w14:textId="77777777" w:rsidTr="00CE4755">
        <w:tc>
          <w:tcPr>
            <w:tcW w:w="3413" w:type="dxa"/>
          </w:tcPr>
          <w:p w14:paraId="77BCD826" w14:textId="77777777" w:rsidR="00233E7A" w:rsidRPr="00EB2E4B" w:rsidRDefault="00233E7A" w:rsidP="00233E7A">
            <w:pPr>
              <w:rPr>
                <w:sz w:val="24"/>
                <w:szCs w:val="24"/>
                <w:lang w:bidi="en-US"/>
              </w:rPr>
            </w:pPr>
            <w:r w:rsidRPr="00EB2E4B">
              <w:rPr>
                <w:sz w:val="24"/>
                <w:szCs w:val="24"/>
                <w:lang w:bidi="en-US"/>
              </w:rPr>
              <w:t>Recycle</w:t>
            </w:r>
          </w:p>
        </w:tc>
        <w:tc>
          <w:tcPr>
            <w:tcW w:w="4525" w:type="dxa"/>
          </w:tcPr>
          <w:p w14:paraId="22BD2B35" w14:textId="77777777" w:rsidR="00233E7A" w:rsidRPr="00EB2E4B" w:rsidRDefault="00233E7A" w:rsidP="00233E7A">
            <w:pPr>
              <w:rPr>
                <w:sz w:val="24"/>
                <w:szCs w:val="24"/>
                <w:lang w:bidi="en-US"/>
              </w:rPr>
            </w:pPr>
            <w:r w:rsidRPr="00EB2E4B">
              <w:rPr>
                <w:sz w:val="24"/>
                <w:szCs w:val="24"/>
                <w:lang w:bidi="en-US"/>
              </w:rPr>
              <w:t>anaerobic digestion; compostable; composting; end-of-life; Radio-Frequency Identification; recyclability; waste conversion; water conservation</w:t>
            </w:r>
          </w:p>
        </w:tc>
      </w:tr>
      <w:tr w:rsidR="00233E7A" w:rsidRPr="00EB2E4B" w14:paraId="77442E6F" w14:textId="77777777" w:rsidTr="00CE4755">
        <w:tc>
          <w:tcPr>
            <w:tcW w:w="3413" w:type="dxa"/>
          </w:tcPr>
          <w:p w14:paraId="0A458092" w14:textId="77777777" w:rsidR="00233E7A" w:rsidRPr="00EB2E4B" w:rsidRDefault="00233E7A" w:rsidP="00233E7A">
            <w:pPr>
              <w:rPr>
                <w:sz w:val="24"/>
                <w:szCs w:val="24"/>
                <w:lang w:bidi="en-US"/>
              </w:rPr>
            </w:pPr>
            <w:r w:rsidRPr="00EB2E4B">
              <w:rPr>
                <w:sz w:val="24"/>
                <w:szCs w:val="24"/>
                <w:lang w:bidi="en-US"/>
              </w:rPr>
              <w:t>Redesign</w:t>
            </w:r>
          </w:p>
        </w:tc>
        <w:tc>
          <w:tcPr>
            <w:tcW w:w="4525" w:type="dxa"/>
          </w:tcPr>
          <w:p w14:paraId="27620AC7" w14:textId="77777777" w:rsidR="00233E7A" w:rsidRPr="00EB2E4B" w:rsidRDefault="00233E7A" w:rsidP="00233E7A">
            <w:pPr>
              <w:rPr>
                <w:sz w:val="24"/>
                <w:szCs w:val="24"/>
                <w:lang w:bidi="en-US"/>
              </w:rPr>
            </w:pPr>
            <w:r w:rsidRPr="00EB2E4B">
              <w:rPr>
                <w:sz w:val="24"/>
                <w:szCs w:val="24"/>
                <w:lang w:bidi="en-US"/>
              </w:rPr>
              <w:t xml:space="preserve">dematerialization; design; Raw Material Conversion; </w:t>
            </w:r>
          </w:p>
        </w:tc>
      </w:tr>
      <w:tr w:rsidR="00233E7A" w:rsidRPr="00EB2E4B" w14:paraId="127DAC5E" w14:textId="77777777" w:rsidTr="00CE4755">
        <w:tc>
          <w:tcPr>
            <w:tcW w:w="3413" w:type="dxa"/>
            <w:tcBorders>
              <w:bottom w:val="single" w:sz="4" w:space="0" w:color="auto"/>
            </w:tcBorders>
          </w:tcPr>
          <w:p w14:paraId="0DB656BB" w14:textId="77777777" w:rsidR="00233E7A" w:rsidRPr="00EB2E4B" w:rsidRDefault="00233E7A" w:rsidP="00233E7A">
            <w:pPr>
              <w:rPr>
                <w:sz w:val="24"/>
                <w:szCs w:val="24"/>
                <w:lang w:bidi="en-US"/>
              </w:rPr>
            </w:pPr>
            <w:r w:rsidRPr="00EB2E4B">
              <w:rPr>
                <w:sz w:val="24"/>
                <w:szCs w:val="24"/>
                <w:lang w:bidi="en-US"/>
              </w:rPr>
              <w:t xml:space="preserve">General </w:t>
            </w:r>
          </w:p>
        </w:tc>
        <w:tc>
          <w:tcPr>
            <w:tcW w:w="4525" w:type="dxa"/>
            <w:tcBorders>
              <w:bottom w:val="single" w:sz="4" w:space="0" w:color="auto"/>
            </w:tcBorders>
          </w:tcPr>
          <w:p w14:paraId="272A07E5" w14:textId="77777777" w:rsidR="00233E7A" w:rsidRPr="00EB2E4B" w:rsidRDefault="00233E7A" w:rsidP="00233E7A">
            <w:pPr>
              <w:rPr>
                <w:sz w:val="24"/>
                <w:szCs w:val="24"/>
                <w:lang w:bidi="en-US"/>
              </w:rPr>
            </w:pPr>
            <w:r w:rsidRPr="00EB2E4B">
              <w:rPr>
                <w:sz w:val="24"/>
                <w:szCs w:val="24"/>
                <w:lang w:bidi="en-US"/>
              </w:rPr>
              <w:t xml:space="preserve">circular economy; biodiversity; </w:t>
            </w:r>
            <w:proofErr w:type="gramStart"/>
            <w:r w:rsidRPr="00EB2E4B">
              <w:rPr>
                <w:sz w:val="24"/>
                <w:szCs w:val="24"/>
                <w:lang w:bidi="en-US"/>
              </w:rPr>
              <w:t>closed-loop</w:t>
            </w:r>
            <w:proofErr w:type="gramEnd"/>
            <w:r w:rsidRPr="00EB2E4B">
              <w:rPr>
                <w:sz w:val="24"/>
                <w:szCs w:val="24"/>
                <w:lang w:bidi="en-US"/>
              </w:rPr>
              <w:t xml:space="preserve">; finite materials; green financing; regenerative production; renewable energy; renewable materials; renewable source; reverse logistics; sharing; virgin materials; </w:t>
            </w:r>
          </w:p>
        </w:tc>
      </w:tr>
    </w:tbl>
    <w:p w14:paraId="7A4A5342" w14:textId="434A35D3" w:rsidR="00233E7A" w:rsidRPr="00EB2E4B" w:rsidRDefault="00A65BE5" w:rsidP="00A65BE5">
      <w:pPr>
        <w:jc w:val="center"/>
        <w:rPr>
          <w:sz w:val="24"/>
          <w:szCs w:val="24"/>
          <w:lang w:bidi="en-US"/>
        </w:rPr>
      </w:pPr>
      <w:r w:rsidRPr="00EB2E4B">
        <w:rPr>
          <w:sz w:val="18"/>
        </w:rPr>
        <w:t>Source:</w:t>
      </w:r>
      <w:r w:rsidR="00233E7A" w:rsidRPr="00EB2E4B">
        <w:rPr>
          <w:sz w:val="18"/>
        </w:rPr>
        <w:t xml:space="preserve"> </w:t>
      </w:r>
      <w:r w:rsidRPr="00EB2E4B">
        <w:rPr>
          <w:sz w:val="18"/>
        </w:rPr>
        <w:t>(</w:t>
      </w:r>
      <w:proofErr w:type="spellStart"/>
      <w:r w:rsidR="00233E7A" w:rsidRPr="00EB2E4B">
        <w:rPr>
          <w:sz w:val="18"/>
        </w:rPr>
        <w:t>Barnabè</w:t>
      </w:r>
      <w:proofErr w:type="spellEnd"/>
      <w:r w:rsidR="00233E7A" w:rsidRPr="00EB2E4B">
        <w:rPr>
          <w:sz w:val="18"/>
        </w:rPr>
        <w:t xml:space="preserve"> and Nazir</w:t>
      </w:r>
      <w:r w:rsidRPr="00EB2E4B">
        <w:rPr>
          <w:sz w:val="18"/>
        </w:rPr>
        <w:t xml:space="preserve">, </w:t>
      </w:r>
      <w:r w:rsidR="006B06B6" w:rsidRPr="00EB2E4B">
        <w:rPr>
          <w:sz w:val="18"/>
        </w:rPr>
        <w:t>2020)</w:t>
      </w:r>
      <w:r w:rsidR="00233E7A" w:rsidRPr="00EB2E4B">
        <w:rPr>
          <w:sz w:val="18"/>
        </w:rPr>
        <w:t xml:space="preserve"> and </w:t>
      </w:r>
      <w:r w:rsidR="00432AFD" w:rsidRPr="00EB2E4B">
        <w:rPr>
          <w:sz w:val="18"/>
        </w:rPr>
        <w:t>"</w:t>
      </w:r>
      <w:r w:rsidR="00233E7A" w:rsidRPr="00EB2E4B">
        <w:rPr>
          <w:sz w:val="18"/>
        </w:rPr>
        <w:t>Glossary of Circular Economy</w:t>
      </w:r>
      <w:r w:rsidR="00432AFD" w:rsidRPr="00EB2E4B">
        <w:rPr>
          <w:sz w:val="18"/>
        </w:rPr>
        <w:t>"</w:t>
      </w:r>
    </w:p>
    <w:p w14:paraId="10690543" w14:textId="77777777" w:rsidR="00233E7A" w:rsidRPr="00EB2E4B" w:rsidRDefault="00233E7A" w:rsidP="00233E7A">
      <w:pPr>
        <w:rPr>
          <w:sz w:val="24"/>
          <w:szCs w:val="24"/>
        </w:rPr>
      </w:pPr>
    </w:p>
    <w:p w14:paraId="253B40B2" w14:textId="7789C549" w:rsidR="00A65BE5" w:rsidRPr="00EB2E4B" w:rsidRDefault="00A65BE5" w:rsidP="00233E7A">
      <w:r w:rsidRPr="00EB2E4B">
        <w:t xml:space="preserve">The automated measurement of the occurrence was allowed by implementing a Supervised Machine Learning technique through NVivo software. </w:t>
      </w:r>
    </w:p>
    <w:p w14:paraId="4280D49D" w14:textId="710558AE" w:rsidR="00233E7A" w:rsidRPr="00EB2E4B" w:rsidRDefault="00CD7244" w:rsidP="00233E7A">
      <w:r w:rsidRPr="00EB2E4B">
        <w:t>Moreover</w:t>
      </w:r>
      <w:r w:rsidR="00233E7A" w:rsidRPr="00EB2E4B">
        <w:t xml:space="preserve">, </w:t>
      </w:r>
      <w:r w:rsidRPr="00EB2E4B">
        <w:t>to strengthen the analysis and investigate the type of content in terms of</w:t>
      </w:r>
      <w:r w:rsidR="00233E7A" w:rsidRPr="00EB2E4B">
        <w:t xml:space="preserve"> informing or interacting </w:t>
      </w:r>
      <w:r w:rsidRPr="00EB2E4B">
        <w:t>nature</w:t>
      </w:r>
      <w:r w:rsidR="00233E7A" w:rsidRPr="00EB2E4B">
        <w:t xml:space="preserve"> </w:t>
      </w:r>
      <w:r w:rsidR="006B06B6" w:rsidRPr="00EB2E4B">
        <w:t>(Schroder, 2021)</w:t>
      </w:r>
      <w:r w:rsidR="00233E7A" w:rsidRPr="00EB2E4B">
        <w:t xml:space="preserve">, two independent </w:t>
      </w:r>
      <w:r w:rsidRPr="00EB2E4B">
        <w:t>researchers</w:t>
      </w:r>
      <w:r w:rsidR="00233E7A" w:rsidRPr="00EB2E4B">
        <w:t xml:space="preserve"> have </w:t>
      </w:r>
      <w:r w:rsidRPr="00EB2E4B">
        <w:t>carried out</w:t>
      </w:r>
      <w:r w:rsidR="00233E7A" w:rsidRPr="00EB2E4B">
        <w:t xml:space="preserve"> a manual content analysis </w:t>
      </w:r>
      <w:r w:rsidRPr="00EB2E4B">
        <w:t>through</w:t>
      </w:r>
      <w:r w:rsidR="00233E7A" w:rsidRPr="00EB2E4B">
        <w:t xml:space="preserve"> an empirically grounded approach. </w:t>
      </w:r>
      <w:r w:rsidR="00A469CD" w:rsidRPr="00EB2E4B">
        <w:t>In detail</w:t>
      </w:r>
      <w:r w:rsidR="00233E7A" w:rsidRPr="00EB2E4B">
        <w:t xml:space="preserve">, the </w:t>
      </w:r>
      <w:r w:rsidR="00A469CD" w:rsidRPr="00EB2E4B">
        <w:t>coders</w:t>
      </w:r>
      <w:r w:rsidR="00233E7A" w:rsidRPr="00EB2E4B">
        <w:t xml:space="preserve"> have </w:t>
      </w:r>
      <w:r w:rsidR="00A469CD" w:rsidRPr="00EB2E4B">
        <w:t>classified</w:t>
      </w:r>
      <w:r w:rsidR="00233E7A" w:rsidRPr="00EB2E4B">
        <w:t xml:space="preserve"> the </w:t>
      </w:r>
      <w:r w:rsidR="00A469CD" w:rsidRPr="00EB2E4B">
        <w:t>tweets</w:t>
      </w:r>
      <w:r w:rsidR="00233E7A" w:rsidRPr="00EB2E4B">
        <w:t xml:space="preserve"> as </w:t>
      </w:r>
      <w:r w:rsidR="00432AFD" w:rsidRPr="00EB2E4B">
        <w:t>"</w:t>
      </w:r>
      <w:r w:rsidR="00233E7A" w:rsidRPr="00EB2E4B">
        <w:t>informing</w:t>
      </w:r>
      <w:r w:rsidR="00432AFD" w:rsidRPr="00EB2E4B">
        <w:t>"</w:t>
      </w:r>
      <w:r w:rsidR="00233E7A" w:rsidRPr="00EB2E4B">
        <w:t xml:space="preserve"> if they </w:t>
      </w:r>
      <w:r w:rsidR="00A469CD" w:rsidRPr="00EB2E4B">
        <w:t>communicate</w:t>
      </w:r>
      <w:r w:rsidR="00233E7A" w:rsidRPr="00EB2E4B">
        <w:t xml:space="preserve"> an </w:t>
      </w:r>
      <w:r w:rsidR="00A469CD" w:rsidRPr="00EB2E4B">
        <w:t>action</w:t>
      </w:r>
      <w:r w:rsidR="00233E7A" w:rsidRPr="00EB2E4B">
        <w:t>,</w:t>
      </w:r>
      <w:r w:rsidR="00A469CD" w:rsidRPr="00EB2E4B">
        <w:t xml:space="preserve"> an initiative, a </w:t>
      </w:r>
      <w:proofErr w:type="gramStart"/>
      <w:r w:rsidR="00A469CD" w:rsidRPr="00EB2E4B">
        <w:t>goal</w:t>
      </w:r>
      <w:proofErr w:type="gramEnd"/>
      <w:r w:rsidR="00A469CD" w:rsidRPr="00EB2E4B">
        <w:t xml:space="preserve"> or a policy</w:t>
      </w:r>
      <w:r w:rsidR="00233E7A" w:rsidRPr="00EB2E4B">
        <w:t xml:space="preserve">. </w:t>
      </w:r>
      <w:r w:rsidR="00A469CD" w:rsidRPr="00EB2E4B">
        <w:t>Quite the opposite</w:t>
      </w:r>
      <w:r w:rsidR="00233E7A" w:rsidRPr="00EB2E4B">
        <w:t xml:space="preserve">, the </w:t>
      </w:r>
      <w:r w:rsidR="00A469CD" w:rsidRPr="00EB2E4B">
        <w:t>posts that show an engagement with stakeholders</w:t>
      </w:r>
      <w:r w:rsidR="00233E7A" w:rsidRPr="00EB2E4B">
        <w:t xml:space="preserve"> have been </w:t>
      </w:r>
      <w:r w:rsidR="00A469CD" w:rsidRPr="00EB2E4B">
        <w:t>classified</w:t>
      </w:r>
      <w:r w:rsidR="00233E7A" w:rsidRPr="00EB2E4B">
        <w:t xml:space="preserve"> as </w:t>
      </w:r>
      <w:r w:rsidR="00432AFD" w:rsidRPr="00EB2E4B">
        <w:t>"</w:t>
      </w:r>
      <w:r w:rsidR="00233E7A" w:rsidRPr="00EB2E4B">
        <w:t>interacting</w:t>
      </w:r>
      <w:r w:rsidR="00432AFD" w:rsidRPr="00EB2E4B">
        <w:t>"</w:t>
      </w:r>
      <w:r w:rsidR="00233E7A" w:rsidRPr="00EB2E4B">
        <w:t xml:space="preserve"> </w:t>
      </w:r>
      <w:r w:rsidR="006B06B6" w:rsidRPr="00EB2E4B">
        <w:t>(Esposito et al., 2021)</w:t>
      </w:r>
      <w:r w:rsidR="00233E7A" w:rsidRPr="00EB2E4B">
        <w:t>.</w:t>
      </w:r>
    </w:p>
    <w:p w14:paraId="636956C9" w14:textId="75A98B9D" w:rsidR="00233E7A" w:rsidRPr="00EB2E4B" w:rsidRDefault="00A469CD" w:rsidP="00233E7A">
      <w:r w:rsidRPr="00EB2E4B">
        <w:t>Furthermore</w:t>
      </w:r>
      <w:r w:rsidR="00233E7A" w:rsidRPr="00EB2E4B">
        <w:t xml:space="preserve">, this </w:t>
      </w:r>
      <w:r w:rsidRPr="00EB2E4B">
        <w:t>research</w:t>
      </w:r>
      <w:r w:rsidR="00233E7A" w:rsidRPr="00EB2E4B">
        <w:t xml:space="preserve"> has </w:t>
      </w:r>
      <w:r w:rsidRPr="00EB2E4B">
        <w:t>investigated</w:t>
      </w:r>
      <w:r w:rsidR="00233E7A" w:rsidRPr="00EB2E4B">
        <w:t xml:space="preserve"> the stakeholder engagement </w:t>
      </w:r>
      <w:r w:rsidRPr="00EB2E4B">
        <w:t>level, investigating the posts' communication direction</w:t>
      </w:r>
      <w:r w:rsidR="00233E7A" w:rsidRPr="00EB2E4B">
        <w:t xml:space="preserve">. </w:t>
      </w:r>
      <w:r w:rsidRPr="00EB2E4B">
        <w:t>T</w:t>
      </w:r>
      <w:r w:rsidR="00233E7A" w:rsidRPr="00EB2E4B">
        <w:t xml:space="preserve">he </w:t>
      </w:r>
      <w:r w:rsidRPr="00EB2E4B">
        <w:t>tweets</w:t>
      </w:r>
      <w:r w:rsidR="00233E7A" w:rsidRPr="00EB2E4B">
        <w:t xml:space="preserve"> that </w:t>
      </w:r>
      <w:r w:rsidRPr="00EB2E4B">
        <w:t>enable</w:t>
      </w:r>
      <w:r w:rsidR="00233E7A" w:rsidRPr="00EB2E4B">
        <w:t xml:space="preserve"> a comment by a</w:t>
      </w:r>
      <w:r w:rsidRPr="00EB2E4B">
        <w:t xml:space="preserve">n account </w:t>
      </w:r>
      <w:r w:rsidR="00233E7A" w:rsidRPr="00EB2E4B">
        <w:t xml:space="preserve">were </w:t>
      </w:r>
      <w:r w:rsidRPr="00EB2E4B">
        <w:t>classified</w:t>
      </w:r>
      <w:r w:rsidR="00233E7A" w:rsidRPr="00EB2E4B">
        <w:t xml:space="preserve"> as </w:t>
      </w:r>
      <w:r w:rsidR="00432AFD" w:rsidRPr="00EB2E4B">
        <w:t>"</w:t>
      </w:r>
      <w:r w:rsidR="00233E7A" w:rsidRPr="00EB2E4B">
        <w:t>two-way communication</w:t>
      </w:r>
      <w:r w:rsidR="00432AFD" w:rsidRPr="00EB2E4B">
        <w:t>"</w:t>
      </w:r>
      <w:r w:rsidR="00233E7A" w:rsidRPr="00EB2E4B">
        <w:t xml:space="preserve">; </w:t>
      </w:r>
      <w:r w:rsidRPr="00EB2E4B">
        <w:t>alternatively, the posts</w:t>
      </w:r>
      <w:r w:rsidR="00233E7A" w:rsidRPr="00EB2E4B">
        <w:t xml:space="preserve"> were </w:t>
      </w:r>
      <w:r w:rsidRPr="00EB2E4B">
        <w:t>categorized</w:t>
      </w:r>
      <w:r w:rsidR="00233E7A" w:rsidRPr="00EB2E4B">
        <w:t xml:space="preserve"> as </w:t>
      </w:r>
      <w:r w:rsidR="00432AFD" w:rsidRPr="00EB2E4B">
        <w:t>"</w:t>
      </w:r>
      <w:r w:rsidR="00233E7A" w:rsidRPr="00EB2E4B">
        <w:t>one-way communication</w:t>
      </w:r>
      <w:r w:rsidR="00432AFD" w:rsidRPr="00EB2E4B">
        <w:t>"</w:t>
      </w:r>
      <w:r w:rsidR="006B06B6" w:rsidRPr="00EB2E4B">
        <w:t xml:space="preserve"> (Schroder, 2021)</w:t>
      </w:r>
      <w:r w:rsidR="00233E7A" w:rsidRPr="00EB2E4B">
        <w:t xml:space="preserve">. Furthermore, </w:t>
      </w:r>
      <w:proofErr w:type="spellStart"/>
      <w:r w:rsidR="00182494" w:rsidRPr="00EB2E4B">
        <w:t>Krippendorff's</w:t>
      </w:r>
      <w:proofErr w:type="spellEnd"/>
      <w:r w:rsidR="00182494" w:rsidRPr="00EB2E4B">
        <w:t xml:space="preserve"> alpha index (α) was calculated to prevent subjective interpretation and evaluate the inter-coder reliability</w:t>
      </w:r>
      <w:r w:rsidR="00233E7A" w:rsidRPr="00EB2E4B">
        <w:t>. The coefficient</w:t>
      </w:r>
      <w:r w:rsidR="00182494" w:rsidRPr="00EB2E4B">
        <w:t>, computed</w:t>
      </w:r>
      <w:r w:rsidR="00233E7A" w:rsidRPr="00EB2E4B">
        <w:t xml:space="preserve"> on the first 2</w:t>
      </w:r>
      <w:r w:rsidR="00182494" w:rsidRPr="00EB2E4B">
        <w:t>5</w:t>
      </w:r>
      <w:r w:rsidR="00233E7A" w:rsidRPr="00EB2E4B">
        <w:t>% of posts</w:t>
      </w:r>
      <w:r w:rsidR="00182494" w:rsidRPr="00EB2E4B">
        <w:t xml:space="preserve">, </w:t>
      </w:r>
      <w:r w:rsidR="00233E7A" w:rsidRPr="00EB2E4B">
        <w:t>equals 0.8</w:t>
      </w:r>
      <w:r w:rsidR="00182494" w:rsidRPr="00EB2E4B">
        <w:t>7. This value can be considered adequate</w:t>
      </w:r>
      <w:r w:rsidR="00233E7A" w:rsidRPr="00EB2E4B">
        <w:t xml:space="preserve"> </w:t>
      </w:r>
      <w:r w:rsidR="00182494" w:rsidRPr="00EB2E4B">
        <w:t>since</w:t>
      </w:r>
      <w:r w:rsidR="00233E7A" w:rsidRPr="00EB2E4B">
        <w:t xml:space="preserve"> it </w:t>
      </w:r>
      <w:r w:rsidR="00182494" w:rsidRPr="00EB2E4B">
        <w:t>is within the range of 1</w:t>
      </w:r>
      <w:r w:rsidR="00233E7A" w:rsidRPr="00EB2E4B">
        <w:t>.00 (equivalent) and 0.00 (</w:t>
      </w:r>
      <w:r w:rsidR="00182494" w:rsidRPr="00EB2E4B">
        <w:t>entirely</w:t>
      </w:r>
      <w:r w:rsidR="00233E7A" w:rsidRPr="00EB2E4B">
        <w:t xml:space="preserve"> different)</w:t>
      </w:r>
      <w:r w:rsidR="006B06B6" w:rsidRPr="00EB2E4B">
        <w:t xml:space="preserve"> (</w:t>
      </w:r>
      <w:proofErr w:type="spellStart"/>
      <w:r w:rsidR="006B06B6" w:rsidRPr="00EB2E4B">
        <w:t>Krippendorf</w:t>
      </w:r>
      <w:proofErr w:type="spellEnd"/>
      <w:r w:rsidR="006B06B6" w:rsidRPr="00EB2E4B">
        <w:t>, 1980)</w:t>
      </w:r>
      <w:r w:rsidR="00233E7A" w:rsidRPr="00EB2E4B">
        <w:t xml:space="preserve">. </w:t>
      </w:r>
      <w:r w:rsidR="00182494" w:rsidRPr="00EB2E4B">
        <w:t>In conclusion</w:t>
      </w:r>
      <w:r w:rsidR="00233E7A" w:rsidRPr="00EB2E4B">
        <w:t xml:space="preserve">, the results have been </w:t>
      </w:r>
      <w:r w:rsidR="00182494" w:rsidRPr="00EB2E4B">
        <w:t>combined</w:t>
      </w:r>
      <w:r w:rsidR="00233E7A" w:rsidRPr="00EB2E4B">
        <w:t xml:space="preserve"> and </w:t>
      </w:r>
      <w:r w:rsidR="00182494" w:rsidRPr="00EB2E4B">
        <w:t>systemically</w:t>
      </w:r>
      <w:r w:rsidR="00233E7A" w:rsidRPr="00EB2E4B">
        <w:t xml:space="preserve"> </w:t>
      </w:r>
      <w:r w:rsidR="00182494" w:rsidRPr="00EB2E4B">
        <w:t>illustrated</w:t>
      </w:r>
      <w:r w:rsidR="00233E7A" w:rsidRPr="00EB2E4B">
        <w:t xml:space="preserve"> in the following section.</w:t>
      </w:r>
    </w:p>
    <w:p w14:paraId="5B334F5C" w14:textId="77777777" w:rsidR="00233E7A" w:rsidRPr="00EB2E4B" w:rsidRDefault="00233E7A" w:rsidP="00233E7A"/>
    <w:p w14:paraId="5A785D4E" w14:textId="77777777" w:rsidR="00233E7A" w:rsidRPr="00EB2E4B" w:rsidRDefault="00233E7A" w:rsidP="00233E7A"/>
    <w:p w14:paraId="56A04DDB" w14:textId="77777777" w:rsidR="00233E7A" w:rsidRPr="00EB2E4B" w:rsidRDefault="00233E7A" w:rsidP="00233E7A">
      <w:pPr>
        <w:rPr>
          <w:b/>
          <w:sz w:val="24"/>
        </w:rPr>
      </w:pPr>
      <w:r w:rsidRPr="00EB2E4B">
        <w:rPr>
          <w:b/>
          <w:sz w:val="24"/>
        </w:rPr>
        <w:t>4. Results and discussion</w:t>
      </w:r>
    </w:p>
    <w:p w14:paraId="5ED7A033" w14:textId="77777777" w:rsidR="00233E7A" w:rsidRPr="00EB2E4B" w:rsidRDefault="00233E7A" w:rsidP="00233E7A"/>
    <w:p w14:paraId="1129B5F9" w14:textId="69E6DB7A" w:rsidR="00233E7A" w:rsidRPr="00EB2E4B" w:rsidRDefault="00233E7A" w:rsidP="00233E7A">
      <w:r w:rsidRPr="00EB2E4B">
        <w:t xml:space="preserve">Table 2 </w:t>
      </w:r>
      <w:r w:rsidR="00E56FA6" w:rsidRPr="00EB2E4B">
        <w:t>presents</w:t>
      </w:r>
      <w:r w:rsidRPr="00EB2E4B">
        <w:t xml:space="preserve"> the descriptive statistics of </w:t>
      </w:r>
      <w:r w:rsidR="00E56FA6" w:rsidRPr="00EB2E4B">
        <w:t>the total</w:t>
      </w:r>
      <w:r w:rsidRPr="00EB2E4B">
        <w:t xml:space="preserve"> tweets published</w:t>
      </w:r>
      <w:r w:rsidR="00E56FA6" w:rsidRPr="00EB2E4B">
        <w:t xml:space="preserve"> by the three companies</w:t>
      </w:r>
      <w:r w:rsidRPr="00EB2E4B">
        <w:t xml:space="preserve"> from </w:t>
      </w:r>
      <w:r w:rsidR="00E56FA6" w:rsidRPr="00EB2E4B">
        <w:t xml:space="preserve">March </w:t>
      </w:r>
      <w:r w:rsidRPr="00EB2E4B">
        <w:t xml:space="preserve">2020 to </w:t>
      </w:r>
      <w:r w:rsidR="00E56FA6" w:rsidRPr="00EB2E4B">
        <w:t>May</w:t>
      </w:r>
      <w:r w:rsidRPr="00EB2E4B">
        <w:t xml:space="preserve"> 202</w:t>
      </w:r>
      <w:r w:rsidR="00E56FA6" w:rsidRPr="00EB2E4B">
        <w:t>2</w:t>
      </w:r>
      <w:r w:rsidRPr="00EB2E4B">
        <w:t xml:space="preserve">. </w:t>
      </w:r>
      <w:r w:rsidR="00F00F43" w:rsidRPr="00EB2E4B">
        <w:t>The results display</w:t>
      </w:r>
      <w:r w:rsidRPr="00EB2E4B">
        <w:t xml:space="preserve"> that </w:t>
      </w:r>
      <w:r w:rsidR="00CE2C2F" w:rsidRPr="00EB2E4B">
        <w:t>39.33</w:t>
      </w:r>
      <w:r w:rsidRPr="00EB2E4B">
        <w:t xml:space="preserve">% of the extracted tweets </w:t>
      </w:r>
      <w:r w:rsidR="00F00F43" w:rsidRPr="00EB2E4B">
        <w:t>can</w:t>
      </w:r>
      <w:r w:rsidRPr="00EB2E4B">
        <w:t xml:space="preserve"> be </w:t>
      </w:r>
      <w:r w:rsidR="00F00F43" w:rsidRPr="00EB2E4B">
        <w:t>categorized</w:t>
      </w:r>
      <w:r w:rsidRPr="00EB2E4B">
        <w:t xml:space="preserve"> as CE </w:t>
      </w:r>
      <w:r w:rsidR="00F00F43" w:rsidRPr="00EB2E4B">
        <w:t>content</w:t>
      </w:r>
      <w:r w:rsidRPr="00EB2E4B">
        <w:t xml:space="preserve"> </w:t>
      </w:r>
      <w:r w:rsidR="00473E73" w:rsidRPr="00EB2E4B">
        <w:t>concerning</w:t>
      </w:r>
      <w:r w:rsidRPr="00EB2E4B">
        <w:t xml:space="preserve"> the </w:t>
      </w:r>
      <w:r w:rsidR="00F00F43" w:rsidRPr="00EB2E4B">
        <w:t>whole</w:t>
      </w:r>
      <w:r w:rsidRPr="00EB2E4B">
        <w:t xml:space="preserve"> tweets. </w:t>
      </w:r>
      <w:r w:rsidR="00F00F43" w:rsidRPr="00EB2E4B">
        <w:t>Nevertheless</w:t>
      </w:r>
      <w:r w:rsidRPr="00EB2E4B">
        <w:t xml:space="preserve">, </w:t>
      </w:r>
      <w:r w:rsidR="00CE2C2F" w:rsidRPr="00EB2E4B">
        <w:t>according to Esposito et al. (2020), our findings show that non-CE messages have a lower level of stakeholder engagement than</w:t>
      </w:r>
      <w:r w:rsidR="00F00F43" w:rsidRPr="00EB2E4B">
        <w:t xml:space="preserve"> CE messages</w:t>
      </w:r>
      <w:r w:rsidRPr="00EB2E4B">
        <w:t xml:space="preserve">. The retweets </w:t>
      </w:r>
      <w:r w:rsidR="00F00F43" w:rsidRPr="00EB2E4B">
        <w:t>values are low since the highest part of the Twitter</w:t>
      </w:r>
      <w:r w:rsidRPr="00EB2E4B">
        <w:t xml:space="preserve"> users</w:t>
      </w:r>
      <w:r w:rsidR="00F00F43" w:rsidRPr="00EB2E4B">
        <w:t xml:space="preserve"> is likely to</w:t>
      </w:r>
      <w:r w:rsidRPr="00EB2E4B">
        <w:t xml:space="preserve"> interact with </w:t>
      </w:r>
      <w:r w:rsidR="00F00F43" w:rsidRPr="00EB2E4B">
        <w:t>the</w:t>
      </w:r>
      <w:r w:rsidRPr="00EB2E4B">
        <w:t xml:space="preserve"> contents </w:t>
      </w:r>
      <w:r w:rsidR="00F00F43" w:rsidRPr="00EB2E4B">
        <w:t xml:space="preserve">through the </w:t>
      </w:r>
      <w:r w:rsidRPr="00EB2E4B">
        <w:t>feedback</w:t>
      </w:r>
      <w:r w:rsidR="00F00F43" w:rsidRPr="00EB2E4B">
        <w:t xml:space="preserve"> mechanism: through the likes. </w:t>
      </w:r>
      <w:r w:rsidRPr="00EB2E4B">
        <w:t xml:space="preserve"> </w:t>
      </w:r>
    </w:p>
    <w:p w14:paraId="22748C3D" w14:textId="77777777" w:rsidR="005C2CB0" w:rsidRPr="00EB2E4B" w:rsidRDefault="005C2CB0" w:rsidP="00712389">
      <w:pPr>
        <w:pStyle w:val="TableCaption"/>
        <w:spacing w:after="120" w:line="276" w:lineRule="auto"/>
        <w:ind w:left="1915" w:right="1800"/>
      </w:pPr>
    </w:p>
    <w:p w14:paraId="0EE3053B" w14:textId="3F54A96F" w:rsidR="00712389" w:rsidRPr="00EB2E4B" w:rsidRDefault="00712389" w:rsidP="00712389">
      <w:pPr>
        <w:pStyle w:val="TableCaption"/>
        <w:spacing w:after="120" w:line="276" w:lineRule="auto"/>
        <w:ind w:left="1915" w:right="1800"/>
      </w:pPr>
      <w:r w:rsidRPr="00EB2E4B">
        <w:t xml:space="preserve">Table </w:t>
      </w:r>
      <w:r w:rsidR="005C2CB0" w:rsidRPr="00EB2E4B">
        <w:t>2</w:t>
      </w:r>
      <w:r w:rsidRPr="00EB2E4B">
        <w:t xml:space="preserve">. </w:t>
      </w:r>
      <w:r w:rsidR="005C2CB0" w:rsidRPr="00EB2E4B">
        <w:t>Classification of Tweets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343"/>
        <w:gridCol w:w="2329"/>
      </w:tblGrid>
      <w:tr w:rsidR="00252C6F" w:rsidRPr="00EB2E4B" w14:paraId="17BC6C84" w14:textId="77777777" w:rsidTr="00CE2C2F">
        <w:trPr>
          <w:jc w:val="center"/>
        </w:trPr>
        <w:tc>
          <w:tcPr>
            <w:tcW w:w="1394" w:type="dxa"/>
            <w:tcBorders>
              <w:top w:val="single" w:sz="4" w:space="0" w:color="auto"/>
              <w:bottom w:val="single" w:sz="4" w:space="0" w:color="auto"/>
            </w:tcBorders>
          </w:tcPr>
          <w:p w14:paraId="0BB0DDFF" w14:textId="77777777" w:rsidR="00252C6F" w:rsidRPr="00EB2E4B" w:rsidRDefault="00252C6F" w:rsidP="00834578">
            <w:pPr>
              <w:rPr>
                <w:sz w:val="24"/>
                <w:szCs w:val="24"/>
              </w:rPr>
            </w:pPr>
          </w:p>
        </w:tc>
        <w:tc>
          <w:tcPr>
            <w:tcW w:w="2343" w:type="dxa"/>
            <w:tcBorders>
              <w:top w:val="single" w:sz="4" w:space="0" w:color="auto"/>
              <w:bottom w:val="single" w:sz="4" w:space="0" w:color="auto"/>
            </w:tcBorders>
          </w:tcPr>
          <w:p w14:paraId="1B4149D1" w14:textId="47D72BFC" w:rsidR="00252C6F" w:rsidRPr="00EB2E4B" w:rsidRDefault="00252C6F" w:rsidP="00834578">
            <w:pPr>
              <w:rPr>
                <w:sz w:val="24"/>
                <w:szCs w:val="24"/>
              </w:rPr>
            </w:pPr>
            <w:r w:rsidRPr="00EB2E4B">
              <w:rPr>
                <w:b/>
                <w:bCs/>
                <w:sz w:val="24"/>
                <w:szCs w:val="24"/>
              </w:rPr>
              <w:t>CE Tweet extracted</w:t>
            </w:r>
          </w:p>
        </w:tc>
        <w:tc>
          <w:tcPr>
            <w:tcW w:w="2329" w:type="dxa"/>
            <w:tcBorders>
              <w:top w:val="single" w:sz="4" w:space="0" w:color="auto"/>
              <w:bottom w:val="single" w:sz="4" w:space="0" w:color="auto"/>
            </w:tcBorders>
          </w:tcPr>
          <w:p w14:paraId="32B9AA06" w14:textId="75C233F7" w:rsidR="00252C6F" w:rsidRPr="00EB2E4B" w:rsidRDefault="00252C6F" w:rsidP="00834578">
            <w:pPr>
              <w:rPr>
                <w:sz w:val="24"/>
                <w:szCs w:val="24"/>
              </w:rPr>
            </w:pPr>
            <w:r w:rsidRPr="00EB2E4B">
              <w:rPr>
                <w:b/>
                <w:bCs/>
                <w:sz w:val="24"/>
                <w:szCs w:val="24"/>
              </w:rPr>
              <w:t>Total Tweet</w:t>
            </w:r>
          </w:p>
        </w:tc>
      </w:tr>
      <w:tr w:rsidR="00252C6F" w:rsidRPr="00EB2E4B" w14:paraId="265904E1" w14:textId="77777777" w:rsidTr="00CE2C2F">
        <w:trPr>
          <w:jc w:val="center"/>
        </w:trPr>
        <w:tc>
          <w:tcPr>
            <w:tcW w:w="1394" w:type="dxa"/>
            <w:tcBorders>
              <w:top w:val="single" w:sz="4" w:space="0" w:color="auto"/>
            </w:tcBorders>
          </w:tcPr>
          <w:p w14:paraId="329BD09B" w14:textId="57477314" w:rsidR="00252C6F" w:rsidRPr="00EB2E4B" w:rsidRDefault="00252C6F" w:rsidP="00252C6F">
            <w:pPr>
              <w:rPr>
                <w:b/>
                <w:bCs/>
                <w:sz w:val="24"/>
                <w:szCs w:val="24"/>
              </w:rPr>
            </w:pPr>
            <w:r w:rsidRPr="00EB2E4B">
              <w:rPr>
                <w:b/>
                <w:bCs/>
                <w:sz w:val="24"/>
                <w:szCs w:val="24"/>
              </w:rPr>
              <w:t>Like</w:t>
            </w:r>
          </w:p>
        </w:tc>
        <w:tc>
          <w:tcPr>
            <w:tcW w:w="2343" w:type="dxa"/>
            <w:tcBorders>
              <w:top w:val="single" w:sz="4" w:space="0" w:color="auto"/>
            </w:tcBorders>
            <w:vAlign w:val="center"/>
          </w:tcPr>
          <w:p w14:paraId="1E9E9D2F" w14:textId="2DD8F46B" w:rsidR="00252C6F" w:rsidRPr="00EB2E4B" w:rsidRDefault="00252C6F" w:rsidP="00252C6F">
            <w:pPr>
              <w:rPr>
                <w:sz w:val="24"/>
                <w:szCs w:val="24"/>
              </w:rPr>
            </w:pPr>
            <w:r w:rsidRPr="00EB2E4B">
              <w:rPr>
                <w:sz w:val="24"/>
                <w:szCs w:val="24"/>
              </w:rPr>
              <w:t>82.6</w:t>
            </w:r>
            <w:r w:rsidR="00CE2C2F" w:rsidRPr="00EB2E4B">
              <w:rPr>
                <w:sz w:val="24"/>
                <w:szCs w:val="24"/>
              </w:rPr>
              <w:t>8</w:t>
            </w:r>
            <w:r w:rsidRPr="00EB2E4B">
              <w:rPr>
                <w:sz w:val="24"/>
                <w:szCs w:val="24"/>
              </w:rPr>
              <w:t>%</w:t>
            </w:r>
          </w:p>
        </w:tc>
        <w:tc>
          <w:tcPr>
            <w:tcW w:w="2329" w:type="dxa"/>
            <w:tcBorders>
              <w:top w:val="single" w:sz="4" w:space="0" w:color="auto"/>
            </w:tcBorders>
          </w:tcPr>
          <w:p w14:paraId="4600C381" w14:textId="75003F82" w:rsidR="00252C6F" w:rsidRPr="00EB2E4B" w:rsidRDefault="00CE2C2F" w:rsidP="00252C6F">
            <w:pPr>
              <w:rPr>
                <w:sz w:val="24"/>
                <w:szCs w:val="24"/>
              </w:rPr>
            </w:pPr>
            <w:r w:rsidRPr="00EB2E4B">
              <w:rPr>
                <w:sz w:val="24"/>
                <w:szCs w:val="24"/>
              </w:rPr>
              <w:t>54.40%</w:t>
            </w:r>
          </w:p>
        </w:tc>
      </w:tr>
      <w:tr w:rsidR="00252C6F" w:rsidRPr="00EB2E4B" w14:paraId="67E42197" w14:textId="77777777" w:rsidTr="00CE2C2F">
        <w:trPr>
          <w:jc w:val="center"/>
        </w:trPr>
        <w:tc>
          <w:tcPr>
            <w:tcW w:w="1394" w:type="dxa"/>
            <w:tcBorders>
              <w:bottom w:val="single" w:sz="4" w:space="0" w:color="auto"/>
            </w:tcBorders>
          </w:tcPr>
          <w:p w14:paraId="401CFD7C" w14:textId="03870C5E" w:rsidR="00252C6F" w:rsidRPr="00EB2E4B" w:rsidRDefault="00252C6F" w:rsidP="00252C6F">
            <w:pPr>
              <w:rPr>
                <w:b/>
                <w:bCs/>
                <w:sz w:val="24"/>
                <w:szCs w:val="24"/>
              </w:rPr>
            </w:pPr>
            <w:r w:rsidRPr="00EB2E4B">
              <w:rPr>
                <w:b/>
                <w:bCs/>
                <w:sz w:val="24"/>
                <w:szCs w:val="24"/>
              </w:rPr>
              <w:t>Retweet</w:t>
            </w:r>
          </w:p>
        </w:tc>
        <w:tc>
          <w:tcPr>
            <w:tcW w:w="2343" w:type="dxa"/>
            <w:tcBorders>
              <w:bottom w:val="single" w:sz="4" w:space="0" w:color="auto"/>
            </w:tcBorders>
            <w:vAlign w:val="center"/>
          </w:tcPr>
          <w:p w14:paraId="33355E68" w14:textId="0FAB87B8" w:rsidR="00252C6F" w:rsidRPr="00EB2E4B" w:rsidRDefault="00252C6F" w:rsidP="00252C6F">
            <w:pPr>
              <w:rPr>
                <w:sz w:val="24"/>
                <w:szCs w:val="24"/>
              </w:rPr>
            </w:pPr>
            <w:r w:rsidRPr="00EB2E4B">
              <w:rPr>
                <w:sz w:val="24"/>
                <w:szCs w:val="24"/>
              </w:rPr>
              <w:t>14.32%</w:t>
            </w:r>
          </w:p>
        </w:tc>
        <w:tc>
          <w:tcPr>
            <w:tcW w:w="2329" w:type="dxa"/>
            <w:tcBorders>
              <w:bottom w:val="single" w:sz="4" w:space="0" w:color="auto"/>
            </w:tcBorders>
          </w:tcPr>
          <w:p w14:paraId="217385E3" w14:textId="6A43F4BA" w:rsidR="00252C6F" w:rsidRPr="00EB2E4B" w:rsidRDefault="00CE2C2F" w:rsidP="00252C6F">
            <w:pPr>
              <w:rPr>
                <w:sz w:val="24"/>
                <w:szCs w:val="24"/>
              </w:rPr>
            </w:pPr>
            <w:r w:rsidRPr="00EB2E4B">
              <w:rPr>
                <w:sz w:val="24"/>
                <w:szCs w:val="24"/>
              </w:rPr>
              <w:t>12.13%</w:t>
            </w:r>
          </w:p>
        </w:tc>
      </w:tr>
      <w:tr w:rsidR="00252C6F" w:rsidRPr="00EB2E4B" w14:paraId="646D5AD9" w14:textId="77777777" w:rsidTr="00CE2C2F">
        <w:trPr>
          <w:jc w:val="center"/>
        </w:trPr>
        <w:tc>
          <w:tcPr>
            <w:tcW w:w="1394" w:type="dxa"/>
            <w:tcBorders>
              <w:top w:val="single" w:sz="4" w:space="0" w:color="auto"/>
            </w:tcBorders>
          </w:tcPr>
          <w:p w14:paraId="35E98CAD" w14:textId="34EE753F" w:rsidR="00252C6F" w:rsidRPr="00EB2E4B" w:rsidRDefault="00252C6F" w:rsidP="00252C6F">
            <w:pPr>
              <w:rPr>
                <w:b/>
                <w:bCs/>
                <w:sz w:val="24"/>
                <w:szCs w:val="24"/>
              </w:rPr>
            </w:pPr>
            <w:proofErr w:type="spellStart"/>
            <w:r w:rsidRPr="00EB2E4B">
              <w:rPr>
                <w:b/>
                <w:bCs/>
                <w:sz w:val="24"/>
                <w:szCs w:val="24"/>
              </w:rPr>
              <w:t>Obs</w:t>
            </w:r>
            <w:proofErr w:type="spellEnd"/>
          </w:p>
        </w:tc>
        <w:tc>
          <w:tcPr>
            <w:tcW w:w="2343" w:type="dxa"/>
            <w:tcBorders>
              <w:top w:val="single" w:sz="4" w:space="0" w:color="auto"/>
            </w:tcBorders>
            <w:vAlign w:val="center"/>
          </w:tcPr>
          <w:p w14:paraId="5BC69520" w14:textId="24BB15C9" w:rsidR="00252C6F" w:rsidRPr="00EB2E4B" w:rsidRDefault="00252C6F" w:rsidP="00252C6F">
            <w:pPr>
              <w:rPr>
                <w:sz w:val="24"/>
                <w:szCs w:val="24"/>
              </w:rPr>
            </w:pPr>
            <w:r w:rsidRPr="00EB2E4B">
              <w:rPr>
                <w:sz w:val="24"/>
                <w:szCs w:val="24"/>
              </w:rPr>
              <w:t>363</w:t>
            </w:r>
          </w:p>
        </w:tc>
        <w:tc>
          <w:tcPr>
            <w:tcW w:w="2329" w:type="dxa"/>
            <w:tcBorders>
              <w:top w:val="single" w:sz="4" w:space="0" w:color="auto"/>
            </w:tcBorders>
            <w:vAlign w:val="center"/>
          </w:tcPr>
          <w:p w14:paraId="6C53C304" w14:textId="4407B893" w:rsidR="00252C6F" w:rsidRPr="00EB2E4B" w:rsidRDefault="00252C6F" w:rsidP="00252C6F">
            <w:pPr>
              <w:rPr>
                <w:sz w:val="24"/>
                <w:szCs w:val="24"/>
              </w:rPr>
            </w:pPr>
            <w:r w:rsidRPr="00EB2E4B">
              <w:rPr>
                <w:sz w:val="24"/>
                <w:szCs w:val="24"/>
              </w:rPr>
              <w:t>923</w:t>
            </w:r>
          </w:p>
        </w:tc>
      </w:tr>
      <w:tr w:rsidR="00252C6F" w:rsidRPr="00EB2E4B" w14:paraId="462C0F8D" w14:textId="77777777" w:rsidTr="00CE2C2F">
        <w:trPr>
          <w:jc w:val="center"/>
        </w:trPr>
        <w:tc>
          <w:tcPr>
            <w:tcW w:w="1394" w:type="dxa"/>
            <w:tcBorders>
              <w:bottom w:val="single" w:sz="4" w:space="0" w:color="auto"/>
            </w:tcBorders>
          </w:tcPr>
          <w:p w14:paraId="52433456" w14:textId="4409CCB4" w:rsidR="00252C6F" w:rsidRPr="00EB2E4B" w:rsidRDefault="00252C6F" w:rsidP="00252C6F">
            <w:pPr>
              <w:rPr>
                <w:b/>
                <w:bCs/>
                <w:sz w:val="24"/>
                <w:szCs w:val="24"/>
              </w:rPr>
            </w:pPr>
            <w:proofErr w:type="spellStart"/>
            <w:r w:rsidRPr="00EB2E4B">
              <w:rPr>
                <w:b/>
                <w:bCs/>
                <w:sz w:val="24"/>
                <w:szCs w:val="24"/>
              </w:rPr>
              <w:t>Obs</w:t>
            </w:r>
            <w:proofErr w:type="spellEnd"/>
            <w:r w:rsidRPr="00EB2E4B">
              <w:rPr>
                <w:b/>
                <w:bCs/>
                <w:sz w:val="24"/>
                <w:szCs w:val="24"/>
              </w:rPr>
              <w:t>%</w:t>
            </w:r>
          </w:p>
        </w:tc>
        <w:tc>
          <w:tcPr>
            <w:tcW w:w="2343" w:type="dxa"/>
            <w:tcBorders>
              <w:bottom w:val="single" w:sz="4" w:space="0" w:color="auto"/>
            </w:tcBorders>
            <w:vAlign w:val="center"/>
          </w:tcPr>
          <w:p w14:paraId="773BAA98" w14:textId="383F89AD" w:rsidR="00252C6F" w:rsidRPr="00EB2E4B" w:rsidRDefault="00252C6F" w:rsidP="00252C6F">
            <w:pPr>
              <w:rPr>
                <w:sz w:val="24"/>
                <w:szCs w:val="24"/>
              </w:rPr>
            </w:pPr>
            <w:r w:rsidRPr="00EB2E4B">
              <w:rPr>
                <w:sz w:val="24"/>
                <w:szCs w:val="24"/>
              </w:rPr>
              <w:t>39.33%</w:t>
            </w:r>
          </w:p>
        </w:tc>
        <w:tc>
          <w:tcPr>
            <w:tcW w:w="2329" w:type="dxa"/>
            <w:tcBorders>
              <w:bottom w:val="single" w:sz="4" w:space="0" w:color="auto"/>
            </w:tcBorders>
            <w:vAlign w:val="center"/>
          </w:tcPr>
          <w:p w14:paraId="470C83E0" w14:textId="7740B245" w:rsidR="00252C6F" w:rsidRPr="00EB2E4B" w:rsidRDefault="00252C6F" w:rsidP="00252C6F">
            <w:pPr>
              <w:rPr>
                <w:sz w:val="24"/>
                <w:szCs w:val="24"/>
              </w:rPr>
            </w:pPr>
            <w:r w:rsidRPr="00EB2E4B">
              <w:rPr>
                <w:sz w:val="24"/>
                <w:szCs w:val="24"/>
              </w:rPr>
              <w:t>100%</w:t>
            </w:r>
          </w:p>
        </w:tc>
      </w:tr>
    </w:tbl>
    <w:p w14:paraId="29C92796" w14:textId="25006123" w:rsidR="00252C6F" w:rsidRPr="00EB2E4B" w:rsidRDefault="00252C6F" w:rsidP="00252C6F">
      <w:pPr>
        <w:rPr>
          <w:sz w:val="24"/>
          <w:szCs w:val="24"/>
        </w:rPr>
      </w:pPr>
    </w:p>
    <w:p w14:paraId="259D69E6" w14:textId="0EB1903D" w:rsidR="00473E73" w:rsidRPr="00EB2E4B" w:rsidRDefault="00473E73" w:rsidP="00473E73">
      <w:r w:rsidRPr="00EB2E4B">
        <w:t xml:space="preserve">Table 3 describes the frequency of likes and retweets retrieved for each company analyzed. </w:t>
      </w:r>
      <w:proofErr w:type="gramStart"/>
      <w:r w:rsidRPr="00EB2E4B">
        <w:t>In particular, Company</w:t>
      </w:r>
      <w:proofErr w:type="gramEnd"/>
      <w:r w:rsidRPr="00EB2E4B">
        <w:t xml:space="preserve"> C shows the highest number of likes and retweets for the CE messages (i.e.,119; 32), while, concerning the total messages published, Company A shows the highest number of likes (i.e., 178). Company B shows the lowest level of engagement and agreement with only five retweets compared to the 278 posts examined. </w:t>
      </w:r>
    </w:p>
    <w:p w14:paraId="6A94748E" w14:textId="6EEA93F6" w:rsidR="005C2CB0" w:rsidRDefault="005C2CB0" w:rsidP="00712389">
      <w:pPr>
        <w:pStyle w:val="TableCaption"/>
        <w:spacing w:after="120" w:line="276" w:lineRule="auto"/>
        <w:ind w:left="1915" w:right="1800"/>
      </w:pPr>
    </w:p>
    <w:p w14:paraId="383B3031" w14:textId="51B489F6" w:rsidR="00F90F98" w:rsidRDefault="00F90F98" w:rsidP="00712389">
      <w:pPr>
        <w:pStyle w:val="TableCaption"/>
        <w:spacing w:after="120" w:line="276" w:lineRule="auto"/>
        <w:ind w:left="1915" w:right="1800"/>
      </w:pPr>
    </w:p>
    <w:p w14:paraId="161D8B1F" w14:textId="77777777" w:rsidR="00F90F98" w:rsidRPr="00EB2E4B" w:rsidRDefault="00F90F98" w:rsidP="00712389">
      <w:pPr>
        <w:pStyle w:val="TableCaption"/>
        <w:spacing w:after="120" w:line="276" w:lineRule="auto"/>
        <w:ind w:left="1915" w:right="1800"/>
      </w:pPr>
    </w:p>
    <w:p w14:paraId="173F3D04" w14:textId="715525B5" w:rsidR="00712389" w:rsidRPr="00EB2E4B" w:rsidRDefault="00712389" w:rsidP="00712389">
      <w:pPr>
        <w:pStyle w:val="TableCaption"/>
        <w:spacing w:after="120" w:line="276" w:lineRule="auto"/>
        <w:ind w:left="1915" w:right="1800"/>
      </w:pPr>
      <w:r w:rsidRPr="00EB2E4B">
        <w:t xml:space="preserve">Table </w:t>
      </w:r>
      <w:r w:rsidR="005C2CB0" w:rsidRPr="00EB2E4B">
        <w:t>3</w:t>
      </w:r>
      <w:r w:rsidRPr="00EB2E4B">
        <w:t xml:space="preserve">. </w:t>
      </w:r>
      <w:r w:rsidR="005C2CB0" w:rsidRPr="00EB2E4B">
        <w:t>Classification of Tweets per companies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1013"/>
        <w:gridCol w:w="990"/>
        <w:gridCol w:w="956"/>
        <w:gridCol w:w="955"/>
        <w:gridCol w:w="956"/>
        <w:gridCol w:w="955"/>
      </w:tblGrid>
      <w:tr w:rsidR="00E447D5" w:rsidRPr="00EB2E4B" w14:paraId="018F4C21" w14:textId="77777777" w:rsidTr="005C2CB0">
        <w:trPr>
          <w:jc w:val="center"/>
        </w:trPr>
        <w:tc>
          <w:tcPr>
            <w:tcW w:w="1375" w:type="dxa"/>
            <w:tcBorders>
              <w:top w:val="single" w:sz="4" w:space="0" w:color="auto"/>
              <w:bottom w:val="single" w:sz="4" w:space="0" w:color="auto"/>
            </w:tcBorders>
          </w:tcPr>
          <w:p w14:paraId="5D19DCB0" w14:textId="77777777" w:rsidR="00E447D5" w:rsidRPr="00EB2E4B" w:rsidRDefault="00E447D5" w:rsidP="00837B7A">
            <w:pPr>
              <w:rPr>
                <w:sz w:val="24"/>
                <w:szCs w:val="24"/>
              </w:rPr>
            </w:pPr>
          </w:p>
        </w:tc>
        <w:tc>
          <w:tcPr>
            <w:tcW w:w="2003" w:type="dxa"/>
            <w:gridSpan w:val="2"/>
            <w:tcBorders>
              <w:top w:val="single" w:sz="4" w:space="0" w:color="auto"/>
              <w:bottom w:val="single" w:sz="4" w:space="0" w:color="auto"/>
            </w:tcBorders>
          </w:tcPr>
          <w:p w14:paraId="222C575A" w14:textId="1CD25675" w:rsidR="00E447D5" w:rsidRPr="00EB2E4B" w:rsidRDefault="00E447D5" w:rsidP="00E447D5">
            <w:pPr>
              <w:jc w:val="center"/>
              <w:rPr>
                <w:b/>
                <w:bCs/>
                <w:sz w:val="24"/>
                <w:szCs w:val="24"/>
              </w:rPr>
            </w:pPr>
            <w:r w:rsidRPr="00EB2E4B">
              <w:rPr>
                <w:b/>
                <w:bCs/>
                <w:sz w:val="24"/>
                <w:szCs w:val="24"/>
              </w:rPr>
              <w:t>Company A</w:t>
            </w:r>
          </w:p>
        </w:tc>
        <w:tc>
          <w:tcPr>
            <w:tcW w:w="1911" w:type="dxa"/>
            <w:gridSpan w:val="2"/>
            <w:tcBorders>
              <w:top w:val="single" w:sz="4" w:space="0" w:color="auto"/>
              <w:bottom w:val="single" w:sz="4" w:space="0" w:color="auto"/>
            </w:tcBorders>
          </w:tcPr>
          <w:p w14:paraId="52FE2EEB" w14:textId="4A2B34EB" w:rsidR="00E447D5" w:rsidRPr="00EB2E4B" w:rsidRDefault="00E447D5" w:rsidP="00E447D5">
            <w:pPr>
              <w:jc w:val="center"/>
              <w:rPr>
                <w:b/>
                <w:bCs/>
                <w:sz w:val="24"/>
                <w:szCs w:val="24"/>
              </w:rPr>
            </w:pPr>
            <w:r w:rsidRPr="00EB2E4B">
              <w:rPr>
                <w:b/>
                <w:bCs/>
                <w:sz w:val="24"/>
                <w:szCs w:val="24"/>
              </w:rPr>
              <w:t>Company B</w:t>
            </w:r>
          </w:p>
        </w:tc>
        <w:tc>
          <w:tcPr>
            <w:tcW w:w="1911" w:type="dxa"/>
            <w:gridSpan w:val="2"/>
            <w:tcBorders>
              <w:top w:val="single" w:sz="4" w:space="0" w:color="auto"/>
              <w:bottom w:val="single" w:sz="4" w:space="0" w:color="auto"/>
            </w:tcBorders>
          </w:tcPr>
          <w:p w14:paraId="451CEBCF" w14:textId="35555D3A" w:rsidR="00E447D5" w:rsidRPr="00EB2E4B" w:rsidRDefault="00E447D5" w:rsidP="00E447D5">
            <w:pPr>
              <w:jc w:val="center"/>
              <w:rPr>
                <w:b/>
                <w:bCs/>
                <w:sz w:val="24"/>
                <w:szCs w:val="24"/>
              </w:rPr>
            </w:pPr>
            <w:r w:rsidRPr="00EB2E4B">
              <w:rPr>
                <w:b/>
                <w:bCs/>
                <w:sz w:val="24"/>
                <w:szCs w:val="24"/>
              </w:rPr>
              <w:t>Company C</w:t>
            </w:r>
          </w:p>
        </w:tc>
      </w:tr>
      <w:tr w:rsidR="00E447D5" w:rsidRPr="00EB2E4B" w14:paraId="540D5FC5" w14:textId="7E0168DB" w:rsidTr="005C2CB0">
        <w:trPr>
          <w:jc w:val="center"/>
        </w:trPr>
        <w:tc>
          <w:tcPr>
            <w:tcW w:w="1375" w:type="dxa"/>
            <w:tcBorders>
              <w:top w:val="single" w:sz="4" w:space="0" w:color="auto"/>
              <w:bottom w:val="single" w:sz="4" w:space="0" w:color="auto"/>
            </w:tcBorders>
          </w:tcPr>
          <w:p w14:paraId="0A8A7834" w14:textId="77777777" w:rsidR="00E447D5" w:rsidRPr="00EB2E4B" w:rsidRDefault="00E447D5" w:rsidP="00837B7A">
            <w:pPr>
              <w:rPr>
                <w:sz w:val="24"/>
                <w:szCs w:val="24"/>
              </w:rPr>
            </w:pPr>
          </w:p>
        </w:tc>
        <w:tc>
          <w:tcPr>
            <w:tcW w:w="1013" w:type="dxa"/>
            <w:tcBorders>
              <w:top w:val="single" w:sz="4" w:space="0" w:color="auto"/>
              <w:bottom w:val="single" w:sz="4" w:space="0" w:color="auto"/>
            </w:tcBorders>
          </w:tcPr>
          <w:p w14:paraId="7D32159D" w14:textId="33F39089" w:rsidR="00E447D5" w:rsidRPr="00EB2E4B" w:rsidRDefault="00E447D5" w:rsidP="00837B7A">
            <w:pPr>
              <w:rPr>
                <w:sz w:val="24"/>
                <w:szCs w:val="24"/>
              </w:rPr>
            </w:pPr>
            <w:r w:rsidRPr="00EB2E4B">
              <w:rPr>
                <w:b/>
                <w:bCs/>
                <w:sz w:val="24"/>
                <w:szCs w:val="24"/>
              </w:rPr>
              <w:t xml:space="preserve">CE </w:t>
            </w:r>
          </w:p>
        </w:tc>
        <w:tc>
          <w:tcPr>
            <w:tcW w:w="990" w:type="dxa"/>
            <w:tcBorders>
              <w:top w:val="single" w:sz="4" w:space="0" w:color="auto"/>
              <w:bottom w:val="single" w:sz="4" w:space="0" w:color="auto"/>
            </w:tcBorders>
          </w:tcPr>
          <w:p w14:paraId="0574271E" w14:textId="6AB9E495" w:rsidR="00E447D5" w:rsidRPr="00EB2E4B" w:rsidRDefault="00E447D5" w:rsidP="00837B7A">
            <w:pPr>
              <w:rPr>
                <w:sz w:val="24"/>
                <w:szCs w:val="24"/>
              </w:rPr>
            </w:pPr>
            <w:r w:rsidRPr="00EB2E4B">
              <w:rPr>
                <w:b/>
                <w:bCs/>
                <w:sz w:val="24"/>
                <w:szCs w:val="24"/>
              </w:rPr>
              <w:t>Total</w:t>
            </w:r>
          </w:p>
        </w:tc>
        <w:tc>
          <w:tcPr>
            <w:tcW w:w="956" w:type="dxa"/>
            <w:tcBorders>
              <w:top w:val="single" w:sz="4" w:space="0" w:color="auto"/>
              <w:bottom w:val="single" w:sz="4" w:space="0" w:color="auto"/>
            </w:tcBorders>
          </w:tcPr>
          <w:p w14:paraId="03444F6C" w14:textId="5A6739C8" w:rsidR="00E447D5" w:rsidRPr="00EB2E4B" w:rsidRDefault="00E447D5" w:rsidP="00837B7A">
            <w:pPr>
              <w:rPr>
                <w:b/>
                <w:bCs/>
                <w:sz w:val="24"/>
                <w:szCs w:val="24"/>
              </w:rPr>
            </w:pPr>
            <w:r w:rsidRPr="00EB2E4B">
              <w:rPr>
                <w:b/>
                <w:bCs/>
                <w:sz w:val="24"/>
                <w:szCs w:val="24"/>
              </w:rPr>
              <w:t>CE</w:t>
            </w:r>
          </w:p>
        </w:tc>
        <w:tc>
          <w:tcPr>
            <w:tcW w:w="955" w:type="dxa"/>
            <w:tcBorders>
              <w:top w:val="single" w:sz="4" w:space="0" w:color="auto"/>
              <w:bottom w:val="single" w:sz="4" w:space="0" w:color="auto"/>
            </w:tcBorders>
          </w:tcPr>
          <w:p w14:paraId="30AF8703" w14:textId="332A1C0E" w:rsidR="00E447D5" w:rsidRPr="00EB2E4B" w:rsidRDefault="00E447D5" w:rsidP="00837B7A">
            <w:pPr>
              <w:rPr>
                <w:b/>
                <w:bCs/>
                <w:sz w:val="24"/>
                <w:szCs w:val="24"/>
              </w:rPr>
            </w:pPr>
            <w:r w:rsidRPr="00EB2E4B">
              <w:rPr>
                <w:b/>
                <w:bCs/>
                <w:sz w:val="24"/>
                <w:szCs w:val="24"/>
              </w:rPr>
              <w:t>Total</w:t>
            </w:r>
          </w:p>
        </w:tc>
        <w:tc>
          <w:tcPr>
            <w:tcW w:w="956" w:type="dxa"/>
            <w:tcBorders>
              <w:top w:val="single" w:sz="4" w:space="0" w:color="auto"/>
              <w:bottom w:val="single" w:sz="4" w:space="0" w:color="auto"/>
            </w:tcBorders>
          </w:tcPr>
          <w:p w14:paraId="0DDE9D72" w14:textId="4D1E2917" w:rsidR="00E447D5" w:rsidRPr="00EB2E4B" w:rsidRDefault="00E447D5" w:rsidP="00837B7A">
            <w:pPr>
              <w:rPr>
                <w:b/>
                <w:bCs/>
                <w:sz w:val="24"/>
                <w:szCs w:val="24"/>
              </w:rPr>
            </w:pPr>
            <w:r w:rsidRPr="00EB2E4B">
              <w:rPr>
                <w:b/>
                <w:bCs/>
                <w:sz w:val="24"/>
                <w:szCs w:val="24"/>
              </w:rPr>
              <w:t>CE</w:t>
            </w:r>
          </w:p>
        </w:tc>
        <w:tc>
          <w:tcPr>
            <w:tcW w:w="955" w:type="dxa"/>
            <w:tcBorders>
              <w:top w:val="single" w:sz="4" w:space="0" w:color="auto"/>
              <w:bottom w:val="single" w:sz="4" w:space="0" w:color="auto"/>
            </w:tcBorders>
          </w:tcPr>
          <w:p w14:paraId="1720A71A" w14:textId="392A24DA" w:rsidR="00E447D5" w:rsidRPr="00EB2E4B" w:rsidRDefault="00E447D5" w:rsidP="00837B7A">
            <w:pPr>
              <w:rPr>
                <w:b/>
                <w:bCs/>
                <w:sz w:val="24"/>
                <w:szCs w:val="24"/>
              </w:rPr>
            </w:pPr>
            <w:r w:rsidRPr="00EB2E4B">
              <w:rPr>
                <w:b/>
                <w:bCs/>
                <w:sz w:val="24"/>
                <w:szCs w:val="24"/>
              </w:rPr>
              <w:t>Total</w:t>
            </w:r>
          </w:p>
        </w:tc>
      </w:tr>
      <w:tr w:rsidR="00E447D5" w:rsidRPr="00EB2E4B" w14:paraId="4FEA15E1" w14:textId="5AB74891" w:rsidTr="005C2CB0">
        <w:trPr>
          <w:jc w:val="center"/>
        </w:trPr>
        <w:tc>
          <w:tcPr>
            <w:tcW w:w="1375" w:type="dxa"/>
            <w:tcBorders>
              <w:top w:val="single" w:sz="4" w:space="0" w:color="auto"/>
            </w:tcBorders>
          </w:tcPr>
          <w:p w14:paraId="201FF969" w14:textId="77777777" w:rsidR="00E447D5" w:rsidRPr="00EB2E4B" w:rsidRDefault="00E447D5" w:rsidP="00837B7A">
            <w:pPr>
              <w:rPr>
                <w:b/>
                <w:bCs/>
                <w:sz w:val="24"/>
                <w:szCs w:val="24"/>
              </w:rPr>
            </w:pPr>
            <w:r w:rsidRPr="00EB2E4B">
              <w:rPr>
                <w:b/>
                <w:bCs/>
                <w:sz w:val="24"/>
                <w:szCs w:val="24"/>
              </w:rPr>
              <w:t>Like</w:t>
            </w:r>
          </w:p>
        </w:tc>
        <w:tc>
          <w:tcPr>
            <w:tcW w:w="1013" w:type="dxa"/>
            <w:tcBorders>
              <w:top w:val="single" w:sz="4" w:space="0" w:color="auto"/>
            </w:tcBorders>
            <w:vAlign w:val="center"/>
          </w:tcPr>
          <w:p w14:paraId="05AFF9C1" w14:textId="1741A7E5" w:rsidR="00E447D5" w:rsidRPr="00EB2E4B" w:rsidRDefault="00E447D5" w:rsidP="00837B7A">
            <w:pPr>
              <w:rPr>
                <w:sz w:val="24"/>
                <w:szCs w:val="24"/>
              </w:rPr>
            </w:pPr>
            <w:r w:rsidRPr="00EB2E4B">
              <w:rPr>
                <w:sz w:val="24"/>
                <w:szCs w:val="24"/>
              </w:rPr>
              <w:t>98</w:t>
            </w:r>
          </w:p>
        </w:tc>
        <w:tc>
          <w:tcPr>
            <w:tcW w:w="990" w:type="dxa"/>
            <w:tcBorders>
              <w:top w:val="single" w:sz="4" w:space="0" w:color="auto"/>
            </w:tcBorders>
          </w:tcPr>
          <w:p w14:paraId="4B0D14F7" w14:textId="49633DBD" w:rsidR="00E447D5" w:rsidRPr="00EB2E4B" w:rsidRDefault="00E447D5" w:rsidP="00837B7A">
            <w:pPr>
              <w:rPr>
                <w:sz w:val="24"/>
                <w:szCs w:val="24"/>
              </w:rPr>
            </w:pPr>
            <w:r w:rsidRPr="00EB2E4B">
              <w:rPr>
                <w:sz w:val="24"/>
                <w:szCs w:val="24"/>
              </w:rPr>
              <w:t>178</w:t>
            </w:r>
          </w:p>
        </w:tc>
        <w:tc>
          <w:tcPr>
            <w:tcW w:w="956" w:type="dxa"/>
            <w:tcBorders>
              <w:top w:val="single" w:sz="4" w:space="0" w:color="auto"/>
            </w:tcBorders>
          </w:tcPr>
          <w:p w14:paraId="2CD1282F" w14:textId="408DA39C" w:rsidR="00E447D5" w:rsidRPr="00EB2E4B" w:rsidRDefault="00E447D5" w:rsidP="00837B7A">
            <w:pPr>
              <w:rPr>
                <w:sz w:val="24"/>
                <w:szCs w:val="24"/>
              </w:rPr>
            </w:pPr>
            <w:r w:rsidRPr="00EB2E4B">
              <w:rPr>
                <w:sz w:val="24"/>
                <w:szCs w:val="24"/>
              </w:rPr>
              <w:t>83</w:t>
            </w:r>
          </w:p>
        </w:tc>
        <w:tc>
          <w:tcPr>
            <w:tcW w:w="955" w:type="dxa"/>
            <w:tcBorders>
              <w:top w:val="single" w:sz="4" w:space="0" w:color="auto"/>
            </w:tcBorders>
          </w:tcPr>
          <w:p w14:paraId="701FAA45" w14:textId="3620D860" w:rsidR="00E447D5" w:rsidRPr="00EB2E4B" w:rsidRDefault="00E447D5" w:rsidP="00837B7A">
            <w:pPr>
              <w:rPr>
                <w:sz w:val="24"/>
                <w:szCs w:val="24"/>
              </w:rPr>
            </w:pPr>
            <w:r w:rsidRPr="00EB2E4B">
              <w:rPr>
                <w:sz w:val="24"/>
                <w:szCs w:val="24"/>
              </w:rPr>
              <w:t>95</w:t>
            </w:r>
          </w:p>
        </w:tc>
        <w:tc>
          <w:tcPr>
            <w:tcW w:w="956" w:type="dxa"/>
            <w:tcBorders>
              <w:top w:val="single" w:sz="4" w:space="0" w:color="auto"/>
            </w:tcBorders>
          </w:tcPr>
          <w:p w14:paraId="431AB5B7" w14:textId="411729E9" w:rsidR="00E447D5" w:rsidRPr="00EB2E4B" w:rsidRDefault="00E447D5" w:rsidP="00837B7A">
            <w:pPr>
              <w:rPr>
                <w:sz w:val="24"/>
                <w:szCs w:val="24"/>
              </w:rPr>
            </w:pPr>
            <w:r w:rsidRPr="00EB2E4B">
              <w:rPr>
                <w:sz w:val="24"/>
                <w:szCs w:val="24"/>
              </w:rPr>
              <w:t>119</w:t>
            </w:r>
          </w:p>
        </w:tc>
        <w:tc>
          <w:tcPr>
            <w:tcW w:w="955" w:type="dxa"/>
            <w:tcBorders>
              <w:top w:val="single" w:sz="4" w:space="0" w:color="auto"/>
            </w:tcBorders>
          </w:tcPr>
          <w:p w14:paraId="4467BE63" w14:textId="683267BB" w:rsidR="00E447D5" w:rsidRPr="00EB2E4B" w:rsidRDefault="00E447D5" w:rsidP="00837B7A">
            <w:pPr>
              <w:rPr>
                <w:sz w:val="24"/>
                <w:szCs w:val="24"/>
              </w:rPr>
            </w:pPr>
            <w:r w:rsidRPr="00EB2E4B">
              <w:rPr>
                <w:sz w:val="24"/>
                <w:szCs w:val="24"/>
              </w:rPr>
              <w:t>148</w:t>
            </w:r>
          </w:p>
        </w:tc>
      </w:tr>
      <w:tr w:rsidR="00E447D5" w:rsidRPr="00EB2E4B" w14:paraId="33383755" w14:textId="5AFFC264" w:rsidTr="005C2CB0">
        <w:trPr>
          <w:jc w:val="center"/>
        </w:trPr>
        <w:tc>
          <w:tcPr>
            <w:tcW w:w="1375" w:type="dxa"/>
            <w:tcBorders>
              <w:bottom w:val="single" w:sz="4" w:space="0" w:color="auto"/>
            </w:tcBorders>
          </w:tcPr>
          <w:p w14:paraId="625643E2" w14:textId="77777777" w:rsidR="00E447D5" w:rsidRPr="00EB2E4B" w:rsidRDefault="00E447D5" w:rsidP="00837B7A">
            <w:pPr>
              <w:rPr>
                <w:b/>
                <w:bCs/>
                <w:sz w:val="24"/>
                <w:szCs w:val="24"/>
              </w:rPr>
            </w:pPr>
            <w:r w:rsidRPr="00EB2E4B">
              <w:rPr>
                <w:b/>
                <w:bCs/>
                <w:sz w:val="24"/>
                <w:szCs w:val="24"/>
              </w:rPr>
              <w:t>Retweet</w:t>
            </w:r>
          </w:p>
        </w:tc>
        <w:tc>
          <w:tcPr>
            <w:tcW w:w="1013" w:type="dxa"/>
            <w:tcBorders>
              <w:bottom w:val="single" w:sz="4" w:space="0" w:color="auto"/>
            </w:tcBorders>
            <w:vAlign w:val="center"/>
          </w:tcPr>
          <w:p w14:paraId="22772B91" w14:textId="7A578F44" w:rsidR="00E447D5" w:rsidRPr="00EB2E4B" w:rsidRDefault="00E447D5" w:rsidP="00837B7A">
            <w:pPr>
              <w:rPr>
                <w:sz w:val="24"/>
                <w:szCs w:val="24"/>
              </w:rPr>
            </w:pPr>
            <w:r w:rsidRPr="00EB2E4B">
              <w:rPr>
                <w:sz w:val="24"/>
                <w:szCs w:val="24"/>
              </w:rPr>
              <w:t>15</w:t>
            </w:r>
          </w:p>
        </w:tc>
        <w:tc>
          <w:tcPr>
            <w:tcW w:w="990" w:type="dxa"/>
            <w:tcBorders>
              <w:bottom w:val="single" w:sz="4" w:space="0" w:color="auto"/>
            </w:tcBorders>
          </w:tcPr>
          <w:p w14:paraId="50CF13D2" w14:textId="4653A0F2" w:rsidR="00E447D5" w:rsidRPr="00EB2E4B" w:rsidRDefault="00E447D5" w:rsidP="00837B7A">
            <w:pPr>
              <w:rPr>
                <w:sz w:val="24"/>
                <w:szCs w:val="24"/>
              </w:rPr>
            </w:pPr>
            <w:r w:rsidRPr="00EB2E4B">
              <w:rPr>
                <w:sz w:val="24"/>
                <w:szCs w:val="24"/>
              </w:rPr>
              <w:t>40</w:t>
            </w:r>
          </w:p>
        </w:tc>
        <w:tc>
          <w:tcPr>
            <w:tcW w:w="956" w:type="dxa"/>
            <w:tcBorders>
              <w:bottom w:val="single" w:sz="4" w:space="0" w:color="auto"/>
            </w:tcBorders>
          </w:tcPr>
          <w:p w14:paraId="54648852" w14:textId="25199F10" w:rsidR="00E447D5" w:rsidRPr="00EB2E4B" w:rsidRDefault="00E447D5" w:rsidP="00837B7A">
            <w:pPr>
              <w:rPr>
                <w:sz w:val="24"/>
                <w:szCs w:val="24"/>
              </w:rPr>
            </w:pPr>
            <w:r w:rsidRPr="00EB2E4B">
              <w:rPr>
                <w:sz w:val="24"/>
                <w:szCs w:val="24"/>
              </w:rPr>
              <w:t>5</w:t>
            </w:r>
          </w:p>
        </w:tc>
        <w:tc>
          <w:tcPr>
            <w:tcW w:w="955" w:type="dxa"/>
            <w:tcBorders>
              <w:bottom w:val="single" w:sz="4" w:space="0" w:color="auto"/>
            </w:tcBorders>
          </w:tcPr>
          <w:p w14:paraId="28338551" w14:textId="5B7A0128" w:rsidR="00E447D5" w:rsidRPr="00EB2E4B" w:rsidRDefault="00E447D5" w:rsidP="00837B7A">
            <w:pPr>
              <w:rPr>
                <w:sz w:val="24"/>
                <w:szCs w:val="24"/>
              </w:rPr>
            </w:pPr>
            <w:r w:rsidRPr="00EB2E4B">
              <w:rPr>
                <w:sz w:val="24"/>
                <w:szCs w:val="24"/>
              </w:rPr>
              <w:t>25</w:t>
            </w:r>
          </w:p>
        </w:tc>
        <w:tc>
          <w:tcPr>
            <w:tcW w:w="956" w:type="dxa"/>
            <w:tcBorders>
              <w:bottom w:val="single" w:sz="4" w:space="0" w:color="auto"/>
            </w:tcBorders>
          </w:tcPr>
          <w:p w14:paraId="63256413" w14:textId="6E897CBD" w:rsidR="00E447D5" w:rsidRPr="00EB2E4B" w:rsidRDefault="00E447D5" w:rsidP="00837B7A">
            <w:pPr>
              <w:rPr>
                <w:sz w:val="24"/>
                <w:szCs w:val="24"/>
              </w:rPr>
            </w:pPr>
            <w:r w:rsidRPr="00EB2E4B">
              <w:rPr>
                <w:sz w:val="24"/>
                <w:szCs w:val="24"/>
              </w:rPr>
              <w:t>32</w:t>
            </w:r>
          </w:p>
        </w:tc>
        <w:tc>
          <w:tcPr>
            <w:tcW w:w="955" w:type="dxa"/>
            <w:tcBorders>
              <w:bottom w:val="single" w:sz="4" w:space="0" w:color="auto"/>
            </w:tcBorders>
          </w:tcPr>
          <w:p w14:paraId="20D15BC9" w14:textId="66B63A3E" w:rsidR="00E447D5" w:rsidRPr="00EB2E4B" w:rsidRDefault="00E447D5" w:rsidP="00837B7A">
            <w:pPr>
              <w:rPr>
                <w:sz w:val="24"/>
                <w:szCs w:val="24"/>
              </w:rPr>
            </w:pPr>
            <w:r w:rsidRPr="00EB2E4B">
              <w:rPr>
                <w:sz w:val="24"/>
                <w:szCs w:val="24"/>
              </w:rPr>
              <w:t>47</w:t>
            </w:r>
          </w:p>
        </w:tc>
      </w:tr>
      <w:tr w:rsidR="00E447D5" w:rsidRPr="00EB2E4B" w14:paraId="3DC308C9" w14:textId="1ABADF40" w:rsidTr="005C2CB0">
        <w:trPr>
          <w:jc w:val="center"/>
        </w:trPr>
        <w:tc>
          <w:tcPr>
            <w:tcW w:w="1375" w:type="dxa"/>
            <w:tcBorders>
              <w:top w:val="single" w:sz="4" w:space="0" w:color="auto"/>
            </w:tcBorders>
          </w:tcPr>
          <w:p w14:paraId="0EAF7BC4" w14:textId="77777777" w:rsidR="00E447D5" w:rsidRPr="00EB2E4B" w:rsidRDefault="00E447D5" w:rsidP="00837B7A">
            <w:pPr>
              <w:rPr>
                <w:b/>
                <w:bCs/>
                <w:sz w:val="24"/>
                <w:szCs w:val="24"/>
              </w:rPr>
            </w:pPr>
            <w:proofErr w:type="spellStart"/>
            <w:r w:rsidRPr="00EB2E4B">
              <w:rPr>
                <w:b/>
                <w:bCs/>
                <w:sz w:val="24"/>
                <w:szCs w:val="24"/>
              </w:rPr>
              <w:t>Obs</w:t>
            </w:r>
            <w:proofErr w:type="spellEnd"/>
          </w:p>
        </w:tc>
        <w:tc>
          <w:tcPr>
            <w:tcW w:w="1013" w:type="dxa"/>
            <w:tcBorders>
              <w:top w:val="single" w:sz="4" w:space="0" w:color="auto"/>
            </w:tcBorders>
            <w:vAlign w:val="center"/>
          </w:tcPr>
          <w:p w14:paraId="7D2BD768" w14:textId="63628963" w:rsidR="00E447D5" w:rsidRPr="00EB2E4B" w:rsidRDefault="00E447D5" w:rsidP="00837B7A">
            <w:pPr>
              <w:rPr>
                <w:sz w:val="24"/>
                <w:szCs w:val="24"/>
              </w:rPr>
            </w:pPr>
            <w:r w:rsidRPr="00EB2E4B">
              <w:rPr>
                <w:sz w:val="24"/>
                <w:szCs w:val="24"/>
              </w:rPr>
              <w:t>120</w:t>
            </w:r>
          </w:p>
        </w:tc>
        <w:tc>
          <w:tcPr>
            <w:tcW w:w="990" w:type="dxa"/>
            <w:tcBorders>
              <w:top w:val="single" w:sz="4" w:space="0" w:color="auto"/>
            </w:tcBorders>
            <w:vAlign w:val="center"/>
          </w:tcPr>
          <w:p w14:paraId="15F39C62" w14:textId="51C5AA07" w:rsidR="00E447D5" w:rsidRPr="00EB2E4B" w:rsidRDefault="00E447D5" w:rsidP="00837B7A">
            <w:pPr>
              <w:rPr>
                <w:sz w:val="24"/>
                <w:szCs w:val="24"/>
              </w:rPr>
            </w:pPr>
            <w:r w:rsidRPr="00EB2E4B">
              <w:rPr>
                <w:sz w:val="24"/>
                <w:szCs w:val="24"/>
              </w:rPr>
              <w:t>330</w:t>
            </w:r>
          </w:p>
        </w:tc>
        <w:tc>
          <w:tcPr>
            <w:tcW w:w="956" w:type="dxa"/>
            <w:tcBorders>
              <w:top w:val="single" w:sz="4" w:space="0" w:color="auto"/>
            </w:tcBorders>
          </w:tcPr>
          <w:p w14:paraId="25224AE2" w14:textId="4E8F9188" w:rsidR="00E447D5" w:rsidRPr="00EB2E4B" w:rsidRDefault="00E447D5" w:rsidP="00837B7A">
            <w:pPr>
              <w:rPr>
                <w:sz w:val="24"/>
                <w:szCs w:val="24"/>
              </w:rPr>
            </w:pPr>
            <w:r w:rsidRPr="00EB2E4B">
              <w:rPr>
                <w:sz w:val="24"/>
                <w:szCs w:val="24"/>
              </w:rPr>
              <w:t>95</w:t>
            </w:r>
          </w:p>
        </w:tc>
        <w:tc>
          <w:tcPr>
            <w:tcW w:w="955" w:type="dxa"/>
            <w:tcBorders>
              <w:top w:val="single" w:sz="4" w:space="0" w:color="auto"/>
            </w:tcBorders>
          </w:tcPr>
          <w:p w14:paraId="79EAE013" w14:textId="372A3563" w:rsidR="00E447D5" w:rsidRPr="00EB2E4B" w:rsidRDefault="00E447D5" w:rsidP="00837B7A">
            <w:pPr>
              <w:rPr>
                <w:sz w:val="24"/>
                <w:szCs w:val="24"/>
              </w:rPr>
            </w:pPr>
            <w:r w:rsidRPr="00EB2E4B">
              <w:rPr>
                <w:sz w:val="24"/>
                <w:szCs w:val="24"/>
              </w:rPr>
              <w:t>278</w:t>
            </w:r>
          </w:p>
        </w:tc>
        <w:tc>
          <w:tcPr>
            <w:tcW w:w="956" w:type="dxa"/>
            <w:tcBorders>
              <w:top w:val="single" w:sz="4" w:space="0" w:color="auto"/>
            </w:tcBorders>
          </w:tcPr>
          <w:p w14:paraId="56DC91A3" w14:textId="5BBDCF7C" w:rsidR="00E447D5" w:rsidRPr="00EB2E4B" w:rsidRDefault="00E447D5" w:rsidP="00837B7A">
            <w:pPr>
              <w:rPr>
                <w:sz w:val="24"/>
                <w:szCs w:val="24"/>
              </w:rPr>
            </w:pPr>
            <w:r w:rsidRPr="00EB2E4B">
              <w:rPr>
                <w:sz w:val="24"/>
                <w:szCs w:val="24"/>
              </w:rPr>
              <w:t>148</w:t>
            </w:r>
          </w:p>
        </w:tc>
        <w:tc>
          <w:tcPr>
            <w:tcW w:w="955" w:type="dxa"/>
            <w:tcBorders>
              <w:top w:val="single" w:sz="4" w:space="0" w:color="auto"/>
            </w:tcBorders>
          </w:tcPr>
          <w:p w14:paraId="0E135AB1" w14:textId="3195940D" w:rsidR="00E447D5" w:rsidRPr="00EB2E4B" w:rsidRDefault="00E447D5" w:rsidP="00837B7A">
            <w:pPr>
              <w:rPr>
                <w:sz w:val="24"/>
                <w:szCs w:val="24"/>
              </w:rPr>
            </w:pPr>
            <w:r w:rsidRPr="00EB2E4B">
              <w:rPr>
                <w:sz w:val="24"/>
                <w:szCs w:val="24"/>
              </w:rPr>
              <w:t>315</w:t>
            </w:r>
          </w:p>
        </w:tc>
      </w:tr>
      <w:tr w:rsidR="00E447D5" w:rsidRPr="00EB2E4B" w14:paraId="2760DEE7" w14:textId="178AF3DF" w:rsidTr="005C2CB0">
        <w:trPr>
          <w:jc w:val="center"/>
        </w:trPr>
        <w:tc>
          <w:tcPr>
            <w:tcW w:w="1375" w:type="dxa"/>
            <w:tcBorders>
              <w:bottom w:val="single" w:sz="4" w:space="0" w:color="auto"/>
            </w:tcBorders>
          </w:tcPr>
          <w:p w14:paraId="7E34CECC" w14:textId="77777777" w:rsidR="00E447D5" w:rsidRPr="00EB2E4B" w:rsidRDefault="00E447D5" w:rsidP="00837B7A">
            <w:pPr>
              <w:rPr>
                <w:b/>
                <w:bCs/>
                <w:sz w:val="24"/>
                <w:szCs w:val="24"/>
              </w:rPr>
            </w:pPr>
            <w:proofErr w:type="spellStart"/>
            <w:r w:rsidRPr="00EB2E4B">
              <w:rPr>
                <w:b/>
                <w:bCs/>
                <w:sz w:val="24"/>
                <w:szCs w:val="24"/>
              </w:rPr>
              <w:t>Obs</w:t>
            </w:r>
            <w:proofErr w:type="spellEnd"/>
            <w:r w:rsidRPr="00EB2E4B">
              <w:rPr>
                <w:b/>
                <w:bCs/>
                <w:sz w:val="24"/>
                <w:szCs w:val="24"/>
              </w:rPr>
              <w:t>%</w:t>
            </w:r>
          </w:p>
        </w:tc>
        <w:tc>
          <w:tcPr>
            <w:tcW w:w="1013" w:type="dxa"/>
            <w:tcBorders>
              <w:bottom w:val="single" w:sz="4" w:space="0" w:color="auto"/>
            </w:tcBorders>
            <w:vAlign w:val="center"/>
          </w:tcPr>
          <w:p w14:paraId="4AEE68C3" w14:textId="67CA7DCC" w:rsidR="00E447D5" w:rsidRPr="00EB2E4B" w:rsidRDefault="00473E73" w:rsidP="00837B7A">
            <w:pPr>
              <w:rPr>
                <w:sz w:val="24"/>
                <w:szCs w:val="24"/>
              </w:rPr>
            </w:pPr>
            <w:r w:rsidRPr="00EB2E4B">
              <w:rPr>
                <w:sz w:val="24"/>
                <w:szCs w:val="24"/>
              </w:rPr>
              <w:t>36.36%</w:t>
            </w:r>
          </w:p>
        </w:tc>
        <w:tc>
          <w:tcPr>
            <w:tcW w:w="990" w:type="dxa"/>
            <w:tcBorders>
              <w:bottom w:val="single" w:sz="4" w:space="0" w:color="auto"/>
            </w:tcBorders>
            <w:vAlign w:val="center"/>
          </w:tcPr>
          <w:p w14:paraId="3735D609" w14:textId="19886AA0" w:rsidR="00E447D5" w:rsidRPr="00EB2E4B" w:rsidRDefault="00E447D5" w:rsidP="00837B7A">
            <w:pPr>
              <w:rPr>
                <w:sz w:val="24"/>
                <w:szCs w:val="24"/>
              </w:rPr>
            </w:pPr>
            <w:r w:rsidRPr="00EB2E4B">
              <w:rPr>
                <w:sz w:val="24"/>
                <w:szCs w:val="24"/>
              </w:rPr>
              <w:t>100%</w:t>
            </w:r>
          </w:p>
        </w:tc>
        <w:tc>
          <w:tcPr>
            <w:tcW w:w="956" w:type="dxa"/>
            <w:tcBorders>
              <w:bottom w:val="single" w:sz="4" w:space="0" w:color="auto"/>
            </w:tcBorders>
          </w:tcPr>
          <w:p w14:paraId="143B79C4" w14:textId="546F61D9" w:rsidR="00E447D5" w:rsidRPr="00EB2E4B" w:rsidRDefault="00473E73" w:rsidP="00837B7A">
            <w:pPr>
              <w:rPr>
                <w:sz w:val="24"/>
                <w:szCs w:val="24"/>
              </w:rPr>
            </w:pPr>
            <w:r w:rsidRPr="00EB2E4B">
              <w:rPr>
                <w:sz w:val="24"/>
                <w:szCs w:val="24"/>
              </w:rPr>
              <w:t>34.17%</w:t>
            </w:r>
          </w:p>
        </w:tc>
        <w:tc>
          <w:tcPr>
            <w:tcW w:w="955" w:type="dxa"/>
            <w:tcBorders>
              <w:bottom w:val="single" w:sz="4" w:space="0" w:color="auto"/>
            </w:tcBorders>
          </w:tcPr>
          <w:p w14:paraId="0AA1B4D5" w14:textId="30D06F09" w:rsidR="00E447D5" w:rsidRPr="00EB2E4B" w:rsidRDefault="00E447D5" w:rsidP="00837B7A">
            <w:pPr>
              <w:rPr>
                <w:sz w:val="24"/>
                <w:szCs w:val="24"/>
              </w:rPr>
            </w:pPr>
            <w:r w:rsidRPr="00EB2E4B">
              <w:rPr>
                <w:sz w:val="24"/>
                <w:szCs w:val="24"/>
              </w:rPr>
              <w:t>100%</w:t>
            </w:r>
          </w:p>
        </w:tc>
        <w:tc>
          <w:tcPr>
            <w:tcW w:w="956" w:type="dxa"/>
            <w:tcBorders>
              <w:bottom w:val="single" w:sz="4" w:space="0" w:color="auto"/>
            </w:tcBorders>
          </w:tcPr>
          <w:p w14:paraId="3C836A8C" w14:textId="3FD95488" w:rsidR="00E447D5" w:rsidRPr="00EB2E4B" w:rsidRDefault="00473E73" w:rsidP="00837B7A">
            <w:pPr>
              <w:rPr>
                <w:sz w:val="24"/>
                <w:szCs w:val="24"/>
              </w:rPr>
            </w:pPr>
            <w:r w:rsidRPr="00EB2E4B">
              <w:rPr>
                <w:sz w:val="24"/>
                <w:szCs w:val="24"/>
              </w:rPr>
              <w:t>46.98%</w:t>
            </w:r>
          </w:p>
        </w:tc>
        <w:tc>
          <w:tcPr>
            <w:tcW w:w="955" w:type="dxa"/>
            <w:tcBorders>
              <w:bottom w:val="single" w:sz="4" w:space="0" w:color="auto"/>
            </w:tcBorders>
          </w:tcPr>
          <w:p w14:paraId="48BA74FF" w14:textId="47406D15" w:rsidR="00E447D5" w:rsidRPr="00EB2E4B" w:rsidRDefault="00E447D5" w:rsidP="00837B7A">
            <w:pPr>
              <w:rPr>
                <w:sz w:val="24"/>
                <w:szCs w:val="24"/>
              </w:rPr>
            </w:pPr>
            <w:r w:rsidRPr="00EB2E4B">
              <w:rPr>
                <w:sz w:val="24"/>
                <w:szCs w:val="24"/>
              </w:rPr>
              <w:t>100%</w:t>
            </w:r>
          </w:p>
        </w:tc>
      </w:tr>
    </w:tbl>
    <w:p w14:paraId="1A9B45AC" w14:textId="5B112A6B" w:rsidR="00252C6F" w:rsidRPr="00EB2E4B" w:rsidRDefault="00252C6F" w:rsidP="00E447D5">
      <w:pPr>
        <w:rPr>
          <w:sz w:val="24"/>
          <w:szCs w:val="24"/>
        </w:rPr>
      </w:pPr>
    </w:p>
    <w:p w14:paraId="1F77E8C9" w14:textId="77777777" w:rsidR="00233E7A" w:rsidRPr="00EB2E4B" w:rsidRDefault="00233E7A" w:rsidP="00233E7A">
      <w:pPr>
        <w:rPr>
          <w:sz w:val="24"/>
          <w:szCs w:val="24"/>
        </w:rPr>
      </w:pPr>
    </w:p>
    <w:p w14:paraId="53F9365A" w14:textId="7D77B49B" w:rsidR="00D21890" w:rsidRPr="00EB2E4B" w:rsidRDefault="00D21890" w:rsidP="00D21890">
      <w:r w:rsidRPr="00EB2E4B">
        <w:lastRenderedPageBreak/>
        <w:t xml:space="preserve">Figure 2 </w:t>
      </w:r>
      <w:r w:rsidR="00473E73" w:rsidRPr="00EB2E4B">
        <w:t>describes</w:t>
      </w:r>
      <w:r w:rsidRPr="00EB2E4B">
        <w:t xml:space="preserve"> the communication trend from the </w:t>
      </w:r>
      <w:r w:rsidR="00586687" w:rsidRPr="00EB2E4B">
        <w:t>pandemic's start</w:t>
      </w:r>
      <w:r w:rsidRPr="00EB2E4B">
        <w:t xml:space="preserve"> until </w:t>
      </w:r>
      <w:r w:rsidR="00586687" w:rsidRPr="00EB2E4B">
        <w:t>data extraction</w:t>
      </w:r>
      <w:r w:rsidR="00473E73" w:rsidRPr="00EB2E4B">
        <w:t xml:space="preserve">. </w:t>
      </w:r>
      <w:r w:rsidR="00586687" w:rsidRPr="00EB2E4B">
        <w:t xml:space="preserve">Each company represents a progressive development trend </w:t>
      </w:r>
      <w:r w:rsidR="00EB2E4B">
        <w:t>in</w:t>
      </w:r>
      <w:r w:rsidR="00586687" w:rsidRPr="00EB2E4B">
        <w:t xml:space="preserve"> CE communication</w:t>
      </w:r>
      <w:r w:rsidR="00473E73" w:rsidRPr="00EB2E4B">
        <w:t>. T</w:t>
      </w:r>
      <w:r w:rsidRPr="00EB2E4B">
        <w:t xml:space="preserve">he </w:t>
      </w:r>
      <w:r w:rsidR="00473E73" w:rsidRPr="00EB2E4B">
        <w:t xml:space="preserve">spread </w:t>
      </w:r>
      <w:r w:rsidRPr="00EB2E4B">
        <w:t>of Covid-19</w:t>
      </w:r>
      <w:r w:rsidR="00473E73" w:rsidRPr="00EB2E4B">
        <w:t xml:space="preserve"> has determined a growing interest </w:t>
      </w:r>
      <w:r w:rsidR="00586687" w:rsidRPr="00EB2E4B">
        <w:t>i</w:t>
      </w:r>
      <w:r w:rsidR="00473E73" w:rsidRPr="00EB2E4B">
        <w:t>n sustainability and CE-related issues. Furthermore</w:t>
      </w:r>
      <w:r w:rsidRPr="00EB2E4B">
        <w:t xml:space="preserve">, </w:t>
      </w:r>
      <w:r w:rsidR="00473E73" w:rsidRPr="00EB2E4B">
        <w:t>our</w:t>
      </w:r>
      <w:r w:rsidRPr="00EB2E4B">
        <w:t xml:space="preserve"> </w:t>
      </w:r>
      <w:r w:rsidR="00473E73" w:rsidRPr="00EB2E4B">
        <w:t>results</w:t>
      </w:r>
      <w:r w:rsidRPr="00EB2E4B">
        <w:t xml:space="preserve"> suggest </w:t>
      </w:r>
      <w:r w:rsidR="00473E73" w:rsidRPr="00EB2E4B">
        <w:t xml:space="preserve">an increasing </w:t>
      </w:r>
      <w:r w:rsidRPr="00EB2E4B">
        <w:t xml:space="preserve">awareness of agri-food </w:t>
      </w:r>
      <w:r w:rsidR="00473E73" w:rsidRPr="00EB2E4B">
        <w:t xml:space="preserve">industries and institutions </w:t>
      </w:r>
      <w:r w:rsidRPr="00EB2E4B">
        <w:t xml:space="preserve">of the need to be proactive in overcoming the crisis </w:t>
      </w:r>
      <w:r w:rsidR="00473E73" w:rsidRPr="00EB2E4B">
        <w:t>allowing the</w:t>
      </w:r>
      <w:r w:rsidRPr="00EB2E4B">
        <w:t xml:space="preserve"> disclos</w:t>
      </w:r>
      <w:r w:rsidR="00473E73" w:rsidRPr="00EB2E4B">
        <w:t xml:space="preserve">ure of sustainability and </w:t>
      </w:r>
      <w:r w:rsidRPr="00EB2E4B">
        <w:t xml:space="preserve">CE </w:t>
      </w:r>
      <w:r w:rsidR="00473E73" w:rsidRPr="00EB2E4B">
        <w:t xml:space="preserve">performances </w:t>
      </w:r>
      <w:proofErr w:type="gramStart"/>
      <w:r w:rsidR="00473E73" w:rsidRPr="00EB2E4B">
        <w:t>in order to</w:t>
      </w:r>
      <w:proofErr w:type="gramEnd"/>
      <w:r w:rsidR="00473E73" w:rsidRPr="00EB2E4B">
        <w:t xml:space="preserve"> conquer </w:t>
      </w:r>
      <w:r w:rsidRPr="00EB2E4B">
        <w:t>legitimacy from stakeholder</w:t>
      </w:r>
      <w:r w:rsidR="00473E73" w:rsidRPr="00EB2E4B">
        <w:t xml:space="preserve">s and </w:t>
      </w:r>
      <w:r w:rsidRPr="00EB2E4B">
        <w:t xml:space="preserve">engage with them </w:t>
      </w:r>
      <w:r w:rsidR="00473E73" w:rsidRPr="00EB2E4B">
        <w:t xml:space="preserve">in </w:t>
      </w:r>
      <w:r w:rsidRPr="00EB2E4B">
        <w:t>the restart of the whole</w:t>
      </w:r>
      <w:r w:rsidR="00473E73" w:rsidRPr="00EB2E4B">
        <w:t xml:space="preserve"> agri-food supply chain</w:t>
      </w:r>
      <w:r w:rsidRPr="00EB2E4B">
        <w:t xml:space="preserve">. </w:t>
      </w:r>
    </w:p>
    <w:p w14:paraId="74AC55B2" w14:textId="12608F38" w:rsidR="00750DF4" w:rsidRPr="00EB2E4B" w:rsidRDefault="00750DF4" w:rsidP="00D21890"/>
    <w:p w14:paraId="76FA0D62" w14:textId="4A47C266" w:rsidR="00D21890" w:rsidRPr="00EB2E4B" w:rsidRDefault="00712389" w:rsidP="005C2CB0">
      <w:pPr>
        <w:pStyle w:val="FigureCaption"/>
        <w:spacing w:line="276" w:lineRule="auto"/>
      </w:pPr>
      <w:r w:rsidRPr="00EB2E4B">
        <w:t xml:space="preserve">Fig. </w:t>
      </w:r>
      <w:r w:rsidR="005C2CB0" w:rsidRPr="00EB2E4B">
        <w:t>2</w:t>
      </w:r>
      <w:r w:rsidRPr="00EB2E4B">
        <w:t xml:space="preserve">. </w:t>
      </w:r>
      <w:r w:rsidR="005C2CB0" w:rsidRPr="00EB2E4B">
        <w:t>Evolution of CE Tweets from 2020 to 2022</w:t>
      </w:r>
      <w:r w:rsidR="00D21890" w:rsidRPr="00EB2E4B">
        <w:rPr>
          <w:noProof/>
          <w:sz w:val="24"/>
          <w:szCs w:val="24"/>
        </w:rPr>
        <w:drawing>
          <wp:anchor distT="0" distB="0" distL="114300" distR="114300" simplePos="0" relativeHeight="251664384" behindDoc="0" locked="0" layoutInCell="1" allowOverlap="1" wp14:anchorId="455BA409" wp14:editId="3C6777B9">
            <wp:simplePos x="0" y="0"/>
            <wp:positionH relativeFrom="column">
              <wp:posOffset>3175</wp:posOffset>
            </wp:positionH>
            <wp:positionV relativeFrom="paragraph">
              <wp:posOffset>0</wp:posOffset>
            </wp:positionV>
            <wp:extent cx="4551680" cy="1630680"/>
            <wp:effectExtent l="0" t="0" r="1270" b="7620"/>
            <wp:wrapTopAndBottom/>
            <wp:docPr id="49" name="Gra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C2CB0" w:rsidRPr="00EB2E4B">
        <w:t xml:space="preserve"> (as of 10th of June 2022).</w:t>
      </w:r>
    </w:p>
    <w:p w14:paraId="3DF9A7AF" w14:textId="523EF5AF" w:rsidR="005C2CB0" w:rsidRPr="00EB2E4B" w:rsidRDefault="005C2CB0" w:rsidP="005C2CB0">
      <w:pPr>
        <w:pStyle w:val="FigureCaption"/>
        <w:spacing w:line="276" w:lineRule="auto"/>
        <w:rPr>
          <w:sz w:val="24"/>
          <w:szCs w:val="24"/>
        </w:rPr>
      </w:pPr>
      <w:r w:rsidRPr="00EB2E4B">
        <w:t>Source: authors</w:t>
      </w:r>
      <w:r w:rsidR="0083160B" w:rsidRPr="00EB2E4B">
        <w:t>'</w:t>
      </w:r>
      <w:r w:rsidRPr="00EB2E4B">
        <w:t xml:space="preserve"> elaboration</w:t>
      </w:r>
    </w:p>
    <w:p w14:paraId="0AE53CC6" w14:textId="77777777" w:rsidR="00D21890" w:rsidRPr="00EB2E4B" w:rsidRDefault="00D21890" w:rsidP="00D21890">
      <w:pPr>
        <w:rPr>
          <w:sz w:val="24"/>
          <w:szCs w:val="24"/>
        </w:rPr>
      </w:pPr>
    </w:p>
    <w:p w14:paraId="7A33E968" w14:textId="2726652A" w:rsidR="00D21890" w:rsidRPr="00EB2E4B" w:rsidRDefault="00D21890" w:rsidP="00D21890">
      <w:r w:rsidRPr="00EB2E4B">
        <w:t xml:space="preserve">The </w:t>
      </w:r>
      <w:r w:rsidR="00586687" w:rsidRPr="00EB2E4B">
        <w:t xml:space="preserve">CE </w:t>
      </w:r>
      <w:r w:rsidRPr="00EB2E4B">
        <w:t xml:space="preserve">tweets have been </w:t>
      </w:r>
      <w:r w:rsidR="00586687" w:rsidRPr="00EB2E4B">
        <w:t>classified</w:t>
      </w:r>
      <w:r w:rsidRPr="00EB2E4B">
        <w:t xml:space="preserve"> </w:t>
      </w:r>
      <w:r w:rsidR="00586687" w:rsidRPr="00EB2E4B">
        <w:t>according to</w:t>
      </w:r>
      <w:r w:rsidRPr="00EB2E4B">
        <w:t xml:space="preserve"> the </w:t>
      </w:r>
      <w:r w:rsidR="00586687" w:rsidRPr="00EB2E4B">
        <w:t xml:space="preserve">4 R </w:t>
      </w:r>
      <w:r w:rsidRPr="00EB2E4B">
        <w:t xml:space="preserve">analytical framework developed. Table </w:t>
      </w:r>
      <w:r w:rsidR="00F90F98">
        <w:t>4</w:t>
      </w:r>
      <w:r w:rsidRPr="00EB2E4B">
        <w:t xml:space="preserve"> </w:t>
      </w:r>
      <w:r w:rsidR="00586687" w:rsidRPr="00EB2E4B">
        <w:t>shows</w:t>
      </w:r>
      <w:r w:rsidRPr="00EB2E4B">
        <w:t xml:space="preserve"> the descriptive statistics </w:t>
      </w:r>
      <w:r w:rsidR="00586687" w:rsidRPr="00EB2E4B">
        <w:t>of each</w:t>
      </w:r>
      <w:r w:rsidRPr="00EB2E4B">
        <w:t xml:space="preserve"> CE </w:t>
      </w:r>
      <w:r w:rsidR="00586687" w:rsidRPr="00EB2E4B">
        <w:t>side</w:t>
      </w:r>
      <w:r w:rsidRPr="00EB2E4B">
        <w:t xml:space="preserve"> (reduce, reuse, recycle, redesign, general). </w:t>
      </w:r>
      <w:r w:rsidR="00586687" w:rsidRPr="00EB2E4B">
        <w:t>The results</w:t>
      </w:r>
      <w:r w:rsidRPr="00EB2E4B">
        <w:t xml:space="preserve"> </w:t>
      </w:r>
      <w:r w:rsidR="00586687" w:rsidRPr="00EB2E4B">
        <w:t>indicate</w:t>
      </w:r>
      <w:r w:rsidRPr="00EB2E4B">
        <w:t xml:space="preserve"> that the </w:t>
      </w:r>
      <w:r w:rsidR="00586687" w:rsidRPr="00EB2E4B">
        <w:t xml:space="preserve">CE </w:t>
      </w:r>
      <w:r w:rsidRPr="00EB2E4B">
        <w:t xml:space="preserve">disclosure </w:t>
      </w:r>
      <w:r w:rsidR="00586687" w:rsidRPr="00EB2E4B">
        <w:t xml:space="preserve">of the agri-food companies examined </w:t>
      </w:r>
      <w:r w:rsidRPr="00EB2E4B">
        <w:t xml:space="preserve">has been mainly focused on the </w:t>
      </w:r>
      <w:r w:rsidR="00586687" w:rsidRPr="00EB2E4B">
        <w:t>"</w:t>
      </w:r>
      <w:r w:rsidRPr="00EB2E4B">
        <w:t>recycling</w:t>
      </w:r>
      <w:r w:rsidR="00586687" w:rsidRPr="00EB2E4B">
        <w:t>"</w:t>
      </w:r>
      <w:r w:rsidRPr="00EB2E4B">
        <w:t xml:space="preserve"> dimension</w:t>
      </w:r>
      <w:r w:rsidR="00586687" w:rsidRPr="00EB2E4B">
        <w:t xml:space="preserve"> both for company A</w:t>
      </w:r>
      <w:r w:rsidRPr="00EB2E4B">
        <w:t xml:space="preserve"> (</w:t>
      </w:r>
      <w:proofErr w:type="gramStart"/>
      <w:r w:rsidRPr="00EB2E4B">
        <w:t>i.e.</w:t>
      </w:r>
      <w:proofErr w:type="gramEnd"/>
      <w:r w:rsidRPr="00EB2E4B">
        <w:t xml:space="preserve"> </w:t>
      </w:r>
      <w:r w:rsidR="00586687" w:rsidRPr="00EB2E4B">
        <w:t>37.5</w:t>
      </w:r>
      <w:r w:rsidRPr="00EB2E4B">
        <w:t>%)</w:t>
      </w:r>
      <w:r w:rsidR="00586687" w:rsidRPr="00EB2E4B">
        <w:t xml:space="preserve"> and Company B (i.e., 25.67), while the "reduce" dimension is the most disclosed by Company B (i.e., 36.84). On the contrary, the reuse and redesign dimensions are generally less disclosed. </w:t>
      </w:r>
      <w:proofErr w:type="gramStart"/>
      <w:r w:rsidR="00586687" w:rsidRPr="00EB2E4B">
        <w:t>In particular, Company</w:t>
      </w:r>
      <w:proofErr w:type="gramEnd"/>
      <w:r w:rsidR="00586687" w:rsidRPr="00EB2E4B">
        <w:t xml:space="preserve"> A does not disclose reuse messages, while Company B does not provide redesign content in their twits. Company C, instead, equally unveils each dimension, focusing on reducing and recycling practices.</w:t>
      </w:r>
      <w:r w:rsidRPr="00EB2E4B">
        <w:t xml:space="preserve"> </w:t>
      </w:r>
      <w:r w:rsidR="00586687" w:rsidRPr="00EB2E4B">
        <w:t>Our</w:t>
      </w:r>
      <w:r w:rsidRPr="00EB2E4B">
        <w:t xml:space="preserve"> </w:t>
      </w:r>
      <w:r w:rsidR="00586687" w:rsidRPr="00EB2E4B">
        <w:t>findings</w:t>
      </w:r>
      <w:r w:rsidRPr="00EB2E4B">
        <w:t xml:space="preserve"> are in line with </w:t>
      </w:r>
      <w:r w:rsidR="00586687" w:rsidRPr="00EB2E4B">
        <w:t>other research</w:t>
      </w:r>
      <w:r w:rsidRPr="00EB2E4B">
        <w:t xml:space="preserve"> on CE disclosure (e.g., </w:t>
      </w:r>
      <w:proofErr w:type="spellStart"/>
      <w:r w:rsidR="00EA74A3" w:rsidRPr="00EB2E4B">
        <w:t>Barnabè</w:t>
      </w:r>
      <w:proofErr w:type="spellEnd"/>
      <w:r w:rsidR="00EA74A3" w:rsidRPr="00EB2E4B">
        <w:t xml:space="preserve"> and Nazir, 2020</w:t>
      </w:r>
      <w:r w:rsidRPr="00EB2E4B">
        <w:t>;</w:t>
      </w:r>
      <w:r w:rsidR="00EA74A3" w:rsidRPr="00EB2E4B">
        <w:t xml:space="preserve"> </w:t>
      </w:r>
      <w:proofErr w:type="spellStart"/>
      <w:r w:rsidR="00EA74A3" w:rsidRPr="00EB2E4B">
        <w:t>Barnabè</w:t>
      </w:r>
      <w:proofErr w:type="spellEnd"/>
      <w:r w:rsidR="00EA74A3" w:rsidRPr="00EB2E4B">
        <w:t xml:space="preserve"> and Nazir, 2021</w:t>
      </w:r>
      <w:r w:rsidRPr="00EB2E4B">
        <w:t xml:space="preserve">), according to which the </w:t>
      </w:r>
      <w:r w:rsidR="00586687" w:rsidRPr="00EB2E4B">
        <w:t>interest</w:t>
      </w:r>
      <w:r w:rsidRPr="00EB2E4B">
        <w:t xml:space="preserve"> </w:t>
      </w:r>
      <w:r w:rsidR="00586687" w:rsidRPr="00EB2E4B">
        <w:t>in</w:t>
      </w:r>
      <w:r w:rsidRPr="00EB2E4B">
        <w:t xml:space="preserve"> recycling</w:t>
      </w:r>
      <w:r w:rsidR="00586687" w:rsidRPr="00EB2E4B">
        <w:t xml:space="preserve"> practices is antecedent concerning the spread of CE models and – in turn</w:t>
      </w:r>
      <w:proofErr w:type="gramStart"/>
      <w:r w:rsidR="00586687" w:rsidRPr="00EB2E4B">
        <w:t xml:space="preserve">- </w:t>
      </w:r>
      <w:r w:rsidRPr="00EB2E4B">
        <w:t xml:space="preserve"> there</w:t>
      </w:r>
      <w:proofErr w:type="gramEnd"/>
      <w:r w:rsidRPr="00EB2E4B">
        <w:t xml:space="preserve"> has been a </w:t>
      </w:r>
      <w:r w:rsidR="00586687" w:rsidRPr="00EB2E4B">
        <w:t>greater</w:t>
      </w:r>
      <w:r w:rsidRPr="00EB2E4B">
        <w:t xml:space="preserve"> awareness</w:t>
      </w:r>
      <w:r w:rsidR="00586687" w:rsidRPr="00EB2E4B">
        <w:t xml:space="preserve"> among stakeholders. </w:t>
      </w:r>
      <w:r w:rsidR="005C2CB0" w:rsidRPr="00EB2E4B">
        <w:t>Since</w:t>
      </w:r>
      <w:r w:rsidRPr="00EB2E4B">
        <w:t xml:space="preserve"> recycling practices are more straightforward than reducing, </w:t>
      </w:r>
      <w:proofErr w:type="gramStart"/>
      <w:r w:rsidRPr="00EB2E4B">
        <w:t>reusing</w:t>
      </w:r>
      <w:proofErr w:type="gramEnd"/>
      <w:r w:rsidRPr="00EB2E4B">
        <w:t xml:space="preserve"> and redesigning, disclosing these issues is easier for companies, no-profit organizations and policymakers. </w:t>
      </w:r>
    </w:p>
    <w:p w14:paraId="36AA2E13" w14:textId="39B65C27" w:rsidR="0017644F" w:rsidRPr="00EB2E4B" w:rsidRDefault="0017644F" w:rsidP="00D21890"/>
    <w:p w14:paraId="0763D3B8" w14:textId="345F2474" w:rsidR="00712389" w:rsidRPr="00EB2E4B" w:rsidRDefault="00712389" w:rsidP="00712389">
      <w:pPr>
        <w:pStyle w:val="TableCaption"/>
        <w:spacing w:after="120" w:line="276" w:lineRule="auto"/>
        <w:ind w:left="1915" w:right="1800"/>
      </w:pPr>
      <w:r w:rsidRPr="00EB2E4B">
        <w:lastRenderedPageBreak/>
        <w:t xml:space="preserve">Table </w:t>
      </w:r>
      <w:r w:rsidR="00F90F98">
        <w:t>4</w:t>
      </w:r>
      <w:r w:rsidRPr="00EB2E4B">
        <w:t xml:space="preserve">. </w:t>
      </w:r>
      <w:r w:rsidR="005C2CB0" w:rsidRPr="00EB2E4B">
        <w:t>Classification of Tweets according to the CE framework per company</w:t>
      </w:r>
    </w:p>
    <w:p w14:paraId="73D2C0C4" w14:textId="77777777" w:rsidR="00750DF4" w:rsidRPr="00EB2E4B" w:rsidRDefault="00750DF4" w:rsidP="00750DF4">
      <w:pPr>
        <w:ind w:left="227"/>
      </w:pPr>
    </w:p>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750DF4" w:rsidRPr="00EB2E4B" w14:paraId="22B975C3" w14:textId="77777777" w:rsidTr="00E64BF5">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23E2AE98" w14:textId="38A37FEF" w:rsidR="00750DF4" w:rsidRPr="00EB2E4B" w:rsidRDefault="00750DF4" w:rsidP="0004628F">
            <w:pPr>
              <w:rPr>
                <w:b/>
                <w:bCs/>
              </w:rPr>
            </w:pPr>
            <w:r w:rsidRPr="00EB2E4B">
              <w:rPr>
                <w:b/>
                <w:bCs/>
              </w:rPr>
              <w:t>A</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A50BBEF" w14:textId="77777777" w:rsidR="00750DF4" w:rsidRPr="00EB2E4B" w:rsidRDefault="00750DF4" w:rsidP="0004628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16469AF1" w14:textId="77777777" w:rsidR="00750DF4" w:rsidRPr="00EB2E4B" w:rsidRDefault="00750DF4" w:rsidP="0004628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2DB2BE3C" w14:textId="77777777" w:rsidR="00750DF4" w:rsidRPr="00EB2E4B" w:rsidRDefault="00750DF4" w:rsidP="0004628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3D38BD7E" w14:textId="77777777" w:rsidR="00750DF4" w:rsidRPr="00EB2E4B" w:rsidRDefault="00750DF4" w:rsidP="0004628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44CA5F5E" w14:textId="77777777" w:rsidR="00750DF4" w:rsidRPr="00EB2E4B" w:rsidRDefault="00750DF4" w:rsidP="0004628F">
            <w:pPr>
              <w:rPr>
                <w:b/>
                <w:bCs/>
              </w:rPr>
            </w:pPr>
            <w:r w:rsidRPr="00EB2E4B">
              <w:rPr>
                <w:b/>
                <w:bCs/>
              </w:rPr>
              <w:t>General CE</w:t>
            </w:r>
          </w:p>
        </w:tc>
      </w:tr>
      <w:tr w:rsidR="00E64BF5" w:rsidRPr="00EB2E4B" w14:paraId="257198F8" w14:textId="77777777" w:rsidTr="00E64BF5">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3FE780CC" w14:textId="77777777" w:rsidR="00E64BF5" w:rsidRPr="00EB2E4B" w:rsidRDefault="00E64BF5" w:rsidP="00E64BF5">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2F44EC79" w14:textId="0D470C25"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230BA0C" w14:textId="79A99CDD" w:rsidR="00E64BF5" w:rsidRPr="00EB2E4B" w:rsidRDefault="00E64BF5" w:rsidP="00E64BF5">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225E1AE7" w14:textId="5D1148EB" w:rsidR="00E64BF5" w:rsidRPr="00EB2E4B" w:rsidRDefault="00E64BF5" w:rsidP="00E64BF5">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0F3AE0C5" w14:textId="7B273D54" w:rsidR="00E64BF5" w:rsidRPr="00EB2E4B" w:rsidRDefault="00E64BF5" w:rsidP="00E64BF5">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60CDAFAB" w14:textId="58A8440D" w:rsidR="00E64BF5" w:rsidRPr="00EB2E4B" w:rsidRDefault="00E64BF5" w:rsidP="00E64BF5">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4DD9259C" w14:textId="4A479E62" w:rsidR="00E64BF5" w:rsidRPr="00EB2E4B" w:rsidRDefault="00E64BF5" w:rsidP="00E64BF5">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1E84C07E" w14:textId="24D3BF28"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65D96E0C" w14:textId="6A5933A7" w:rsidR="00E64BF5" w:rsidRPr="00EB2E4B" w:rsidRDefault="00E64BF5" w:rsidP="00E64BF5">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615FBF1D" w14:textId="0E8E783F" w:rsidR="00E64BF5" w:rsidRPr="00EB2E4B" w:rsidRDefault="00E64BF5" w:rsidP="00E64BF5">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133A5EF" w14:textId="0AA7BEEA" w:rsidR="00E64BF5" w:rsidRPr="00EB2E4B" w:rsidRDefault="00E64BF5" w:rsidP="00E64BF5">
            <w:pPr>
              <w:rPr>
                <w:b/>
                <w:bCs/>
              </w:rPr>
            </w:pPr>
            <w:r w:rsidRPr="00EB2E4B">
              <w:rPr>
                <w:b/>
                <w:bCs/>
              </w:rPr>
              <w:t>%</w:t>
            </w:r>
          </w:p>
        </w:tc>
      </w:tr>
      <w:tr w:rsidR="00E64BF5" w:rsidRPr="00EB2E4B" w14:paraId="6D580F05" w14:textId="77777777" w:rsidTr="00E64BF5">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12061F17" w14:textId="77777777" w:rsidR="00E64BF5" w:rsidRPr="00EB2E4B" w:rsidRDefault="00E64BF5" w:rsidP="00E64BF5">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0FE3634A" w14:textId="09552B2E" w:rsidR="00E64BF5" w:rsidRPr="00EB2E4B" w:rsidRDefault="00E64BF5" w:rsidP="00E64BF5">
            <w:r w:rsidRPr="00EB2E4B">
              <w:t>12</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164CEA0" w14:textId="424C628F" w:rsidR="00E64BF5" w:rsidRPr="00EB2E4B" w:rsidRDefault="00E64BF5" w:rsidP="00E64BF5">
            <w:r w:rsidRPr="00EB2E4B">
              <w:t>12.24</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578134" w14:textId="5728045E" w:rsidR="00E64BF5" w:rsidRPr="00EB2E4B" w:rsidRDefault="00461CEE" w:rsidP="00E64BF5">
            <w:r w:rsidRPr="00EB2E4B">
              <w:t>-</w:t>
            </w:r>
          </w:p>
        </w:tc>
        <w:tc>
          <w:tcPr>
            <w:tcW w:w="567" w:type="dxa"/>
            <w:tcBorders>
              <w:top w:val="single" w:sz="4" w:space="0" w:color="000000"/>
              <w:left w:val="nil"/>
              <w:bottom w:val="nil"/>
              <w:right w:val="single" w:sz="4" w:space="0" w:color="auto"/>
            </w:tcBorders>
            <w:vAlign w:val="center"/>
          </w:tcPr>
          <w:p w14:paraId="3F0480C2" w14:textId="353C5BAC" w:rsidR="00E64BF5" w:rsidRPr="00EB2E4B" w:rsidRDefault="00461CEE" w:rsidP="00E64BF5">
            <w:r w:rsidRPr="00EB2E4B">
              <w:t>-</w:t>
            </w:r>
          </w:p>
        </w:tc>
        <w:tc>
          <w:tcPr>
            <w:tcW w:w="851" w:type="dxa"/>
            <w:tcBorders>
              <w:top w:val="single" w:sz="4" w:space="0" w:color="000000"/>
              <w:left w:val="single" w:sz="4" w:space="0" w:color="auto"/>
              <w:bottom w:val="nil"/>
              <w:right w:val="nil"/>
            </w:tcBorders>
            <w:vAlign w:val="center"/>
          </w:tcPr>
          <w:p w14:paraId="2ACC564A" w14:textId="2AC485EC" w:rsidR="00E64BF5" w:rsidRPr="00EB2E4B" w:rsidRDefault="00E64BF5" w:rsidP="00E64BF5">
            <w:r w:rsidRPr="00EB2E4B">
              <w:t>49</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7C17171E" w14:textId="5374DB55" w:rsidR="00E64BF5" w:rsidRPr="00EB2E4B" w:rsidRDefault="00E64BF5" w:rsidP="00E64BF5">
            <w:r w:rsidRPr="00EB2E4B">
              <w:t>50</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1CDEC99E" w14:textId="50528294" w:rsidR="00E64BF5" w:rsidRPr="00EB2E4B" w:rsidRDefault="00E64BF5" w:rsidP="00E64BF5">
            <w:r w:rsidRPr="00EB2E4B">
              <w:t>9</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9E985A5" w14:textId="36B58700" w:rsidR="00E64BF5" w:rsidRPr="00EB2E4B" w:rsidRDefault="00E64BF5" w:rsidP="00E64BF5">
            <w:r w:rsidRPr="00EB2E4B">
              <w:t>9.18</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7EB8DD36" w14:textId="2422380A" w:rsidR="00E64BF5" w:rsidRPr="00EB2E4B" w:rsidRDefault="00E64BF5" w:rsidP="00E64BF5">
            <w:r w:rsidRPr="00EB2E4B">
              <w:t>28</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150B4B65" w14:textId="70910C5F" w:rsidR="00E64BF5" w:rsidRPr="00EB2E4B" w:rsidRDefault="00E64BF5" w:rsidP="00E64BF5">
            <w:r w:rsidRPr="00EB2E4B">
              <w:t>28.57</w:t>
            </w:r>
          </w:p>
        </w:tc>
      </w:tr>
      <w:tr w:rsidR="00E64BF5" w:rsidRPr="00EB2E4B" w14:paraId="1E4059D4" w14:textId="77777777" w:rsidTr="00E64BF5">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66452EE5" w14:textId="77777777" w:rsidR="00E64BF5" w:rsidRPr="00EB2E4B" w:rsidRDefault="00E64BF5" w:rsidP="00E64BF5">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0724FF9B" w14:textId="5312B130" w:rsidR="00E64BF5" w:rsidRPr="00EB2E4B" w:rsidRDefault="00461CEE" w:rsidP="00E64BF5">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316E8CD0" w14:textId="51F93792" w:rsidR="00E64BF5" w:rsidRPr="00EB2E4B" w:rsidRDefault="00461CEE" w:rsidP="00E64BF5">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791CE78B" w14:textId="6795A0EF" w:rsidR="00E64BF5" w:rsidRPr="00EB2E4B" w:rsidRDefault="00461CEE" w:rsidP="00E64BF5">
            <w:r w:rsidRPr="00EB2E4B">
              <w:t>-</w:t>
            </w:r>
          </w:p>
        </w:tc>
        <w:tc>
          <w:tcPr>
            <w:tcW w:w="567" w:type="dxa"/>
            <w:tcBorders>
              <w:top w:val="nil"/>
              <w:left w:val="nil"/>
              <w:bottom w:val="single" w:sz="4" w:space="0" w:color="000000"/>
              <w:right w:val="single" w:sz="4" w:space="0" w:color="auto"/>
            </w:tcBorders>
            <w:vAlign w:val="center"/>
          </w:tcPr>
          <w:p w14:paraId="64EBB37C" w14:textId="724BEDA7" w:rsidR="00E64BF5" w:rsidRPr="00EB2E4B" w:rsidRDefault="00461CEE" w:rsidP="00E64BF5">
            <w:r w:rsidRPr="00EB2E4B">
              <w:t>-</w:t>
            </w:r>
          </w:p>
        </w:tc>
        <w:tc>
          <w:tcPr>
            <w:tcW w:w="851" w:type="dxa"/>
            <w:tcBorders>
              <w:top w:val="nil"/>
              <w:left w:val="single" w:sz="4" w:space="0" w:color="auto"/>
              <w:bottom w:val="single" w:sz="4" w:space="0" w:color="000000"/>
              <w:right w:val="nil"/>
            </w:tcBorders>
            <w:vAlign w:val="center"/>
          </w:tcPr>
          <w:p w14:paraId="41517CC8" w14:textId="4410FB68" w:rsidR="00E64BF5" w:rsidRPr="00EB2E4B" w:rsidRDefault="00461CEE" w:rsidP="00E64BF5">
            <w:r w:rsidRPr="00EB2E4B">
              <w:t>13</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6E2CCB3C" w14:textId="7D819AA6" w:rsidR="00E64BF5" w:rsidRPr="00EB2E4B" w:rsidRDefault="00461CEE" w:rsidP="00E64BF5">
            <w:r w:rsidRPr="00EB2E4B">
              <w:t>86.66</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477DC10C" w14:textId="7016DC05" w:rsidR="00E64BF5" w:rsidRPr="00EB2E4B" w:rsidRDefault="00461CEE" w:rsidP="00E64BF5">
            <w:r w:rsidRPr="00EB2E4B">
              <w:t>0</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3E63B3C3" w14:textId="3803A6A0" w:rsidR="00E64BF5" w:rsidRPr="00EB2E4B" w:rsidRDefault="00461CEE" w:rsidP="00E64BF5">
            <w:r w:rsidRPr="00EB2E4B">
              <w:t>0</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11F427D8" w14:textId="5A89ACC8" w:rsidR="00E64BF5" w:rsidRPr="00EB2E4B" w:rsidRDefault="00461CEE" w:rsidP="00E64BF5">
            <w:r w:rsidRPr="00EB2E4B">
              <w:t>2</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5EA94170" w14:textId="21E99B65" w:rsidR="00E64BF5" w:rsidRPr="00EB2E4B" w:rsidRDefault="00461CEE" w:rsidP="00E64BF5">
            <w:r w:rsidRPr="00EB2E4B">
              <w:t>13.33</w:t>
            </w:r>
          </w:p>
        </w:tc>
      </w:tr>
      <w:tr w:rsidR="00E64BF5" w:rsidRPr="00EB2E4B" w14:paraId="75CE247D" w14:textId="77777777" w:rsidTr="00E64BF5">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25C2E253" w14:textId="77777777" w:rsidR="00E64BF5" w:rsidRPr="00EB2E4B" w:rsidRDefault="00E64BF5" w:rsidP="00E64BF5">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4071487E" w14:textId="06EC6FE2" w:rsidR="00E64BF5" w:rsidRPr="00EB2E4B" w:rsidRDefault="00E64BF5" w:rsidP="00E64BF5">
            <w:r w:rsidRPr="00EB2E4B">
              <w:t>23</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54F6E868" w14:textId="355BE64A" w:rsidR="00E64BF5" w:rsidRPr="00EB2E4B" w:rsidRDefault="00E64BF5" w:rsidP="00E64BF5">
            <w:r w:rsidRPr="00EB2E4B">
              <w:t>0</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1F3EC76F" w14:textId="553FF59B" w:rsidR="00E64BF5" w:rsidRPr="00EB2E4B" w:rsidRDefault="00E64BF5" w:rsidP="00E64BF5">
            <w:r w:rsidRPr="00EB2E4B">
              <w:t>45</w:t>
            </w:r>
          </w:p>
        </w:tc>
        <w:tc>
          <w:tcPr>
            <w:tcW w:w="1843" w:type="dxa"/>
            <w:gridSpan w:val="2"/>
            <w:tcBorders>
              <w:top w:val="single" w:sz="4" w:space="0" w:color="000000"/>
              <w:left w:val="single" w:sz="4" w:space="0" w:color="auto"/>
              <w:bottom w:val="nil"/>
              <w:right w:val="single" w:sz="4" w:space="0" w:color="auto"/>
            </w:tcBorders>
            <w:vAlign w:val="center"/>
          </w:tcPr>
          <w:p w14:paraId="4675A525" w14:textId="471843A1" w:rsidR="00E64BF5" w:rsidRPr="00EB2E4B" w:rsidRDefault="00E64BF5" w:rsidP="00E64BF5">
            <w:r w:rsidRPr="00EB2E4B">
              <w:t>17</w:t>
            </w:r>
          </w:p>
        </w:tc>
        <w:tc>
          <w:tcPr>
            <w:tcW w:w="1701" w:type="dxa"/>
            <w:gridSpan w:val="2"/>
            <w:tcBorders>
              <w:top w:val="single" w:sz="4" w:space="0" w:color="000000"/>
              <w:left w:val="single" w:sz="4" w:space="0" w:color="auto"/>
              <w:bottom w:val="nil"/>
              <w:right w:val="nil"/>
            </w:tcBorders>
          </w:tcPr>
          <w:p w14:paraId="2A4D62A5" w14:textId="2B72E8D9" w:rsidR="00E64BF5" w:rsidRPr="00EB2E4B" w:rsidRDefault="00E64BF5" w:rsidP="00E64BF5">
            <w:r w:rsidRPr="00EB2E4B">
              <w:t>35</w:t>
            </w:r>
          </w:p>
        </w:tc>
      </w:tr>
      <w:tr w:rsidR="00E64BF5" w:rsidRPr="00EB2E4B" w14:paraId="3E6B9117" w14:textId="77777777" w:rsidTr="00E64BF5">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005AB35E" w14:textId="77777777" w:rsidR="00E64BF5" w:rsidRPr="00EB2E4B" w:rsidRDefault="00E64BF5" w:rsidP="00E64BF5">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329FDC9D" w14:textId="03B418FD" w:rsidR="00E64BF5" w:rsidRPr="00EB2E4B" w:rsidRDefault="00E64BF5" w:rsidP="00E64BF5">
            <w:r w:rsidRPr="00EB2E4B">
              <w:t>16.66%</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39DF471B" w14:textId="4675826E" w:rsidR="00E64BF5" w:rsidRPr="00EB2E4B" w:rsidRDefault="00E64BF5" w:rsidP="00E64BF5">
            <w:r w:rsidRPr="00EB2E4B">
              <w:t>0%</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45B7B764" w14:textId="1125D655" w:rsidR="00E64BF5" w:rsidRPr="00EB2E4B" w:rsidRDefault="00E64BF5" w:rsidP="00E64BF5">
            <w:r w:rsidRPr="00EB2E4B">
              <w:t>37.5%</w:t>
            </w:r>
          </w:p>
        </w:tc>
        <w:tc>
          <w:tcPr>
            <w:tcW w:w="1843" w:type="dxa"/>
            <w:gridSpan w:val="2"/>
            <w:tcBorders>
              <w:top w:val="nil"/>
              <w:left w:val="single" w:sz="4" w:space="0" w:color="auto"/>
              <w:bottom w:val="single" w:sz="8" w:space="0" w:color="000000"/>
              <w:right w:val="single" w:sz="4" w:space="0" w:color="auto"/>
            </w:tcBorders>
            <w:vAlign w:val="center"/>
          </w:tcPr>
          <w:p w14:paraId="34035657" w14:textId="5C26FB1A" w:rsidR="00E64BF5" w:rsidRPr="00EB2E4B" w:rsidRDefault="00E64BF5" w:rsidP="00E64BF5">
            <w:r w:rsidRPr="00EB2E4B">
              <w:t>14.66%</w:t>
            </w:r>
          </w:p>
        </w:tc>
        <w:tc>
          <w:tcPr>
            <w:tcW w:w="1701" w:type="dxa"/>
            <w:gridSpan w:val="2"/>
            <w:tcBorders>
              <w:top w:val="nil"/>
              <w:left w:val="single" w:sz="4" w:space="0" w:color="auto"/>
              <w:bottom w:val="single" w:sz="8" w:space="0" w:color="000000"/>
              <w:right w:val="nil"/>
            </w:tcBorders>
          </w:tcPr>
          <w:p w14:paraId="7F14075E" w14:textId="12099E35" w:rsidR="00E64BF5" w:rsidRPr="00EB2E4B" w:rsidRDefault="00E64BF5" w:rsidP="00E64BF5">
            <w:r w:rsidRPr="00EB2E4B">
              <w:t>29.16%</w:t>
            </w:r>
          </w:p>
        </w:tc>
      </w:tr>
    </w:tbl>
    <w:p w14:paraId="37C72BB4" w14:textId="77777777" w:rsidR="00E64BF5" w:rsidRPr="00EB2E4B" w:rsidRDefault="00E64BF5" w:rsidP="00D21890"/>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E64BF5" w:rsidRPr="00EB2E4B" w14:paraId="63EAED4A" w14:textId="77777777" w:rsidTr="00585E5F">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0A144DD3" w14:textId="58AE985F" w:rsidR="00E64BF5" w:rsidRPr="00EB2E4B" w:rsidRDefault="00E64BF5" w:rsidP="00585E5F">
            <w:pPr>
              <w:rPr>
                <w:b/>
                <w:bCs/>
              </w:rPr>
            </w:pPr>
            <w:r w:rsidRPr="00EB2E4B">
              <w:rPr>
                <w:b/>
                <w:bCs/>
              </w:rPr>
              <w:t>B</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7FA45BC" w14:textId="77777777" w:rsidR="00E64BF5" w:rsidRPr="00EB2E4B" w:rsidRDefault="00E64BF5" w:rsidP="00585E5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67520BF8" w14:textId="77777777" w:rsidR="00E64BF5" w:rsidRPr="00EB2E4B" w:rsidRDefault="00E64BF5" w:rsidP="00585E5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51A21EA8" w14:textId="77777777" w:rsidR="00E64BF5" w:rsidRPr="00EB2E4B" w:rsidRDefault="00E64BF5" w:rsidP="00585E5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537EECA5" w14:textId="77777777" w:rsidR="00E64BF5" w:rsidRPr="00EB2E4B" w:rsidRDefault="00E64BF5" w:rsidP="00585E5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47495912" w14:textId="77777777" w:rsidR="00E64BF5" w:rsidRPr="00EB2E4B" w:rsidRDefault="00E64BF5" w:rsidP="00585E5F">
            <w:pPr>
              <w:rPr>
                <w:b/>
                <w:bCs/>
              </w:rPr>
            </w:pPr>
            <w:r w:rsidRPr="00EB2E4B">
              <w:rPr>
                <w:b/>
                <w:bCs/>
              </w:rPr>
              <w:t>General CE</w:t>
            </w:r>
          </w:p>
        </w:tc>
      </w:tr>
      <w:tr w:rsidR="00E64BF5" w:rsidRPr="00EB2E4B" w14:paraId="17118899" w14:textId="77777777" w:rsidTr="00585E5F">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469E2359" w14:textId="77777777" w:rsidR="00E64BF5" w:rsidRPr="00EB2E4B" w:rsidRDefault="00E64BF5" w:rsidP="00585E5F">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BBEE3A6"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5303ABD"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464A198F" w14:textId="77777777" w:rsidR="00E64BF5" w:rsidRPr="00EB2E4B" w:rsidRDefault="00E64BF5" w:rsidP="00585E5F">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23C365EE" w14:textId="77777777" w:rsidR="00E64BF5" w:rsidRPr="00EB2E4B" w:rsidRDefault="00E64BF5" w:rsidP="00585E5F">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1A2A3348" w14:textId="77777777" w:rsidR="00E64BF5" w:rsidRPr="00EB2E4B" w:rsidRDefault="00E64BF5" w:rsidP="00585E5F">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5FFE0022" w14:textId="77777777" w:rsidR="00E64BF5" w:rsidRPr="00EB2E4B" w:rsidRDefault="00E64BF5" w:rsidP="00585E5F">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2E581449"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40EF8A2"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4D651699"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3A20CAD1" w14:textId="77777777" w:rsidR="00E64BF5" w:rsidRPr="00EB2E4B" w:rsidRDefault="00E64BF5" w:rsidP="00585E5F">
            <w:pPr>
              <w:rPr>
                <w:b/>
                <w:bCs/>
              </w:rPr>
            </w:pPr>
            <w:r w:rsidRPr="00EB2E4B">
              <w:rPr>
                <w:b/>
                <w:bCs/>
              </w:rPr>
              <w:t>%</w:t>
            </w:r>
          </w:p>
        </w:tc>
      </w:tr>
      <w:tr w:rsidR="00E64BF5" w:rsidRPr="00EB2E4B" w14:paraId="4C431AC3"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16B212CD" w14:textId="77777777" w:rsidR="00E64BF5" w:rsidRPr="00EB2E4B" w:rsidRDefault="00E64BF5" w:rsidP="00585E5F">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4888054F" w14:textId="533DCD0F" w:rsidR="00E64BF5" w:rsidRPr="00EB2E4B" w:rsidRDefault="00461CEE" w:rsidP="00585E5F">
            <w:r w:rsidRPr="00EB2E4B">
              <w:t>13</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5408270" w14:textId="1E50536F" w:rsidR="00E64BF5" w:rsidRPr="00EB2E4B" w:rsidRDefault="004166E9" w:rsidP="00585E5F">
            <w:r w:rsidRPr="00EB2E4B">
              <w:t>15.66</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6D8DB41" w14:textId="1BCA16D3" w:rsidR="00E64BF5" w:rsidRPr="00EB2E4B" w:rsidRDefault="00461CEE" w:rsidP="00585E5F">
            <w:r w:rsidRPr="00EB2E4B">
              <w:t>28</w:t>
            </w:r>
          </w:p>
        </w:tc>
        <w:tc>
          <w:tcPr>
            <w:tcW w:w="567" w:type="dxa"/>
            <w:tcBorders>
              <w:top w:val="single" w:sz="4" w:space="0" w:color="000000"/>
              <w:left w:val="nil"/>
              <w:bottom w:val="nil"/>
              <w:right w:val="single" w:sz="4" w:space="0" w:color="auto"/>
            </w:tcBorders>
            <w:vAlign w:val="center"/>
          </w:tcPr>
          <w:p w14:paraId="38601AEA" w14:textId="5F0F3FE0" w:rsidR="00E64BF5" w:rsidRPr="00EB2E4B" w:rsidRDefault="004166E9" w:rsidP="00585E5F">
            <w:r w:rsidRPr="00EB2E4B">
              <w:t>33.73</w:t>
            </w:r>
          </w:p>
        </w:tc>
        <w:tc>
          <w:tcPr>
            <w:tcW w:w="851" w:type="dxa"/>
            <w:tcBorders>
              <w:top w:val="single" w:sz="4" w:space="0" w:color="000000"/>
              <w:left w:val="single" w:sz="4" w:space="0" w:color="auto"/>
              <w:bottom w:val="nil"/>
              <w:right w:val="nil"/>
            </w:tcBorders>
            <w:vAlign w:val="center"/>
          </w:tcPr>
          <w:p w14:paraId="59F555BA" w14:textId="7E9F1BBF" w:rsidR="00E64BF5" w:rsidRPr="00EB2E4B" w:rsidRDefault="00461CEE" w:rsidP="00585E5F">
            <w:r w:rsidRPr="00EB2E4B">
              <w:t>39</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33E6AECA" w14:textId="6395D0F4" w:rsidR="00E64BF5" w:rsidRPr="00EB2E4B" w:rsidRDefault="004166E9" w:rsidP="00585E5F">
            <w:r w:rsidRPr="00EB2E4B">
              <w:t>46.98</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CC5CA4" w14:textId="38F86C31" w:rsidR="00E64BF5" w:rsidRPr="00EB2E4B" w:rsidRDefault="00461CEE" w:rsidP="00585E5F">
            <w:r w:rsidRPr="00EB2E4B">
              <w:t>0</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420AD093" w14:textId="057E01C0" w:rsidR="00E64BF5" w:rsidRPr="00EB2E4B" w:rsidRDefault="004166E9" w:rsidP="00585E5F">
            <w:r w:rsidRPr="00EB2E4B">
              <w:t>0</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33F07ECE" w14:textId="2D5B6CBE" w:rsidR="00E64BF5" w:rsidRPr="00EB2E4B" w:rsidRDefault="00461CEE" w:rsidP="00585E5F">
            <w:r w:rsidRPr="00EB2E4B">
              <w:t>3</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2C3D71CA" w14:textId="63C6E4E8" w:rsidR="00E64BF5" w:rsidRPr="00EB2E4B" w:rsidRDefault="004166E9" w:rsidP="00585E5F">
            <w:r w:rsidRPr="00EB2E4B">
              <w:t>3.61</w:t>
            </w:r>
          </w:p>
        </w:tc>
      </w:tr>
      <w:tr w:rsidR="00E64BF5" w:rsidRPr="00EB2E4B" w14:paraId="4CBF03AB" w14:textId="77777777" w:rsidTr="00585E5F">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45669683" w14:textId="77777777" w:rsidR="00E64BF5" w:rsidRPr="00EB2E4B" w:rsidRDefault="00E64BF5" w:rsidP="00585E5F">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0BA8FA1B" w14:textId="0F02340A" w:rsidR="00E64BF5" w:rsidRPr="00EB2E4B" w:rsidRDefault="004166E9"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6C8FA177" w14:textId="6293262B" w:rsidR="00E64BF5" w:rsidRPr="00EB2E4B" w:rsidRDefault="004166E9"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D325341" w14:textId="422C24D9" w:rsidR="00E64BF5" w:rsidRPr="00EB2E4B" w:rsidRDefault="004166E9" w:rsidP="00585E5F">
            <w:r w:rsidRPr="00EB2E4B">
              <w:t>-</w:t>
            </w:r>
          </w:p>
        </w:tc>
        <w:tc>
          <w:tcPr>
            <w:tcW w:w="567" w:type="dxa"/>
            <w:tcBorders>
              <w:top w:val="nil"/>
              <w:left w:val="nil"/>
              <w:bottom w:val="single" w:sz="4" w:space="0" w:color="000000"/>
              <w:right w:val="single" w:sz="4" w:space="0" w:color="auto"/>
            </w:tcBorders>
            <w:vAlign w:val="center"/>
          </w:tcPr>
          <w:p w14:paraId="6EB0DCB9" w14:textId="328E81E2" w:rsidR="00E64BF5" w:rsidRPr="00EB2E4B" w:rsidRDefault="004166E9" w:rsidP="00585E5F">
            <w:r w:rsidRPr="00EB2E4B">
              <w:t>-</w:t>
            </w:r>
          </w:p>
        </w:tc>
        <w:tc>
          <w:tcPr>
            <w:tcW w:w="851" w:type="dxa"/>
            <w:tcBorders>
              <w:top w:val="nil"/>
              <w:left w:val="single" w:sz="4" w:space="0" w:color="auto"/>
              <w:bottom w:val="single" w:sz="4" w:space="0" w:color="000000"/>
              <w:right w:val="nil"/>
            </w:tcBorders>
            <w:vAlign w:val="center"/>
          </w:tcPr>
          <w:p w14:paraId="12108591" w14:textId="201987E8" w:rsidR="00E64BF5" w:rsidRPr="00EB2E4B" w:rsidRDefault="004166E9" w:rsidP="00585E5F">
            <w:r w:rsidRPr="00EB2E4B">
              <w:t>5</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1EE0D5EF" w14:textId="43CDE907" w:rsidR="00E64BF5" w:rsidRPr="00EB2E4B" w:rsidRDefault="004166E9" w:rsidP="00585E5F">
            <w:r w:rsidRPr="00EB2E4B">
              <w:t>100</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327BE587" w14:textId="4D717C3F" w:rsidR="00E64BF5" w:rsidRPr="00EB2E4B" w:rsidRDefault="004166E9"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56212C41" w14:textId="15B85A66" w:rsidR="00E64BF5" w:rsidRPr="00EB2E4B" w:rsidRDefault="004166E9"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1ABAD01" w14:textId="5C70C8E7" w:rsidR="00E64BF5" w:rsidRPr="00EB2E4B" w:rsidRDefault="004166E9" w:rsidP="00585E5F">
            <w:r w:rsidRPr="00EB2E4B">
              <w:t>-</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4218CEB6" w14:textId="6DD83B8E" w:rsidR="00E64BF5" w:rsidRPr="00EB2E4B" w:rsidRDefault="004166E9" w:rsidP="00585E5F">
            <w:r w:rsidRPr="00EB2E4B">
              <w:t>-</w:t>
            </w:r>
          </w:p>
        </w:tc>
      </w:tr>
      <w:tr w:rsidR="00E64BF5" w:rsidRPr="00EB2E4B" w14:paraId="7335926E"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56FC9202" w14:textId="77777777" w:rsidR="00E64BF5" w:rsidRPr="00EB2E4B" w:rsidRDefault="00E64BF5" w:rsidP="00585E5F">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327A3D3B" w14:textId="3748DA04" w:rsidR="00E64BF5" w:rsidRPr="00EB2E4B" w:rsidRDefault="00E64BF5" w:rsidP="00585E5F">
            <w:r w:rsidRPr="00EB2E4B">
              <w:t>35</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168BC67F" w14:textId="42384231" w:rsidR="00E64BF5" w:rsidRPr="00EB2E4B" w:rsidRDefault="00E64BF5" w:rsidP="00585E5F">
            <w:r w:rsidRPr="00EB2E4B">
              <w:t>20</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0B4AA33F" w14:textId="328513CC" w:rsidR="00E64BF5" w:rsidRPr="00EB2E4B" w:rsidRDefault="00E64BF5" w:rsidP="00585E5F">
            <w:r w:rsidRPr="00EB2E4B">
              <w:t>32</w:t>
            </w:r>
          </w:p>
        </w:tc>
        <w:tc>
          <w:tcPr>
            <w:tcW w:w="1843" w:type="dxa"/>
            <w:gridSpan w:val="2"/>
            <w:tcBorders>
              <w:top w:val="single" w:sz="4" w:space="0" w:color="000000"/>
              <w:left w:val="single" w:sz="4" w:space="0" w:color="auto"/>
              <w:bottom w:val="nil"/>
              <w:right w:val="single" w:sz="4" w:space="0" w:color="auto"/>
            </w:tcBorders>
            <w:vAlign w:val="center"/>
          </w:tcPr>
          <w:p w14:paraId="496568B3" w14:textId="3655495C" w:rsidR="00E64BF5" w:rsidRPr="00EB2E4B" w:rsidRDefault="00E64BF5" w:rsidP="00585E5F">
            <w:r w:rsidRPr="00EB2E4B">
              <w:t>0</w:t>
            </w:r>
          </w:p>
        </w:tc>
        <w:tc>
          <w:tcPr>
            <w:tcW w:w="1701" w:type="dxa"/>
            <w:gridSpan w:val="2"/>
            <w:tcBorders>
              <w:top w:val="single" w:sz="4" w:space="0" w:color="000000"/>
              <w:left w:val="single" w:sz="4" w:space="0" w:color="auto"/>
              <w:bottom w:val="nil"/>
              <w:right w:val="nil"/>
            </w:tcBorders>
          </w:tcPr>
          <w:p w14:paraId="526E7970" w14:textId="00EC2D83" w:rsidR="00E64BF5" w:rsidRPr="00EB2E4B" w:rsidRDefault="00E64BF5" w:rsidP="00585E5F">
            <w:r w:rsidRPr="00EB2E4B">
              <w:t>8</w:t>
            </w:r>
          </w:p>
        </w:tc>
      </w:tr>
      <w:tr w:rsidR="00E64BF5" w:rsidRPr="00EB2E4B" w14:paraId="5A3ADB98" w14:textId="77777777" w:rsidTr="00585E5F">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693F7082" w14:textId="77777777" w:rsidR="00E64BF5" w:rsidRPr="00EB2E4B" w:rsidRDefault="00E64BF5" w:rsidP="00585E5F">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41CC1074" w14:textId="19498108" w:rsidR="00E64BF5" w:rsidRPr="00EB2E4B" w:rsidRDefault="00E64BF5" w:rsidP="00585E5F">
            <w:r w:rsidRPr="00EB2E4B">
              <w:t>36.84%</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4CA01B31" w14:textId="44133C98" w:rsidR="00E64BF5" w:rsidRPr="00EB2E4B" w:rsidRDefault="00E64BF5" w:rsidP="00585E5F">
            <w:r w:rsidRPr="00EB2E4B">
              <w:t>21.05%</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353FF39A" w14:textId="34B4AA5F" w:rsidR="00E64BF5" w:rsidRPr="00EB2E4B" w:rsidRDefault="00E64BF5" w:rsidP="00585E5F">
            <w:r w:rsidRPr="00EB2E4B">
              <w:t>33.68%</w:t>
            </w:r>
          </w:p>
        </w:tc>
        <w:tc>
          <w:tcPr>
            <w:tcW w:w="1843" w:type="dxa"/>
            <w:gridSpan w:val="2"/>
            <w:tcBorders>
              <w:top w:val="nil"/>
              <w:left w:val="single" w:sz="4" w:space="0" w:color="auto"/>
              <w:bottom w:val="single" w:sz="8" w:space="0" w:color="000000"/>
              <w:right w:val="single" w:sz="4" w:space="0" w:color="auto"/>
            </w:tcBorders>
            <w:vAlign w:val="center"/>
          </w:tcPr>
          <w:p w14:paraId="71713BC0" w14:textId="10ED1940" w:rsidR="00E64BF5" w:rsidRPr="00EB2E4B" w:rsidRDefault="00E64BF5" w:rsidP="00585E5F">
            <w:r w:rsidRPr="00EB2E4B">
              <w:t>0%</w:t>
            </w:r>
          </w:p>
        </w:tc>
        <w:tc>
          <w:tcPr>
            <w:tcW w:w="1701" w:type="dxa"/>
            <w:gridSpan w:val="2"/>
            <w:tcBorders>
              <w:top w:val="nil"/>
              <w:left w:val="single" w:sz="4" w:space="0" w:color="auto"/>
              <w:bottom w:val="single" w:sz="8" w:space="0" w:color="000000"/>
              <w:right w:val="nil"/>
            </w:tcBorders>
          </w:tcPr>
          <w:p w14:paraId="200E28AB" w14:textId="66628643" w:rsidR="00E64BF5" w:rsidRPr="00EB2E4B" w:rsidRDefault="00E64BF5" w:rsidP="00585E5F">
            <w:r w:rsidRPr="00EB2E4B">
              <w:t>8.42%</w:t>
            </w:r>
          </w:p>
        </w:tc>
      </w:tr>
    </w:tbl>
    <w:p w14:paraId="4C2D3C8C" w14:textId="1FA30C66" w:rsidR="00E64BF5" w:rsidRPr="00EB2E4B" w:rsidRDefault="00E64BF5" w:rsidP="00D21890"/>
    <w:tbl>
      <w:tblPr>
        <w:tblW w:w="9498" w:type="dxa"/>
        <w:jc w:val="center"/>
        <w:tblLayout w:type="fixed"/>
        <w:tblCellMar>
          <w:left w:w="10" w:type="dxa"/>
          <w:right w:w="10" w:type="dxa"/>
        </w:tblCellMar>
        <w:tblLook w:val="04A0" w:firstRow="1" w:lastRow="0" w:firstColumn="1" w:lastColumn="0" w:noHBand="0" w:noVBand="1"/>
      </w:tblPr>
      <w:tblGrid>
        <w:gridCol w:w="1013"/>
        <w:gridCol w:w="830"/>
        <w:gridCol w:w="851"/>
        <w:gridCol w:w="850"/>
        <w:gridCol w:w="567"/>
        <w:gridCol w:w="851"/>
        <w:gridCol w:w="992"/>
        <w:gridCol w:w="992"/>
        <w:gridCol w:w="851"/>
        <w:gridCol w:w="850"/>
        <w:gridCol w:w="851"/>
      </w:tblGrid>
      <w:tr w:rsidR="00E64BF5" w:rsidRPr="00EB2E4B" w14:paraId="5840690E" w14:textId="77777777" w:rsidTr="00585E5F">
        <w:trPr>
          <w:trHeight w:val="242"/>
          <w:jc w:val="center"/>
        </w:trPr>
        <w:tc>
          <w:tcPr>
            <w:tcW w:w="1013" w:type="dxa"/>
            <w:tcBorders>
              <w:top w:val="single" w:sz="8" w:space="0" w:color="000000"/>
              <w:left w:val="nil"/>
              <w:bottom w:val="nil"/>
              <w:right w:val="nil"/>
            </w:tcBorders>
            <w:tcMar>
              <w:top w:w="0" w:type="dxa"/>
              <w:left w:w="108" w:type="dxa"/>
              <w:bottom w:w="0" w:type="dxa"/>
              <w:right w:w="108" w:type="dxa"/>
            </w:tcMar>
            <w:vAlign w:val="center"/>
          </w:tcPr>
          <w:p w14:paraId="4A236215" w14:textId="6C065BE3" w:rsidR="00E64BF5" w:rsidRPr="00EB2E4B" w:rsidRDefault="00E64BF5" w:rsidP="00585E5F">
            <w:pPr>
              <w:rPr>
                <w:b/>
                <w:bCs/>
              </w:rPr>
            </w:pPr>
            <w:r w:rsidRPr="00EB2E4B">
              <w:rPr>
                <w:b/>
                <w:bCs/>
              </w:rPr>
              <w:t>C</w:t>
            </w:r>
          </w:p>
        </w:tc>
        <w:tc>
          <w:tcPr>
            <w:tcW w:w="1681" w:type="dxa"/>
            <w:gridSpan w:val="2"/>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hideMark/>
          </w:tcPr>
          <w:p w14:paraId="4A7696FF" w14:textId="77777777" w:rsidR="00E64BF5" w:rsidRPr="00EB2E4B" w:rsidRDefault="00E64BF5" w:rsidP="00585E5F">
            <w:pPr>
              <w:rPr>
                <w:b/>
                <w:bCs/>
              </w:rPr>
            </w:pPr>
            <w:r w:rsidRPr="00EB2E4B">
              <w:rPr>
                <w:b/>
                <w:bCs/>
              </w:rPr>
              <w:t>Reduce</w:t>
            </w:r>
          </w:p>
        </w:tc>
        <w:tc>
          <w:tcPr>
            <w:tcW w:w="1417"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428B8689" w14:textId="77777777" w:rsidR="00E64BF5" w:rsidRPr="00EB2E4B" w:rsidRDefault="00E64BF5" w:rsidP="00585E5F">
            <w:pPr>
              <w:rPr>
                <w:b/>
                <w:bCs/>
              </w:rPr>
            </w:pPr>
            <w:r w:rsidRPr="00EB2E4B">
              <w:rPr>
                <w:b/>
                <w:bCs/>
              </w:rPr>
              <w:t>Reuse</w:t>
            </w:r>
          </w:p>
        </w:tc>
        <w:tc>
          <w:tcPr>
            <w:tcW w:w="1843" w:type="dxa"/>
            <w:gridSpan w:val="2"/>
            <w:tcBorders>
              <w:top w:val="single" w:sz="8"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14:paraId="7DB4FDB2" w14:textId="77777777" w:rsidR="00E64BF5" w:rsidRPr="00EB2E4B" w:rsidRDefault="00E64BF5" w:rsidP="00585E5F">
            <w:pPr>
              <w:rPr>
                <w:b/>
                <w:bCs/>
              </w:rPr>
            </w:pPr>
            <w:r w:rsidRPr="00EB2E4B">
              <w:rPr>
                <w:b/>
                <w:bCs/>
              </w:rPr>
              <w:t>Recycle</w:t>
            </w:r>
          </w:p>
        </w:tc>
        <w:tc>
          <w:tcPr>
            <w:tcW w:w="1843" w:type="dxa"/>
            <w:gridSpan w:val="2"/>
            <w:tcBorders>
              <w:top w:val="single" w:sz="8" w:space="0" w:color="000000"/>
              <w:left w:val="single" w:sz="4" w:space="0" w:color="auto"/>
              <w:bottom w:val="single" w:sz="4" w:space="0" w:color="000000"/>
              <w:right w:val="single" w:sz="4" w:space="0" w:color="auto"/>
            </w:tcBorders>
            <w:vAlign w:val="center"/>
          </w:tcPr>
          <w:p w14:paraId="2375A441" w14:textId="77777777" w:rsidR="00E64BF5" w:rsidRPr="00EB2E4B" w:rsidRDefault="00E64BF5" w:rsidP="00585E5F">
            <w:pPr>
              <w:rPr>
                <w:b/>
                <w:bCs/>
              </w:rPr>
            </w:pPr>
            <w:r w:rsidRPr="00EB2E4B">
              <w:rPr>
                <w:b/>
                <w:bCs/>
              </w:rPr>
              <w:t>Redesign</w:t>
            </w:r>
          </w:p>
        </w:tc>
        <w:tc>
          <w:tcPr>
            <w:tcW w:w="1701" w:type="dxa"/>
            <w:gridSpan w:val="2"/>
            <w:tcBorders>
              <w:top w:val="single" w:sz="8" w:space="0" w:color="000000"/>
              <w:left w:val="single" w:sz="4" w:space="0" w:color="auto"/>
              <w:bottom w:val="single" w:sz="4" w:space="0" w:color="000000"/>
              <w:right w:val="nil"/>
            </w:tcBorders>
          </w:tcPr>
          <w:p w14:paraId="732B1E90" w14:textId="77777777" w:rsidR="00E64BF5" w:rsidRPr="00EB2E4B" w:rsidRDefault="00E64BF5" w:rsidP="00585E5F">
            <w:pPr>
              <w:rPr>
                <w:b/>
                <w:bCs/>
              </w:rPr>
            </w:pPr>
            <w:r w:rsidRPr="00EB2E4B">
              <w:rPr>
                <w:b/>
                <w:bCs/>
              </w:rPr>
              <w:t>General CE</w:t>
            </w:r>
          </w:p>
        </w:tc>
      </w:tr>
      <w:tr w:rsidR="00E64BF5" w:rsidRPr="00EB2E4B" w14:paraId="24DF4BD3" w14:textId="77777777" w:rsidTr="00585E5F">
        <w:trPr>
          <w:trHeight w:val="372"/>
          <w:jc w:val="center"/>
        </w:trPr>
        <w:tc>
          <w:tcPr>
            <w:tcW w:w="1013" w:type="dxa"/>
            <w:tcBorders>
              <w:top w:val="nil"/>
              <w:left w:val="nil"/>
              <w:bottom w:val="single" w:sz="4" w:space="0" w:color="000000"/>
              <w:right w:val="nil"/>
            </w:tcBorders>
            <w:tcMar>
              <w:top w:w="0" w:type="dxa"/>
              <w:left w:w="108" w:type="dxa"/>
              <w:bottom w:w="0" w:type="dxa"/>
              <w:right w:w="108" w:type="dxa"/>
            </w:tcMar>
            <w:vAlign w:val="center"/>
          </w:tcPr>
          <w:p w14:paraId="3A0B29E9" w14:textId="77777777" w:rsidR="00E64BF5" w:rsidRPr="00EB2E4B" w:rsidRDefault="00E64BF5" w:rsidP="00585E5F">
            <w:pPr>
              <w:rPr>
                <w:b/>
                <w:bCs/>
              </w:rPr>
            </w:pPr>
          </w:p>
        </w:tc>
        <w:tc>
          <w:tcPr>
            <w:tcW w:w="830"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595391BB"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760A94B6"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0EF80BE5" w14:textId="77777777" w:rsidR="00E64BF5" w:rsidRPr="00EB2E4B" w:rsidRDefault="00E64BF5" w:rsidP="00585E5F">
            <w:pPr>
              <w:rPr>
                <w:b/>
                <w:bCs/>
              </w:rPr>
            </w:pPr>
            <w:r w:rsidRPr="00EB2E4B">
              <w:rPr>
                <w:b/>
                <w:bCs/>
              </w:rPr>
              <w:t>Freq.</w:t>
            </w:r>
          </w:p>
        </w:tc>
        <w:tc>
          <w:tcPr>
            <w:tcW w:w="567" w:type="dxa"/>
            <w:tcBorders>
              <w:top w:val="single" w:sz="4" w:space="0" w:color="000000"/>
              <w:left w:val="nil"/>
              <w:bottom w:val="single" w:sz="4" w:space="0" w:color="000000"/>
              <w:right w:val="single" w:sz="4" w:space="0" w:color="auto"/>
            </w:tcBorders>
            <w:vAlign w:val="center"/>
          </w:tcPr>
          <w:p w14:paraId="5CED1ABE" w14:textId="77777777" w:rsidR="00E64BF5" w:rsidRPr="00EB2E4B" w:rsidRDefault="00E64BF5" w:rsidP="00585E5F">
            <w:pPr>
              <w:rPr>
                <w:b/>
                <w:bCs/>
              </w:rPr>
            </w:pPr>
            <w:r w:rsidRPr="00EB2E4B">
              <w:rPr>
                <w:b/>
                <w:bCs/>
              </w:rPr>
              <w:t>%</w:t>
            </w:r>
          </w:p>
        </w:tc>
        <w:tc>
          <w:tcPr>
            <w:tcW w:w="851" w:type="dxa"/>
            <w:tcBorders>
              <w:top w:val="single" w:sz="4" w:space="0" w:color="000000"/>
              <w:left w:val="single" w:sz="4" w:space="0" w:color="auto"/>
              <w:bottom w:val="single" w:sz="4" w:space="0" w:color="000000"/>
              <w:right w:val="nil"/>
            </w:tcBorders>
            <w:vAlign w:val="center"/>
          </w:tcPr>
          <w:p w14:paraId="0F27E0F7" w14:textId="77777777" w:rsidR="00E64BF5" w:rsidRPr="00EB2E4B" w:rsidRDefault="00E64BF5" w:rsidP="00585E5F">
            <w:pPr>
              <w:rPr>
                <w:b/>
                <w:bCs/>
              </w:rPr>
            </w:pPr>
            <w:r w:rsidRPr="00EB2E4B">
              <w:rPr>
                <w:b/>
                <w:bCs/>
              </w:rPr>
              <w:t>Freq.</w:t>
            </w:r>
          </w:p>
        </w:tc>
        <w:tc>
          <w:tcPr>
            <w:tcW w:w="992"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7EE1377" w14:textId="77777777" w:rsidR="00E64BF5" w:rsidRPr="00EB2E4B" w:rsidRDefault="00E64BF5" w:rsidP="00585E5F">
            <w:pPr>
              <w:rPr>
                <w:b/>
                <w:bCs/>
              </w:rPr>
            </w:pPr>
            <w:r w:rsidRPr="00EB2E4B">
              <w:rPr>
                <w:b/>
                <w:bCs/>
              </w:rPr>
              <w:t>%</w:t>
            </w:r>
          </w:p>
        </w:tc>
        <w:tc>
          <w:tcPr>
            <w:tcW w:w="992"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536D6464"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6B137F5" w14:textId="77777777" w:rsidR="00E64BF5" w:rsidRPr="00EB2E4B" w:rsidRDefault="00E64BF5" w:rsidP="00585E5F">
            <w:pPr>
              <w:rPr>
                <w:b/>
                <w:bCs/>
              </w:rPr>
            </w:pPr>
            <w:r w:rsidRPr="00EB2E4B">
              <w:rPr>
                <w:b/>
                <w:bCs/>
              </w:rPr>
              <w:t>%</w:t>
            </w:r>
          </w:p>
        </w:tc>
        <w:tc>
          <w:tcPr>
            <w:tcW w:w="850" w:type="dxa"/>
            <w:tcBorders>
              <w:top w:val="single" w:sz="4" w:space="0" w:color="000000"/>
              <w:left w:val="single" w:sz="4" w:space="0" w:color="auto"/>
              <w:bottom w:val="single" w:sz="4" w:space="0" w:color="000000"/>
              <w:right w:val="nil"/>
            </w:tcBorders>
            <w:tcMar>
              <w:top w:w="0" w:type="dxa"/>
              <w:left w:w="108" w:type="dxa"/>
              <w:bottom w:w="0" w:type="dxa"/>
              <w:right w:w="108" w:type="dxa"/>
            </w:tcMar>
            <w:vAlign w:val="center"/>
          </w:tcPr>
          <w:p w14:paraId="77BC6D7E" w14:textId="77777777" w:rsidR="00E64BF5" w:rsidRPr="00EB2E4B" w:rsidRDefault="00E64BF5" w:rsidP="00585E5F">
            <w:pPr>
              <w:rPr>
                <w:b/>
                <w:bCs/>
              </w:rPr>
            </w:pPr>
            <w:r w:rsidRPr="00EB2E4B">
              <w:rPr>
                <w:b/>
                <w:bCs/>
              </w:rPr>
              <w:t>Freq.</w:t>
            </w:r>
          </w:p>
        </w:tc>
        <w:tc>
          <w:tcPr>
            <w:tcW w:w="851" w:type="dxa"/>
            <w:tcBorders>
              <w:top w:val="single" w:sz="4" w:space="0" w:color="000000"/>
              <w:left w:val="nil"/>
              <w:bottom w:val="single" w:sz="4" w:space="0" w:color="000000"/>
              <w:right w:val="nil"/>
            </w:tcBorders>
            <w:tcMar>
              <w:top w:w="0" w:type="dxa"/>
              <w:left w:w="108" w:type="dxa"/>
              <w:bottom w:w="0" w:type="dxa"/>
              <w:right w:w="108" w:type="dxa"/>
            </w:tcMar>
            <w:vAlign w:val="center"/>
          </w:tcPr>
          <w:p w14:paraId="12C18385" w14:textId="77777777" w:rsidR="00E64BF5" w:rsidRPr="00EB2E4B" w:rsidRDefault="00E64BF5" w:rsidP="00585E5F">
            <w:pPr>
              <w:rPr>
                <w:b/>
                <w:bCs/>
              </w:rPr>
            </w:pPr>
            <w:r w:rsidRPr="00EB2E4B">
              <w:rPr>
                <w:b/>
                <w:bCs/>
              </w:rPr>
              <w:t>%</w:t>
            </w:r>
          </w:p>
        </w:tc>
      </w:tr>
      <w:tr w:rsidR="00E64BF5" w:rsidRPr="00EB2E4B" w14:paraId="5232AF30"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256CB492" w14:textId="77777777" w:rsidR="00E64BF5" w:rsidRPr="00EB2E4B" w:rsidRDefault="00E64BF5" w:rsidP="00585E5F">
            <w:pPr>
              <w:rPr>
                <w:b/>
                <w:bCs/>
              </w:rPr>
            </w:pPr>
            <w:r w:rsidRPr="00EB2E4B">
              <w:rPr>
                <w:b/>
                <w:bCs/>
              </w:rPr>
              <w:t>Like</w:t>
            </w:r>
          </w:p>
        </w:tc>
        <w:tc>
          <w:tcPr>
            <w:tcW w:w="830" w:type="dxa"/>
            <w:tcBorders>
              <w:top w:val="single" w:sz="4" w:space="0" w:color="000000"/>
              <w:left w:val="nil"/>
              <w:bottom w:val="nil"/>
              <w:right w:val="nil"/>
            </w:tcBorders>
            <w:tcMar>
              <w:top w:w="0" w:type="dxa"/>
              <w:left w:w="108" w:type="dxa"/>
              <w:bottom w:w="0" w:type="dxa"/>
              <w:right w:w="108" w:type="dxa"/>
            </w:tcMar>
            <w:vAlign w:val="center"/>
          </w:tcPr>
          <w:p w14:paraId="5658137D" w14:textId="3728EEF3" w:rsidR="00E64BF5" w:rsidRPr="00EB2E4B" w:rsidRDefault="00A65B80" w:rsidP="00585E5F">
            <w:r w:rsidRPr="00EB2E4B">
              <w:t>48</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0BF08312" w14:textId="237440ED" w:rsidR="00E64BF5" w:rsidRPr="00EB2E4B" w:rsidRDefault="00A65B80" w:rsidP="00585E5F">
            <w:r w:rsidRPr="00EB2E4B">
              <w:t>32.43</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24E10928" w14:textId="3863AE21" w:rsidR="00E64BF5" w:rsidRPr="00EB2E4B" w:rsidRDefault="00A65B80" w:rsidP="00585E5F">
            <w:r w:rsidRPr="00EB2E4B">
              <w:t>5</w:t>
            </w:r>
          </w:p>
        </w:tc>
        <w:tc>
          <w:tcPr>
            <w:tcW w:w="567" w:type="dxa"/>
            <w:tcBorders>
              <w:top w:val="single" w:sz="4" w:space="0" w:color="000000"/>
              <w:left w:val="nil"/>
              <w:bottom w:val="nil"/>
              <w:right w:val="single" w:sz="4" w:space="0" w:color="auto"/>
            </w:tcBorders>
            <w:vAlign w:val="center"/>
          </w:tcPr>
          <w:p w14:paraId="6828FF2C" w14:textId="7DB45952" w:rsidR="00E64BF5" w:rsidRPr="00EB2E4B" w:rsidRDefault="00A65B80" w:rsidP="00585E5F">
            <w:r w:rsidRPr="00EB2E4B">
              <w:t>3.37</w:t>
            </w:r>
          </w:p>
        </w:tc>
        <w:tc>
          <w:tcPr>
            <w:tcW w:w="851" w:type="dxa"/>
            <w:tcBorders>
              <w:top w:val="single" w:sz="4" w:space="0" w:color="000000"/>
              <w:left w:val="single" w:sz="4" w:space="0" w:color="auto"/>
              <w:bottom w:val="nil"/>
              <w:right w:val="nil"/>
            </w:tcBorders>
            <w:vAlign w:val="center"/>
          </w:tcPr>
          <w:p w14:paraId="07D22B4E" w14:textId="42E9A5EC" w:rsidR="00E64BF5" w:rsidRPr="00EB2E4B" w:rsidRDefault="00A65B80" w:rsidP="00585E5F">
            <w:r w:rsidRPr="00EB2E4B">
              <w:t>35</w:t>
            </w:r>
          </w:p>
        </w:tc>
        <w:tc>
          <w:tcPr>
            <w:tcW w:w="992" w:type="dxa"/>
            <w:tcBorders>
              <w:top w:val="single" w:sz="4" w:space="0" w:color="000000"/>
              <w:left w:val="nil"/>
              <w:bottom w:val="nil"/>
              <w:right w:val="single" w:sz="4" w:space="0" w:color="auto"/>
            </w:tcBorders>
            <w:tcMar>
              <w:top w:w="0" w:type="dxa"/>
              <w:left w:w="108" w:type="dxa"/>
              <w:bottom w:w="0" w:type="dxa"/>
              <w:right w:w="108" w:type="dxa"/>
            </w:tcMar>
            <w:vAlign w:val="center"/>
          </w:tcPr>
          <w:p w14:paraId="24D40D87" w14:textId="6415E81A" w:rsidR="00E64BF5" w:rsidRPr="00EB2E4B" w:rsidRDefault="00A65B80" w:rsidP="00585E5F">
            <w:r w:rsidRPr="00EB2E4B">
              <w:t>23.64</w:t>
            </w:r>
          </w:p>
        </w:tc>
        <w:tc>
          <w:tcPr>
            <w:tcW w:w="992" w:type="dxa"/>
            <w:tcBorders>
              <w:top w:val="single" w:sz="4" w:space="0" w:color="000000"/>
              <w:left w:val="single" w:sz="4" w:space="0" w:color="auto"/>
              <w:bottom w:val="nil"/>
              <w:right w:val="nil"/>
            </w:tcBorders>
            <w:tcMar>
              <w:top w:w="0" w:type="dxa"/>
              <w:left w:w="108" w:type="dxa"/>
              <w:bottom w:w="0" w:type="dxa"/>
              <w:right w:w="108" w:type="dxa"/>
            </w:tcMar>
            <w:vAlign w:val="center"/>
          </w:tcPr>
          <w:p w14:paraId="7617C4BD" w14:textId="47DAB827" w:rsidR="00E64BF5" w:rsidRPr="00EB2E4B" w:rsidRDefault="00A65B80" w:rsidP="00585E5F">
            <w:r w:rsidRPr="00EB2E4B">
              <w:t>19</w:t>
            </w:r>
          </w:p>
        </w:tc>
        <w:tc>
          <w:tcPr>
            <w:tcW w:w="851" w:type="dxa"/>
            <w:tcBorders>
              <w:top w:val="single" w:sz="4" w:space="0" w:color="000000"/>
              <w:left w:val="nil"/>
              <w:bottom w:val="nil"/>
              <w:right w:val="single" w:sz="4" w:space="0" w:color="auto"/>
            </w:tcBorders>
            <w:tcMar>
              <w:top w:w="0" w:type="dxa"/>
              <w:left w:w="108" w:type="dxa"/>
              <w:bottom w:w="0" w:type="dxa"/>
              <w:right w:w="108" w:type="dxa"/>
            </w:tcMar>
            <w:vAlign w:val="center"/>
          </w:tcPr>
          <w:p w14:paraId="08E3788E" w14:textId="100D6534" w:rsidR="00E64BF5" w:rsidRPr="00EB2E4B" w:rsidRDefault="00A65B80" w:rsidP="00585E5F">
            <w:r w:rsidRPr="00EB2E4B">
              <w:t>12.83</w:t>
            </w:r>
          </w:p>
        </w:tc>
        <w:tc>
          <w:tcPr>
            <w:tcW w:w="850" w:type="dxa"/>
            <w:tcBorders>
              <w:top w:val="single" w:sz="4" w:space="0" w:color="000000"/>
              <w:left w:val="single" w:sz="4" w:space="0" w:color="auto"/>
              <w:bottom w:val="nil"/>
              <w:right w:val="nil"/>
            </w:tcBorders>
            <w:tcMar>
              <w:top w:w="0" w:type="dxa"/>
              <w:left w:w="108" w:type="dxa"/>
              <w:bottom w:w="0" w:type="dxa"/>
              <w:right w:w="108" w:type="dxa"/>
            </w:tcMar>
            <w:vAlign w:val="center"/>
          </w:tcPr>
          <w:p w14:paraId="199496A9" w14:textId="61667C76" w:rsidR="00E64BF5" w:rsidRPr="00EB2E4B" w:rsidRDefault="00A65B80" w:rsidP="00585E5F">
            <w:r w:rsidRPr="00EB2E4B">
              <w:t>12</w:t>
            </w:r>
          </w:p>
        </w:tc>
        <w:tc>
          <w:tcPr>
            <w:tcW w:w="851" w:type="dxa"/>
            <w:tcBorders>
              <w:top w:val="single" w:sz="4" w:space="0" w:color="000000"/>
              <w:left w:val="nil"/>
              <w:bottom w:val="nil"/>
              <w:right w:val="nil"/>
            </w:tcBorders>
            <w:tcMar>
              <w:top w:w="0" w:type="dxa"/>
              <w:left w:w="108" w:type="dxa"/>
              <w:bottom w:w="0" w:type="dxa"/>
              <w:right w:w="108" w:type="dxa"/>
            </w:tcMar>
            <w:vAlign w:val="center"/>
          </w:tcPr>
          <w:p w14:paraId="74649846" w14:textId="60D04D60" w:rsidR="00E64BF5" w:rsidRPr="00EB2E4B" w:rsidRDefault="00A65B80" w:rsidP="00585E5F">
            <w:r w:rsidRPr="00EB2E4B">
              <w:t>8.10</w:t>
            </w:r>
          </w:p>
        </w:tc>
      </w:tr>
      <w:tr w:rsidR="00E64BF5" w:rsidRPr="00EB2E4B" w14:paraId="732F8299" w14:textId="77777777" w:rsidTr="00585E5F">
        <w:trPr>
          <w:trHeight w:val="250"/>
          <w:jc w:val="center"/>
        </w:trPr>
        <w:tc>
          <w:tcPr>
            <w:tcW w:w="1013" w:type="dxa"/>
            <w:tcBorders>
              <w:top w:val="nil"/>
              <w:left w:val="nil"/>
              <w:bottom w:val="single" w:sz="4" w:space="0" w:color="000000"/>
              <w:right w:val="nil"/>
            </w:tcBorders>
            <w:tcMar>
              <w:top w:w="0" w:type="dxa"/>
              <w:left w:w="108" w:type="dxa"/>
              <w:bottom w:w="0" w:type="dxa"/>
              <w:right w:w="108" w:type="dxa"/>
            </w:tcMar>
            <w:vAlign w:val="center"/>
            <w:hideMark/>
          </w:tcPr>
          <w:p w14:paraId="7D77A4B8" w14:textId="77777777" w:rsidR="00E64BF5" w:rsidRPr="00EB2E4B" w:rsidRDefault="00E64BF5" w:rsidP="00585E5F">
            <w:pPr>
              <w:rPr>
                <w:b/>
                <w:bCs/>
              </w:rPr>
            </w:pPr>
            <w:r w:rsidRPr="00EB2E4B">
              <w:rPr>
                <w:b/>
                <w:bCs/>
              </w:rPr>
              <w:t>Retweet</w:t>
            </w:r>
          </w:p>
        </w:tc>
        <w:tc>
          <w:tcPr>
            <w:tcW w:w="830" w:type="dxa"/>
            <w:tcBorders>
              <w:top w:val="nil"/>
              <w:left w:val="nil"/>
              <w:bottom w:val="single" w:sz="4" w:space="0" w:color="000000"/>
              <w:right w:val="nil"/>
            </w:tcBorders>
            <w:tcMar>
              <w:top w:w="0" w:type="dxa"/>
              <w:left w:w="108" w:type="dxa"/>
              <w:bottom w:w="0" w:type="dxa"/>
              <w:right w:w="108" w:type="dxa"/>
            </w:tcMar>
            <w:vAlign w:val="center"/>
          </w:tcPr>
          <w:p w14:paraId="71F71057" w14:textId="32353E8F" w:rsidR="00E64BF5" w:rsidRPr="00EB2E4B" w:rsidRDefault="00A65B80" w:rsidP="00585E5F">
            <w:r w:rsidRPr="00EB2E4B">
              <w:t>-</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2E3AD038" w14:textId="3FADAFE4" w:rsidR="00E64BF5" w:rsidRPr="00EB2E4B" w:rsidRDefault="00A65B80" w:rsidP="00585E5F">
            <w:r w:rsidRPr="00EB2E4B">
              <w:t>-</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2152BC80" w14:textId="0541A3A9" w:rsidR="00E64BF5" w:rsidRPr="00EB2E4B" w:rsidRDefault="00A65B80" w:rsidP="00585E5F">
            <w:r w:rsidRPr="00EB2E4B">
              <w:t>-</w:t>
            </w:r>
          </w:p>
        </w:tc>
        <w:tc>
          <w:tcPr>
            <w:tcW w:w="567" w:type="dxa"/>
            <w:tcBorders>
              <w:top w:val="nil"/>
              <w:left w:val="nil"/>
              <w:bottom w:val="single" w:sz="4" w:space="0" w:color="000000"/>
              <w:right w:val="single" w:sz="4" w:space="0" w:color="auto"/>
            </w:tcBorders>
            <w:vAlign w:val="center"/>
          </w:tcPr>
          <w:p w14:paraId="7E165143" w14:textId="4230381A" w:rsidR="00E64BF5" w:rsidRPr="00EB2E4B" w:rsidRDefault="00A65B80" w:rsidP="00585E5F">
            <w:r w:rsidRPr="00EB2E4B">
              <w:t>-</w:t>
            </w:r>
          </w:p>
        </w:tc>
        <w:tc>
          <w:tcPr>
            <w:tcW w:w="851" w:type="dxa"/>
            <w:tcBorders>
              <w:top w:val="nil"/>
              <w:left w:val="single" w:sz="4" w:space="0" w:color="auto"/>
              <w:bottom w:val="single" w:sz="4" w:space="0" w:color="000000"/>
              <w:right w:val="nil"/>
            </w:tcBorders>
            <w:vAlign w:val="center"/>
          </w:tcPr>
          <w:p w14:paraId="39388495" w14:textId="4495EA62" w:rsidR="00E64BF5" w:rsidRPr="00EB2E4B" w:rsidRDefault="00A65B80" w:rsidP="00585E5F">
            <w:r w:rsidRPr="00EB2E4B">
              <w:t>18</w:t>
            </w:r>
          </w:p>
        </w:tc>
        <w:tc>
          <w:tcPr>
            <w:tcW w:w="992" w:type="dxa"/>
            <w:tcBorders>
              <w:top w:val="nil"/>
              <w:left w:val="nil"/>
              <w:bottom w:val="single" w:sz="4" w:space="0" w:color="000000"/>
              <w:right w:val="single" w:sz="4" w:space="0" w:color="auto"/>
            </w:tcBorders>
            <w:tcMar>
              <w:top w:w="0" w:type="dxa"/>
              <w:left w:w="108" w:type="dxa"/>
              <w:bottom w:w="0" w:type="dxa"/>
              <w:right w:w="108" w:type="dxa"/>
            </w:tcMar>
            <w:vAlign w:val="center"/>
          </w:tcPr>
          <w:p w14:paraId="48430ABD" w14:textId="281D92E8" w:rsidR="00E64BF5" w:rsidRPr="00EB2E4B" w:rsidRDefault="00A65B80" w:rsidP="00585E5F">
            <w:r w:rsidRPr="00EB2E4B">
              <w:t>56.25</w:t>
            </w:r>
          </w:p>
        </w:tc>
        <w:tc>
          <w:tcPr>
            <w:tcW w:w="992" w:type="dxa"/>
            <w:tcBorders>
              <w:top w:val="nil"/>
              <w:left w:val="single" w:sz="4" w:space="0" w:color="auto"/>
              <w:bottom w:val="single" w:sz="4" w:space="0" w:color="000000"/>
              <w:right w:val="nil"/>
            </w:tcBorders>
            <w:tcMar>
              <w:top w:w="0" w:type="dxa"/>
              <w:left w:w="108" w:type="dxa"/>
              <w:bottom w:w="0" w:type="dxa"/>
              <w:right w:w="108" w:type="dxa"/>
            </w:tcMar>
            <w:vAlign w:val="center"/>
          </w:tcPr>
          <w:p w14:paraId="4EFFE0DB" w14:textId="464D8958" w:rsidR="00E64BF5" w:rsidRPr="00EB2E4B" w:rsidRDefault="00A65B80" w:rsidP="00585E5F">
            <w:r w:rsidRPr="00EB2E4B">
              <w:t>3</w:t>
            </w:r>
          </w:p>
        </w:tc>
        <w:tc>
          <w:tcPr>
            <w:tcW w:w="851" w:type="dxa"/>
            <w:tcBorders>
              <w:top w:val="nil"/>
              <w:left w:val="nil"/>
              <w:bottom w:val="single" w:sz="4" w:space="0" w:color="000000"/>
              <w:right w:val="single" w:sz="4" w:space="0" w:color="auto"/>
            </w:tcBorders>
            <w:tcMar>
              <w:top w:w="0" w:type="dxa"/>
              <w:left w:w="108" w:type="dxa"/>
              <w:bottom w:w="0" w:type="dxa"/>
              <w:right w:w="108" w:type="dxa"/>
            </w:tcMar>
            <w:vAlign w:val="center"/>
          </w:tcPr>
          <w:p w14:paraId="4962167D" w14:textId="6A49402A" w:rsidR="00E64BF5" w:rsidRPr="00EB2E4B" w:rsidRDefault="00A65B80" w:rsidP="00585E5F">
            <w:r w:rsidRPr="00EB2E4B">
              <w:t>9.37</w:t>
            </w:r>
          </w:p>
        </w:tc>
        <w:tc>
          <w:tcPr>
            <w:tcW w:w="850" w:type="dxa"/>
            <w:tcBorders>
              <w:top w:val="nil"/>
              <w:left w:val="single" w:sz="4" w:space="0" w:color="auto"/>
              <w:bottom w:val="single" w:sz="4" w:space="0" w:color="000000"/>
              <w:right w:val="nil"/>
            </w:tcBorders>
            <w:tcMar>
              <w:top w:w="0" w:type="dxa"/>
              <w:left w:w="108" w:type="dxa"/>
              <w:bottom w:w="0" w:type="dxa"/>
              <w:right w:w="108" w:type="dxa"/>
            </w:tcMar>
            <w:vAlign w:val="center"/>
          </w:tcPr>
          <w:p w14:paraId="53058696" w14:textId="7744E0A8" w:rsidR="00E64BF5" w:rsidRPr="00EB2E4B" w:rsidRDefault="00A65B80" w:rsidP="00585E5F">
            <w:r w:rsidRPr="00EB2E4B">
              <w:t>11</w:t>
            </w:r>
          </w:p>
        </w:tc>
        <w:tc>
          <w:tcPr>
            <w:tcW w:w="851" w:type="dxa"/>
            <w:tcBorders>
              <w:top w:val="nil"/>
              <w:left w:val="nil"/>
              <w:bottom w:val="single" w:sz="4" w:space="0" w:color="000000"/>
              <w:right w:val="nil"/>
            </w:tcBorders>
            <w:tcMar>
              <w:top w:w="0" w:type="dxa"/>
              <w:left w:w="108" w:type="dxa"/>
              <w:bottom w:w="0" w:type="dxa"/>
              <w:right w:w="108" w:type="dxa"/>
            </w:tcMar>
            <w:vAlign w:val="center"/>
          </w:tcPr>
          <w:p w14:paraId="160905C8" w14:textId="11F2EF10" w:rsidR="00A65B80" w:rsidRPr="00EB2E4B" w:rsidRDefault="00A65B80" w:rsidP="00585E5F">
            <w:r w:rsidRPr="00EB2E4B">
              <w:t>34.37</w:t>
            </w:r>
          </w:p>
        </w:tc>
      </w:tr>
      <w:tr w:rsidR="00E64BF5" w:rsidRPr="00EB2E4B" w14:paraId="1FF05062" w14:textId="77777777" w:rsidTr="00585E5F">
        <w:trPr>
          <w:trHeight w:val="242"/>
          <w:jc w:val="center"/>
        </w:trPr>
        <w:tc>
          <w:tcPr>
            <w:tcW w:w="1013" w:type="dxa"/>
            <w:tcBorders>
              <w:top w:val="single" w:sz="4" w:space="0" w:color="000000"/>
              <w:left w:val="nil"/>
              <w:bottom w:val="nil"/>
              <w:right w:val="nil"/>
            </w:tcBorders>
            <w:tcMar>
              <w:top w:w="0" w:type="dxa"/>
              <w:left w:w="108" w:type="dxa"/>
              <w:bottom w:w="0" w:type="dxa"/>
              <w:right w:w="108" w:type="dxa"/>
            </w:tcMar>
            <w:vAlign w:val="center"/>
            <w:hideMark/>
          </w:tcPr>
          <w:p w14:paraId="00B22996" w14:textId="77777777" w:rsidR="00E64BF5" w:rsidRPr="00EB2E4B" w:rsidRDefault="00E64BF5" w:rsidP="00585E5F">
            <w:pPr>
              <w:rPr>
                <w:b/>
                <w:bCs/>
              </w:rPr>
            </w:pPr>
            <w:proofErr w:type="spellStart"/>
            <w:r w:rsidRPr="00EB2E4B">
              <w:rPr>
                <w:b/>
                <w:bCs/>
              </w:rPr>
              <w:t>Obs</w:t>
            </w:r>
            <w:proofErr w:type="spellEnd"/>
          </w:p>
        </w:tc>
        <w:tc>
          <w:tcPr>
            <w:tcW w:w="1681" w:type="dxa"/>
            <w:gridSpan w:val="2"/>
            <w:tcBorders>
              <w:top w:val="single" w:sz="4" w:space="0" w:color="000000"/>
              <w:left w:val="nil"/>
              <w:bottom w:val="nil"/>
              <w:right w:val="single" w:sz="4" w:space="0" w:color="auto"/>
            </w:tcBorders>
            <w:tcMar>
              <w:top w:w="0" w:type="dxa"/>
              <w:left w:w="108" w:type="dxa"/>
              <w:bottom w:w="0" w:type="dxa"/>
              <w:right w:w="108" w:type="dxa"/>
            </w:tcMar>
            <w:vAlign w:val="center"/>
          </w:tcPr>
          <w:p w14:paraId="4DF218A9" w14:textId="5107DC07" w:rsidR="00E64BF5" w:rsidRPr="00EB2E4B" w:rsidRDefault="002803C9" w:rsidP="00585E5F">
            <w:r w:rsidRPr="00EB2E4B">
              <w:t>37</w:t>
            </w:r>
          </w:p>
        </w:tc>
        <w:tc>
          <w:tcPr>
            <w:tcW w:w="1417"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5BA8FBF0" w14:textId="11313C46" w:rsidR="00E64BF5" w:rsidRPr="00EB2E4B" w:rsidRDefault="002803C9" w:rsidP="00585E5F">
            <w:r w:rsidRPr="00EB2E4B">
              <w:t>22</w:t>
            </w:r>
          </w:p>
        </w:tc>
        <w:tc>
          <w:tcPr>
            <w:tcW w:w="1843" w:type="dxa"/>
            <w:gridSpan w:val="2"/>
            <w:tcBorders>
              <w:top w:val="single" w:sz="4" w:space="0" w:color="000000"/>
              <w:left w:val="single" w:sz="4" w:space="0" w:color="auto"/>
              <w:bottom w:val="nil"/>
              <w:right w:val="single" w:sz="4" w:space="0" w:color="auto"/>
            </w:tcBorders>
            <w:tcMar>
              <w:top w:w="0" w:type="dxa"/>
              <w:left w:w="108" w:type="dxa"/>
              <w:bottom w:w="0" w:type="dxa"/>
              <w:right w:w="108" w:type="dxa"/>
            </w:tcMar>
            <w:vAlign w:val="center"/>
          </w:tcPr>
          <w:p w14:paraId="7CD604BE" w14:textId="03B83F0A" w:rsidR="00E64BF5" w:rsidRPr="00EB2E4B" w:rsidRDefault="002803C9" w:rsidP="00585E5F">
            <w:r w:rsidRPr="00EB2E4B">
              <w:t>38</w:t>
            </w:r>
          </w:p>
        </w:tc>
        <w:tc>
          <w:tcPr>
            <w:tcW w:w="1843" w:type="dxa"/>
            <w:gridSpan w:val="2"/>
            <w:tcBorders>
              <w:top w:val="single" w:sz="4" w:space="0" w:color="000000"/>
              <w:left w:val="single" w:sz="4" w:space="0" w:color="auto"/>
              <w:bottom w:val="nil"/>
              <w:right w:val="single" w:sz="4" w:space="0" w:color="auto"/>
            </w:tcBorders>
            <w:vAlign w:val="center"/>
          </w:tcPr>
          <w:p w14:paraId="3980F611" w14:textId="7DE102E0" w:rsidR="00E64BF5" w:rsidRPr="00EB2E4B" w:rsidRDefault="002803C9" w:rsidP="00585E5F">
            <w:r w:rsidRPr="00EB2E4B">
              <w:t>27</w:t>
            </w:r>
          </w:p>
        </w:tc>
        <w:tc>
          <w:tcPr>
            <w:tcW w:w="1701" w:type="dxa"/>
            <w:gridSpan w:val="2"/>
            <w:tcBorders>
              <w:top w:val="single" w:sz="4" w:space="0" w:color="000000"/>
              <w:left w:val="single" w:sz="4" w:space="0" w:color="auto"/>
              <w:bottom w:val="nil"/>
              <w:right w:val="nil"/>
            </w:tcBorders>
          </w:tcPr>
          <w:p w14:paraId="236CCC8F" w14:textId="55D80899" w:rsidR="00E64BF5" w:rsidRPr="00EB2E4B" w:rsidRDefault="002803C9" w:rsidP="00585E5F">
            <w:r w:rsidRPr="00EB2E4B">
              <w:t>24</w:t>
            </w:r>
          </w:p>
        </w:tc>
      </w:tr>
      <w:tr w:rsidR="00E64BF5" w:rsidRPr="00EB2E4B" w14:paraId="7597BFE4" w14:textId="77777777" w:rsidTr="00585E5F">
        <w:trPr>
          <w:trHeight w:val="242"/>
          <w:jc w:val="center"/>
        </w:trPr>
        <w:tc>
          <w:tcPr>
            <w:tcW w:w="1013" w:type="dxa"/>
            <w:tcBorders>
              <w:top w:val="nil"/>
              <w:left w:val="nil"/>
              <w:bottom w:val="single" w:sz="8" w:space="0" w:color="000000"/>
              <w:right w:val="nil"/>
            </w:tcBorders>
            <w:tcMar>
              <w:top w:w="0" w:type="dxa"/>
              <w:left w:w="108" w:type="dxa"/>
              <w:bottom w:w="0" w:type="dxa"/>
              <w:right w:w="108" w:type="dxa"/>
            </w:tcMar>
            <w:vAlign w:val="center"/>
            <w:hideMark/>
          </w:tcPr>
          <w:p w14:paraId="61488F8C" w14:textId="77777777" w:rsidR="00E64BF5" w:rsidRPr="00EB2E4B" w:rsidRDefault="00E64BF5" w:rsidP="00585E5F">
            <w:pPr>
              <w:rPr>
                <w:b/>
                <w:bCs/>
              </w:rPr>
            </w:pPr>
            <w:proofErr w:type="spellStart"/>
            <w:r w:rsidRPr="00EB2E4B">
              <w:rPr>
                <w:b/>
                <w:bCs/>
              </w:rPr>
              <w:t>Obs</w:t>
            </w:r>
            <w:proofErr w:type="spellEnd"/>
            <w:r w:rsidRPr="00EB2E4B">
              <w:rPr>
                <w:b/>
                <w:bCs/>
              </w:rPr>
              <w:t>%</w:t>
            </w:r>
          </w:p>
        </w:tc>
        <w:tc>
          <w:tcPr>
            <w:tcW w:w="1681" w:type="dxa"/>
            <w:gridSpan w:val="2"/>
            <w:tcBorders>
              <w:top w:val="nil"/>
              <w:left w:val="nil"/>
              <w:bottom w:val="single" w:sz="8" w:space="0" w:color="000000"/>
              <w:right w:val="single" w:sz="4" w:space="0" w:color="auto"/>
            </w:tcBorders>
            <w:tcMar>
              <w:top w:w="0" w:type="dxa"/>
              <w:left w:w="108" w:type="dxa"/>
              <w:bottom w:w="0" w:type="dxa"/>
              <w:right w:w="108" w:type="dxa"/>
            </w:tcMar>
            <w:vAlign w:val="center"/>
          </w:tcPr>
          <w:p w14:paraId="37B7E6CB" w14:textId="0B7D3FF3" w:rsidR="00E64BF5" w:rsidRPr="00EB2E4B" w:rsidRDefault="002803C9" w:rsidP="00585E5F">
            <w:r w:rsidRPr="00EB2E4B">
              <w:t>25%</w:t>
            </w:r>
          </w:p>
        </w:tc>
        <w:tc>
          <w:tcPr>
            <w:tcW w:w="1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251DDA08" w14:textId="186974DD" w:rsidR="00E64BF5" w:rsidRPr="00EB2E4B" w:rsidRDefault="002803C9" w:rsidP="00585E5F">
            <w:r w:rsidRPr="00EB2E4B">
              <w:t>14.86%</w:t>
            </w:r>
          </w:p>
        </w:tc>
        <w:tc>
          <w:tcPr>
            <w:tcW w:w="1843"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0542280C" w14:textId="5E1EEE97" w:rsidR="00E64BF5" w:rsidRPr="00EB2E4B" w:rsidRDefault="002803C9" w:rsidP="00585E5F">
            <w:r w:rsidRPr="00EB2E4B">
              <w:t>25.67%</w:t>
            </w:r>
          </w:p>
        </w:tc>
        <w:tc>
          <w:tcPr>
            <w:tcW w:w="1843" w:type="dxa"/>
            <w:gridSpan w:val="2"/>
            <w:tcBorders>
              <w:top w:val="nil"/>
              <w:left w:val="single" w:sz="4" w:space="0" w:color="auto"/>
              <w:bottom w:val="single" w:sz="8" w:space="0" w:color="000000"/>
              <w:right w:val="single" w:sz="4" w:space="0" w:color="auto"/>
            </w:tcBorders>
            <w:vAlign w:val="center"/>
          </w:tcPr>
          <w:p w14:paraId="5606FE3E" w14:textId="710F248D" w:rsidR="00E64BF5" w:rsidRPr="00EB2E4B" w:rsidRDefault="002803C9" w:rsidP="00585E5F">
            <w:r w:rsidRPr="00EB2E4B">
              <w:t>18.24%</w:t>
            </w:r>
          </w:p>
        </w:tc>
        <w:tc>
          <w:tcPr>
            <w:tcW w:w="1701" w:type="dxa"/>
            <w:gridSpan w:val="2"/>
            <w:tcBorders>
              <w:top w:val="nil"/>
              <w:left w:val="single" w:sz="4" w:space="0" w:color="auto"/>
              <w:bottom w:val="single" w:sz="8" w:space="0" w:color="000000"/>
              <w:right w:val="nil"/>
            </w:tcBorders>
          </w:tcPr>
          <w:p w14:paraId="65547EF7" w14:textId="37442A3B" w:rsidR="00E64BF5" w:rsidRPr="00EB2E4B" w:rsidRDefault="002803C9" w:rsidP="00585E5F">
            <w:r w:rsidRPr="00EB2E4B">
              <w:t>16.21%</w:t>
            </w:r>
          </w:p>
        </w:tc>
      </w:tr>
    </w:tbl>
    <w:p w14:paraId="4D1F7048" w14:textId="77777777" w:rsidR="00E64BF5" w:rsidRPr="00EB2E4B" w:rsidRDefault="00E64BF5" w:rsidP="00D21890"/>
    <w:p w14:paraId="75EB16A6" w14:textId="4BCF8EA0" w:rsidR="00D21890" w:rsidRPr="00EB2E4B" w:rsidRDefault="00005C93" w:rsidP="00D21890">
      <w:r w:rsidRPr="00EB2E4B">
        <w:t xml:space="preserve">Concerning the engagement level, the highest content that has generated engagement among users are the recycling posts for each Company A and </w:t>
      </w:r>
      <w:proofErr w:type="gramStart"/>
      <w:r w:rsidRPr="00EB2E4B">
        <w:t>B  (</w:t>
      </w:r>
      <w:proofErr w:type="gramEnd"/>
      <w:r w:rsidRPr="00EB2E4B">
        <w:t xml:space="preserve">i.e., 50% for Company A; 46.98 % for Company B). Company C instead shows the highest percentage of likes for the reduce posts (i.e., 32.43%). However, a low rate of retweets has been retrieved from the analysis in general for each company. </w:t>
      </w:r>
    </w:p>
    <w:p w14:paraId="311500C9" w14:textId="77777777" w:rsidR="00005C93" w:rsidRPr="00EB2E4B" w:rsidRDefault="00005C93" w:rsidP="00712389">
      <w:pPr>
        <w:pStyle w:val="TableCaption"/>
        <w:spacing w:after="120" w:line="276" w:lineRule="auto"/>
        <w:ind w:left="1915" w:right="1800"/>
      </w:pPr>
    </w:p>
    <w:p w14:paraId="625C6105" w14:textId="77777777" w:rsidR="00005C93" w:rsidRPr="00EB2E4B" w:rsidRDefault="00005C93" w:rsidP="00712389">
      <w:pPr>
        <w:pStyle w:val="TableCaption"/>
        <w:spacing w:after="120" w:line="276" w:lineRule="auto"/>
        <w:ind w:left="1915" w:right="1800"/>
      </w:pPr>
    </w:p>
    <w:p w14:paraId="722D640F" w14:textId="35485C26" w:rsidR="00712389" w:rsidRPr="00EB2E4B" w:rsidRDefault="00712389" w:rsidP="00712389">
      <w:pPr>
        <w:pStyle w:val="TableCaption"/>
        <w:spacing w:after="120" w:line="276" w:lineRule="auto"/>
        <w:ind w:left="1915" w:right="1800"/>
      </w:pPr>
      <w:r w:rsidRPr="00EB2E4B">
        <w:t xml:space="preserve">Table </w:t>
      </w:r>
      <w:r w:rsidR="00F90F98">
        <w:t>5</w:t>
      </w:r>
      <w:r w:rsidRPr="00EB2E4B">
        <w:t xml:space="preserve">. </w:t>
      </w:r>
      <w:r w:rsidR="00586687" w:rsidRPr="00EB2E4B">
        <w:t xml:space="preserve">Direction and balance of communication of the CE tweets from 2020 to 2022*(As of the 9th of June 2022). </w:t>
      </w:r>
    </w:p>
    <w:tbl>
      <w:tblPr>
        <w:tblW w:w="5954" w:type="dxa"/>
        <w:jc w:val="center"/>
        <w:tblLayout w:type="fixed"/>
        <w:tblCellMar>
          <w:left w:w="10" w:type="dxa"/>
          <w:right w:w="10" w:type="dxa"/>
        </w:tblCellMar>
        <w:tblLook w:val="04A0" w:firstRow="1" w:lastRow="0" w:firstColumn="1" w:lastColumn="0" w:noHBand="0" w:noVBand="1"/>
      </w:tblPr>
      <w:tblGrid>
        <w:gridCol w:w="3261"/>
        <w:gridCol w:w="1275"/>
        <w:gridCol w:w="1418"/>
      </w:tblGrid>
      <w:tr w:rsidR="00D21890" w:rsidRPr="00EB2E4B" w14:paraId="17C02027" w14:textId="77777777" w:rsidTr="00750DF4">
        <w:trPr>
          <w:jc w:val="center"/>
        </w:trPr>
        <w:tc>
          <w:tcPr>
            <w:tcW w:w="3261" w:type="dxa"/>
            <w:tcBorders>
              <w:top w:val="single" w:sz="8" w:space="0" w:color="000000"/>
              <w:left w:val="nil"/>
              <w:bottom w:val="nil"/>
              <w:right w:val="nil"/>
            </w:tcBorders>
            <w:tcMar>
              <w:top w:w="0" w:type="dxa"/>
              <w:left w:w="108" w:type="dxa"/>
              <w:bottom w:w="0" w:type="dxa"/>
              <w:right w:w="108" w:type="dxa"/>
            </w:tcMar>
            <w:vAlign w:val="center"/>
            <w:hideMark/>
          </w:tcPr>
          <w:p w14:paraId="2EFF8D16" w14:textId="77777777" w:rsidR="00D21890" w:rsidRPr="00EB2E4B" w:rsidRDefault="00D21890" w:rsidP="00D21890">
            <w:pPr>
              <w:overflowPunct w:val="0"/>
              <w:autoSpaceDE w:val="0"/>
              <w:autoSpaceDN w:val="0"/>
              <w:adjustRightInd w:val="0"/>
              <w:spacing w:line="240" w:lineRule="atLeast"/>
              <w:jc w:val="center"/>
              <w:textAlignment w:val="baseline"/>
              <w:rPr>
                <w:b/>
                <w:bCs/>
                <w:sz w:val="20"/>
              </w:rPr>
            </w:pPr>
            <w:r w:rsidRPr="00EB2E4B">
              <w:rPr>
                <w:b/>
                <w:bCs/>
                <w:sz w:val="20"/>
              </w:rPr>
              <w:t>Direction Type</w:t>
            </w:r>
          </w:p>
        </w:tc>
        <w:tc>
          <w:tcPr>
            <w:tcW w:w="2693" w:type="dxa"/>
            <w:gridSpan w:val="2"/>
            <w:tcBorders>
              <w:top w:val="single" w:sz="8" w:space="0" w:color="000000"/>
              <w:left w:val="nil"/>
              <w:bottom w:val="single" w:sz="4" w:space="0" w:color="000000"/>
              <w:right w:val="nil"/>
            </w:tcBorders>
            <w:tcMar>
              <w:top w:w="0" w:type="dxa"/>
              <w:left w:w="108" w:type="dxa"/>
              <w:bottom w:w="0" w:type="dxa"/>
              <w:right w:w="108" w:type="dxa"/>
            </w:tcMar>
            <w:vAlign w:val="center"/>
            <w:hideMark/>
          </w:tcPr>
          <w:p w14:paraId="1CD44DFA" w14:textId="2595712C" w:rsidR="00D21890" w:rsidRPr="00EB2E4B" w:rsidRDefault="00D21890" w:rsidP="00D21890">
            <w:pPr>
              <w:overflowPunct w:val="0"/>
              <w:autoSpaceDE w:val="0"/>
              <w:autoSpaceDN w:val="0"/>
              <w:adjustRightInd w:val="0"/>
              <w:spacing w:line="240" w:lineRule="atLeast"/>
              <w:jc w:val="center"/>
              <w:textAlignment w:val="baseline"/>
              <w:rPr>
                <w:b/>
                <w:bCs/>
                <w:sz w:val="20"/>
              </w:rPr>
            </w:pPr>
            <w:r w:rsidRPr="00EB2E4B">
              <w:rPr>
                <w:b/>
                <w:bCs/>
                <w:sz w:val="20"/>
              </w:rPr>
              <w:t>Total</w:t>
            </w:r>
          </w:p>
        </w:tc>
      </w:tr>
      <w:tr w:rsidR="00D21890" w:rsidRPr="00EB2E4B" w14:paraId="6B815E3F"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tcPr>
          <w:p w14:paraId="409E31B7" w14:textId="77777777" w:rsidR="00D21890" w:rsidRPr="00EB2E4B" w:rsidRDefault="00D21890" w:rsidP="00D21890">
            <w:pPr>
              <w:overflowPunct w:val="0"/>
              <w:autoSpaceDE w:val="0"/>
              <w:autoSpaceDN w:val="0"/>
              <w:adjustRightInd w:val="0"/>
              <w:spacing w:line="240" w:lineRule="atLeast"/>
              <w:jc w:val="center"/>
              <w:textAlignment w:val="baseline"/>
              <w:rPr>
                <w:b/>
                <w:bCs/>
                <w:sz w:val="20"/>
              </w:rPr>
            </w:pPr>
          </w:p>
        </w:tc>
        <w:tc>
          <w:tcPr>
            <w:tcW w:w="1275"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FE60024" w14:textId="77777777" w:rsidR="00D21890" w:rsidRPr="00EB2E4B" w:rsidRDefault="00D21890" w:rsidP="00D21890">
            <w:pPr>
              <w:overflowPunct w:val="0"/>
              <w:autoSpaceDE w:val="0"/>
              <w:autoSpaceDN w:val="0"/>
              <w:adjustRightInd w:val="0"/>
              <w:spacing w:line="240" w:lineRule="atLeast"/>
              <w:jc w:val="center"/>
              <w:textAlignment w:val="baseline"/>
              <w:rPr>
                <w:b/>
                <w:bCs/>
                <w:i/>
                <w:iCs/>
                <w:sz w:val="20"/>
              </w:rPr>
            </w:pPr>
            <w:r w:rsidRPr="00EB2E4B">
              <w:rPr>
                <w:b/>
                <w:bCs/>
                <w:i/>
                <w:iCs/>
                <w:sz w:val="20"/>
              </w:rPr>
              <w:t>n</w:t>
            </w: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hideMark/>
          </w:tcPr>
          <w:p w14:paraId="05A02392" w14:textId="611CF2F8" w:rsidR="00D21890" w:rsidRPr="00EB2E4B" w:rsidRDefault="00D21890" w:rsidP="00916E0E">
            <w:pPr>
              <w:overflowPunct w:val="0"/>
              <w:autoSpaceDE w:val="0"/>
              <w:autoSpaceDN w:val="0"/>
              <w:adjustRightInd w:val="0"/>
              <w:spacing w:line="240" w:lineRule="atLeast"/>
              <w:jc w:val="center"/>
              <w:textAlignment w:val="baseline"/>
              <w:rPr>
                <w:b/>
                <w:bCs/>
                <w:i/>
                <w:iCs/>
                <w:sz w:val="20"/>
              </w:rPr>
            </w:pPr>
            <w:r w:rsidRPr="00EB2E4B">
              <w:rPr>
                <w:b/>
                <w:bCs/>
                <w:i/>
                <w:iCs/>
                <w:sz w:val="20"/>
              </w:rPr>
              <w:t>%</w:t>
            </w:r>
          </w:p>
        </w:tc>
      </w:tr>
      <w:tr w:rsidR="00D21890" w:rsidRPr="00EB2E4B" w14:paraId="75D763B6" w14:textId="77777777" w:rsidTr="00916E0E">
        <w:trPr>
          <w:jc w:val="center"/>
        </w:trPr>
        <w:tc>
          <w:tcPr>
            <w:tcW w:w="3261" w:type="dxa"/>
            <w:tcBorders>
              <w:top w:val="single" w:sz="4" w:space="0" w:color="000000"/>
              <w:left w:val="nil"/>
              <w:bottom w:val="nil"/>
              <w:right w:val="nil"/>
            </w:tcBorders>
            <w:tcMar>
              <w:top w:w="0" w:type="dxa"/>
              <w:left w:w="108" w:type="dxa"/>
              <w:bottom w:w="0" w:type="dxa"/>
              <w:right w:w="108" w:type="dxa"/>
            </w:tcMar>
            <w:vAlign w:val="center"/>
            <w:hideMark/>
          </w:tcPr>
          <w:p w14:paraId="5D09784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One-way communication</w:t>
            </w:r>
          </w:p>
        </w:tc>
        <w:tc>
          <w:tcPr>
            <w:tcW w:w="1275" w:type="dxa"/>
            <w:tcBorders>
              <w:top w:val="single" w:sz="4" w:space="0" w:color="000000"/>
              <w:left w:val="nil"/>
              <w:bottom w:val="nil"/>
              <w:right w:val="nil"/>
            </w:tcBorders>
            <w:tcMar>
              <w:top w:w="0" w:type="dxa"/>
              <w:left w:w="108" w:type="dxa"/>
              <w:bottom w:w="0" w:type="dxa"/>
              <w:right w:w="108" w:type="dxa"/>
            </w:tcMar>
            <w:vAlign w:val="center"/>
          </w:tcPr>
          <w:p w14:paraId="4F58B42E" w14:textId="3BE915A5" w:rsidR="00D21890" w:rsidRPr="00EB2E4B" w:rsidRDefault="00116F13" w:rsidP="00D21890">
            <w:pPr>
              <w:overflowPunct w:val="0"/>
              <w:autoSpaceDE w:val="0"/>
              <w:autoSpaceDN w:val="0"/>
              <w:adjustRightInd w:val="0"/>
              <w:spacing w:line="240" w:lineRule="atLeast"/>
              <w:ind w:left="567"/>
              <w:jc w:val="center"/>
              <w:textAlignment w:val="baseline"/>
              <w:rPr>
                <w:sz w:val="20"/>
              </w:rPr>
            </w:pPr>
            <w:r w:rsidRPr="00EB2E4B">
              <w:rPr>
                <w:sz w:val="20"/>
              </w:rPr>
              <w:t>65</w:t>
            </w:r>
          </w:p>
        </w:tc>
        <w:tc>
          <w:tcPr>
            <w:tcW w:w="1418" w:type="dxa"/>
            <w:tcBorders>
              <w:top w:val="single" w:sz="4" w:space="0" w:color="000000"/>
              <w:left w:val="nil"/>
              <w:bottom w:val="nil"/>
              <w:right w:val="nil"/>
            </w:tcBorders>
            <w:tcMar>
              <w:top w:w="0" w:type="dxa"/>
              <w:left w:w="108" w:type="dxa"/>
              <w:bottom w:w="0" w:type="dxa"/>
              <w:right w:w="108" w:type="dxa"/>
            </w:tcMar>
            <w:vAlign w:val="center"/>
          </w:tcPr>
          <w:p w14:paraId="190527DF" w14:textId="6286E3A5" w:rsidR="00D21890" w:rsidRPr="00EB2E4B" w:rsidRDefault="00116F13" w:rsidP="00116F13">
            <w:pPr>
              <w:overflowPunct w:val="0"/>
              <w:autoSpaceDE w:val="0"/>
              <w:autoSpaceDN w:val="0"/>
              <w:adjustRightInd w:val="0"/>
              <w:spacing w:line="240" w:lineRule="atLeast"/>
              <w:jc w:val="right"/>
              <w:textAlignment w:val="baseline"/>
              <w:rPr>
                <w:sz w:val="20"/>
              </w:rPr>
            </w:pPr>
            <w:r w:rsidRPr="00EB2E4B">
              <w:rPr>
                <w:sz w:val="20"/>
              </w:rPr>
              <w:t xml:space="preserve"> 17.90 </w:t>
            </w:r>
            <w:r w:rsidR="00916E0E" w:rsidRPr="00EB2E4B">
              <w:rPr>
                <w:sz w:val="20"/>
              </w:rPr>
              <w:t>%</w:t>
            </w:r>
          </w:p>
        </w:tc>
      </w:tr>
      <w:tr w:rsidR="00D21890" w:rsidRPr="00EB2E4B" w14:paraId="29AF0BE6"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hideMark/>
          </w:tcPr>
          <w:p w14:paraId="631924D1"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lastRenderedPageBreak/>
              <w:t>Two-way communication</w:t>
            </w:r>
          </w:p>
        </w:tc>
        <w:tc>
          <w:tcPr>
            <w:tcW w:w="1275" w:type="dxa"/>
            <w:tcBorders>
              <w:top w:val="nil"/>
              <w:left w:val="nil"/>
              <w:bottom w:val="single" w:sz="4" w:space="0" w:color="000000"/>
              <w:right w:val="nil"/>
            </w:tcBorders>
            <w:tcMar>
              <w:top w:w="0" w:type="dxa"/>
              <w:left w:w="108" w:type="dxa"/>
              <w:bottom w:w="0" w:type="dxa"/>
              <w:right w:w="108" w:type="dxa"/>
            </w:tcMar>
            <w:vAlign w:val="center"/>
          </w:tcPr>
          <w:p w14:paraId="56A64EC0" w14:textId="2FE93EA9" w:rsidR="00D21890" w:rsidRPr="00EB2E4B" w:rsidRDefault="00116F13" w:rsidP="00D21890">
            <w:pPr>
              <w:overflowPunct w:val="0"/>
              <w:autoSpaceDE w:val="0"/>
              <w:autoSpaceDN w:val="0"/>
              <w:adjustRightInd w:val="0"/>
              <w:spacing w:line="240" w:lineRule="atLeast"/>
              <w:ind w:left="567"/>
              <w:jc w:val="center"/>
              <w:textAlignment w:val="baseline"/>
              <w:rPr>
                <w:sz w:val="20"/>
              </w:rPr>
            </w:pPr>
            <w:r w:rsidRPr="00EB2E4B">
              <w:rPr>
                <w:sz w:val="20"/>
              </w:rPr>
              <w:t>289</w:t>
            </w:r>
          </w:p>
        </w:tc>
        <w:tc>
          <w:tcPr>
            <w:tcW w:w="1418" w:type="dxa"/>
            <w:tcBorders>
              <w:top w:val="nil"/>
              <w:left w:val="nil"/>
              <w:bottom w:val="single" w:sz="4" w:space="0" w:color="000000"/>
              <w:right w:val="nil"/>
            </w:tcBorders>
            <w:tcMar>
              <w:top w:w="0" w:type="dxa"/>
              <w:left w:w="108" w:type="dxa"/>
              <w:bottom w:w="0" w:type="dxa"/>
              <w:right w:w="108" w:type="dxa"/>
            </w:tcMar>
            <w:vAlign w:val="center"/>
          </w:tcPr>
          <w:p w14:paraId="4527FA03" w14:textId="272571AE"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82.09</w:t>
            </w:r>
            <w:r w:rsidR="00EC2431" w:rsidRPr="00EB2E4B">
              <w:rPr>
                <w:sz w:val="20"/>
              </w:rPr>
              <w:t>%</w:t>
            </w:r>
          </w:p>
        </w:tc>
      </w:tr>
      <w:tr w:rsidR="00D21890" w:rsidRPr="00EB2E4B" w14:paraId="2EE8A147" w14:textId="77777777" w:rsidTr="00916E0E">
        <w:trPr>
          <w:jc w:val="center"/>
        </w:trPr>
        <w:tc>
          <w:tcPr>
            <w:tcW w:w="3261" w:type="dxa"/>
            <w:tcBorders>
              <w:top w:val="single" w:sz="4" w:space="0" w:color="000000"/>
              <w:left w:val="nil"/>
              <w:bottom w:val="nil"/>
              <w:right w:val="nil"/>
            </w:tcBorders>
            <w:tcMar>
              <w:top w:w="0" w:type="dxa"/>
              <w:left w:w="108" w:type="dxa"/>
              <w:bottom w:w="0" w:type="dxa"/>
              <w:right w:w="108" w:type="dxa"/>
            </w:tcMar>
            <w:vAlign w:val="center"/>
            <w:hideMark/>
          </w:tcPr>
          <w:p w14:paraId="3B6842F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Informative communication</w:t>
            </w:r>
          </w:p>
        </w:tc>
        <w:tc>
          <w:tcPr>
            <w:tcW w:w="1275" w:type="dxa"/>
            <w:tcBorders>
              <w:top w:val="single" w:sz="4" w:space="0" w:color="000000"/>
              <w:left w:val="nil"/>
              <w:bottom w:val="nil"/>
              <w:right w:val="nil"/>
            </w:tcBorders>
            <w:tcMar>
              <w:top w:w="0" w:type="dxa"/>
              <w:left w:w="108" w:type="dxa"/>
              <w:bottom w:w="0" w:type="dxa"/>
              <w:right w:w="108" w:type="dxa"/>
            </w:tcMar>
            <w:vAlign w:val="center"/>
          </w:tcPr>
          <w:p w14:paraId="29DE7B84" w14:textId="6C255010"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158</w:t>
            </w:r>
          </w:p>
        </w:tc>
        <w:tc>
          <w:tcPr>
            <w:tcW w:w="1418" w:type="dxa"/>
            <w:tcBorders>
              <w:top w:val="single" w:sz="4" w:space="0" w:color="000000"/>
              <w:left w:val="nil"/>
              <w:bottom w:val="nil"/>
              <w:right w:val="nil"/>
            </w:tcBorders>
            <w:tcMar>
              <w:top w:w="0" w:type="dxa"/>
              <w:left w:w="108" w:type="dxa"/>
              <w:bottom w:w="0" w:type="dxa"/>
              <w:right w:w="108" w:type="dxa"/>
            </w:tcMar>
            <w:vAlign w:val="center"/>
          </w:tcPr>
          <w:p w14:paraId="573532BF" w14:textId="6D2DBAA5"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43.52%</w:t>
            </w:r>
          </w:p>
        </w:tc>
      </w:tr>
      <w:tr w:rsidR="00D21890" w:rsidRPr="00EB2E4B" w14:paraId="4DD80774" w14:textId="77777777" w:rsidTr="00916E0E">
        <w:trPr>
          <w:jc w:val="center"/>
        </w:trPr>
        <w:tc>
          <w:tcPr>
            <w:tcW w:w="3261" w:type="dxa"/>
            <w:tcBorders>
              <w:top w:val="nil"/>
              <w:left w:val="nil"/>
              <w:bottom w:val="single" w:sz="4" w:space="0" w:color="000000"/>
              <w:right w:val="nil"/>
            </w:tcBorders>
            <w:tcMar>
              <w:top w:w="0" w:type="dxa"/>
              <w:left w:w="108" w:type="dxa"/>
              <w:bottom w:w="0" w:type="dxa"/>
              <w:right w:w="108" w:type="dxa"/>
            </w:tcMar>
            <w:vAlign w:val="center"/>
            <w:hideMark/>
          </w:tcPr>
          <w:p w14:paraId="2D7FFD1B" w14:textId="77777777" w:rsidR="00D21890" w:rsidRPr="00EB2E4B" w:rsidRDefault="00D21890" w:rsidP="00D21890">
            <w:pPr>
              <w:overflowPunct w:val="0"/>
              <w:autoSpaceDE w:val="0"/>
              <w:autoSpaceDN w:val="0"/>
              <w:adjustRightInd w:val="0"/>
              <w:spacing w:line="240" w:lineRule="atLeast"/>
              <w:ind w:firstLine="227"/>
              <w:textAlignment w:val="baseline"/>
              <w:rPr>
                <w:sz w:val="20"/>
              </w:rPr>
            </w:pPr>
            <w:r w:rsidRPr="00EB2E4B">
              <w:rPr>
                <w:sz w:val="20"/>
              </w:rPr>
              <w:t>Interacting communication</w:t>
            </w:r>
          </w:p>
        </w:tc>
        <w:tc>
          <w:tcPr>
            <w:tcW w:w="1275" w:type="dxa"/>
            <w:tcBorders>
              <w:top w:val="nil"/>
              <w:left w:val="nil"/>
              <w:bottom w:val="single" w:sz="4" w:space="0" w:color="000000"/>
              <w:right w:val="nil"/>
            </w:tcBorders>
            <w:tcMar>
              <w:top w:w="0" w:type="dxa"/>
              <w:left w:w="108" w:type="dxa"/>
              <w:bottom w:w="0" w:type="dxa"/>
              <w:right w:w="108" w:type="dxa"/>
            </w:tcMar>
            <w:vAlign w:val="center"/>
          </w:tcPr>
          <w:p w14:paraId="221DC642" w14:textId="58147B5D"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207</w:t>
            </w:r>
          </w:p>
        </w:tc>
        <w:tc>
          <w:tcPr>
            <w:tcW w:w="1418" w:type="dxa"/>
            <w:tcBorders>
              <w:top w:val="nil"/>
              <w:left w:val="nil"/>
              <w:bottom w:val="single" w:sz="4" w:space="0" w:color="000000"/>
              <w:right w:val="nil"/>
            </w:tcBorders>
            <w:tcMar>
              <w:top w:w="0" w:type="dxa"/>
              <w:left w:w="108" w:type="dxa"/>
              <w:bottom w:w="0" w:type="dxa"/>
              <w:right w:w="108" w:type="dxa"/>
            </w:tcMar>
            <w:vAlign w:val="center"/>
          </w:tcPr>
          <w:p w14:paraId="6B4B9675" w14:textId="66149D1C"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57.02%</w:t>
            </w:r>
          </w:p>
        </w:tc>
      </w:tr>
      <w:tr w:rsidR="00D21890" w:rsidRPr="00EB2E4B" w14:paraId="0719555D" w14:textId="77777777" w:rsidTr="00916E0E">
        <w:trPr>
          <w:jc w:val="center"/>
        </w:trPr>
        <w:tc>
          <w:tcPr>
            <w:tcW w:w="3261" w:type="dxa"/>
            <w:tcBorders>
              <w:top w:val="single" w:sz="4" w:space="0" w:color="000000"/>
              <w:left w:val="nil"/>
              <w:bottom w:val="single" w:sz="8" w:space="0" w:color="000000"/>
              <w:right w:val="nil"/>
            </w:tcBorders>
            <w:tcMar>
              <w:top w:w="0" w:type="dxa"/>
              <w:left w:w="108" w:type="dxa"/>
              <w:bottom w:w="0" w:type="dxa"/>
              <w:right w:w="108" w:type="dxa"/>
            </w:tcMar>
            <w:vAlign w:val="center"/>
            <w:hideMark/>
          </w:tcPr>
          <w:p w14:paraId="73A2DE34" w14:textId="77777777" w:rsidR="00D21890" w:rsidRPr="00EB2E4B" w:rsidRDefault="00D21890" w:rsidP="00D21890">
            <w:pPr>
              <w:overflowPunct w:val="0"/>
              <w:autoSpaceDE w:val="0"/>
              <w:autoSpaceDN w:val="0"/>
              <w:adjustRightInd w:val="0"/>
              <w:spacing w:line="240" w:lineRule="atLeast"/>
              <w:ind w:firstLine="227"/>
              <w:textAlignment w:val="baseline"/>
              <w:rPr>
                <w:b/>
                <w:bCs/>
                <w:sz w:val="20"/>
              </w:rPr>
            </w:pPr>
            <w:r w:rsidRPr="00EB2E4B">
              <w:rPr>
                <w:b/>
                <w:bCs/>
                <w:sz w:val="20"/>
              </w:rPr>
              <w:t>Total CE tweets</w:t>
            </w:r>
          </w:p>
        </w:tc>
        <w:tc>
          <w:tcPr>
            <w:tcW w:w="1275" w:type="dxa"/>
            <w:tcBorders>
              <w:top w:val="single" w:sz="4" w:space="0" w:color="000000"/>
              <w:left w:val="nil"/>
              <w:bottom w:val="single" w:sz="8" w:space="0" w:color="000000"/>
              <w:right w:val="nil"/>
            </w:tcBorders>
            <w:tcMar>
              <w:top w:w="0" w:type="dxa"/>
              <w:left w:w="108" w:type="dxa"/>
              <w:bottom w:w="0" w:type="dxa"/>
              <w:right w:w="108" w:type="dxa"/>
            </w:tcMar>
            <w:vAlign w:val="center"/>
          </w:tcPr>
          <w:p w14:paraId="4A3374C4" w14:textId="1995A99C" w:rsidR="00D21890" w:rsidRPr="00EB2E4B" w:rsidRDefault="00116F13" w:rsidP="00D21890">
            <w:pPr>
              <w:overflowPunct w:val="0"/>
              <w:autoSpaceDE w:val="0"/>
              <w:autoSpaceDN w:val="0"/>
              <w:adjustRightInd w:val="0"/>
              <w:spacing w:line="240" w:lineRule="atLeast"/>
              <w:ind w:left="567"/>
              <w:textAlignment w:val="baseline"/>
              <w:rPr>
                <w:sz w:val="20"/>
              </w:rPr>
            </w:pPr>
            <w:r w:rsidRPr="00EB2E4B">
              <w:rPr>
                <w:sz w:val="20"/>
              </w:rPr>
              <w:t>363</w:t>
            </w:r>
          </w:p>
        </w:tc>
        <w:tc>
          <w:tcPr>
            <w:tcW w:w="1418" w:type="dxa"/>
            <w:tcBorders>
              <w:top w:val="single" w:sz="4" w:space="0" w:color="000000"/>
              <w:left w:val="nil"/>
              <w:bottom w:val="single" w:sz="8" w:space="0" w:color="000000"/>
              <w:right w:val="nil"/>
            </w:tcBorders>
            <w:tcMar>
              <w:top w:w="0" w:type="dxa"/>
              <w:left w:w="108" w:type="dxa"/>
              <w:bottom w:w="0" w:type="dxa"/>
              <w:right w:w="108" w:type="dxa"/>
            </w:tcMar>
            <w:vAlign w:val="center"/>
          </w:tcPr>
          <w:p w14:paraId="3313510E" w14:textId="5A60E355" w:rsidR="00D21890" w:rsidRPr="00EB2E4B" w:rsidRDefault="00116F13" w:rsidP="00116F13">
            <w:pPr>
              <w:overflowPunct w:val="0"/>
              <w:autoSpaceDE w:val="0"/>
              <w:autoSpaceDN w:val="0"/>
              <w:adjustRightInd w:val="0"/>
              <w:spacing w:line="240" w:lineRule="atLeast"/>
              <w:ind w:left="567"/>
              <w:jc w:val="right"/>
              <w:textAlignment w:val="baseline"/>
              <w:rPr>
                <w:sz w:val="20"/>
              </w:rPr>
            </w:pPr>
            <w:r w:rsidRPr="00EB2E4B">
              <w:rPr>
                <w:sz w:val="20"/>
              </w:rPr>
              <w:t>100%</w:t>
            </w:r>
          </w:p>
        </w:tc>
      </w:tr>
    </w:tbl>
    <w:p w14:paraId="19D3CCE6" w14:textId="77777777" w:rsidR="00750DF4" w:rsidRPr="00EB2E4B" w:rsidRDefault="00750DF4" w:rsidP="00134FA4">
      <w:pPr>
        <w:jc w:val="center"/>
        <w:rPr>
          <w:b/>
        </w:rPr>
      </w:pPr>
    </w:p>
    <w:p w14:paraId="53CE8FA4" w14:textId="157CFAEC" w:rsidR="00005C93" w:rsidRPr="00EB2E4B" w:rsidRDefault="00116F13" w:rsidP="00005C93">
      <w:r w:rsidRPr="00EB2E4B">
        <w:t>Concerning</w:t>
      </w:r>
      <w:r w:rsidR="00005C93" w:rsidRPr="00EB2E4B">
        <w:t xml:space="preserve"> the direction and balance</w:t>
      </w:r>
      <w:r w:rsidRPr="00EB2E4B">
        <w:t>d</w:t>
      </w:r>
      <w:r w:rsidR="00005C93" w:rsidRPr="00EB2E4B">
        <w:t xml:space="preserve"> </w:t>
      </w:r>
      <w:r w:rsidRPr="00EB2E4B">
        <w:t xml:space="preserve">nature of the published posts, </w:t>
      </w:r>
      <w:r w:rsidR="00005C93" w:rsidRPr="00EB2E4B">
        <w:t xml:space="preserve">Table </w:t>
      </w:r>
      <w:r w:rsidR="00F90F98">
        <w:t>5</w:t>
      </w:r>
      <w:r w:rsidR="00005C93" w:rsidRPr="00EB2E4B">
        <w:t xml:space="preserve"> </w:t>
      </w:r>
      <w:r w:rsidRPr="00EB2E4B">
        <w:t>shows</w:t>
      </w:r>
      <w:r w:rsidR="00005C93" w:rsidRPr="00EB2E4B">
        <w:t xml:space="preserve"> the distribution from 2020 to 202</w:t>
      </w:r>
      <w:r w:rsidRPr="00EB2E4B">
        <w:t>2 of all the companies analyzed</w:t>
      </w:r>
      <w:r w:rsidR="00005C93" w:rsidRPr="00EB2E4B">
        <w:t xml:space="preserve">. </w:t>
      </w:r>
      <w:r w:rsidRPr="00EB2E4B">
        <w:t>Generally</w:t>
      </w:r>
      <w:r w:rsidR="00005C93" w:rsidRPr="00EB2E4B">
        <w:t xml:space="preserve">, the </w:t>
      </w:r>
      <w:r w:rsidRPr="00EB2E4B">
        <w:t>lowest</w:t>
      </w:r>
      <w:r w:rsidR="00005C93" w:rsidRPr="00EB2E4B">
        <w:t xml:space="preserve"> percentage of CE </w:t>
      </w:r>
      <w:r w:rsidRPr="00EB2E4B">
        <w:t>messages</w:t>
      </w:r>
      <w:r w:rsidR="00005C93" w:rsidRPr="00EB2E4B">
        <w:t xml:space="preserve"> is </w:t>
      </w:r>
      <w:r w:rsidRPr="00EB2E4B">
        <w:t>classified</w:t>
      </w:r>
      <w:r w:rsidR="00005C93" w:rsidRPr="00EB2E4B">
        <w:t xml:space="preserve"> as </w:t>
      </w:r>
      <w:r w:rsidRPr="00EB2E4B">
        <w:t>one</w:t>
      </w:r>
      <w:r w:rsidR="00005C93" w:rsidRPr="00EB2E4B">
        <w:t>-way communication (</w:t>
      </w:r>
      <w:proofErr w:type="gramStart"/>
      <w:r w:rsidR="00005C93" w:rsidRPr="00EB2E4B">
        <w:t>i.e.</w:t>
      </w:r>
      <w:proofErr w:type="gramEnd"/>
      <w:r w:rsidR="00005C93" w:rsidRPr="00EB2E4B">
        <w:t xml:space="preserve"> </w:t>
      </w:r>
      <w:r w:rsidRPr="00EB2E4B">
        <w:t>17.90</w:t>
      </w:r>
      <w:r w:rsidR="00005C93" w:rsidRPr="00EB2E4B">
        <w:t>%)</w:t>
      </w:r>
      <w:r w:rsidRPr="00EB2E4B">
        <w:t xml:space="preserve">, while 82.09% provide two-way communication content. </w:t>
      </w:r>
    </w:p>
    <w:p w14:paraId="07315173" w14:textId="6C514554" w:rsidR="00D21890" w:rsidRPr="00EB2E4B" w:rsidRDefault="00495B13" w:rsidP="00D21890">
      <w:pPr>
        <w:rPr>
          <w:lang w:bidi="en-US"/>
        </w:rPr>
      </w:pPr>
      <w:r w:rsidRPr="00EB2E4B">
        <w:rPr>
          <w:lang w:bidi="en-US"/>
        </w:rPr>
        <w:t>T</w:t>
      </w:r>
      <w:r w:rsidR="00D21890" w:rsidRPr="00EB2E4B">
        <w:rPr>
          <w:lang w:bidi="en-US"/>
        </w:rPr>
        <w:t>he communication</w:t>
      </w:r>
      <w:r w:rsidRPr="00EB2E4B">
        <w:rPr>
          <w:lang w:bidi="en-US"/>
        </w:rPr>
        <w:t xml:space="preserve"> balance </w:t>
      </w:r>
      <w:r w:rsidR="00D21890" w:rsidRPr="00EB2E4B">
        <w:rPr>
          <w:lang w:bidi="en-US"/>
        </w:rPr>
        <w:t xml:space="preserve">shows that </w:t>
      </w:r>
      <w:r w:rsidRPr="00EB2E4B">
        <w:rPr>
          <w:lang w:bidi="en-US"/>
        </w:rPr>
        <w:t>an interacting nature characterizes 57.02% of the CE posts published by the companies</w:t>
      </w:r>
      <w:r w:rsidR="00D21890" w:rsidRPr="00EB2E4B">
        <w:rPr>
          <w:lang w:bidi="en-US"/>
        </w:rPr>
        <w:t xml:space="preserve">, while 45.56 % have </w:t>
      </w:r>
      <w:r w:rsidRPr="00EB2E4B">
        <w:rPr>
          <w:lang w:bidi="en-US"/>
        </w:rPr>
        <w:t xml:space="preserve">a </w:t>
      </w:r>
      <w:r w:rsidR="00D21890" w:rsidRPr="00EB2E4B">
        <w:rPr>
          <w:lang w:bidi="en-US"/>
        </w:rPr>
        <w:t xml:space="preserve">communicating </w:t>
      </w:r>
      <w:r w:rsidRPr="00EB2E4B">
        <w:rPr>
          <w:lang w:bidi="en-US"/>
        </w:rPr>
        <w:t>nature.</w:t>
      </w:r>
    </w:p>
    <w:p w14:paraId="0A0E69AB" w14:textId="77777777" w:rsidR="00D21890" w:rsidRPr="00EB2E4B" w:rsidRDefault="00D21890" w:rsidP="00D21890">
      <w:pPr>
        <w:pStyle w:val="heading1"/>
        <w:numPr>
          <w:ilvl w:val="0"/>
          <w:numId w:val="0"/>
        </w:numPr>
        <w:ind w:left="567" w:hanging="567"/>
        <w:rPr>
          <w:bCs/>
        </w:rPr>
      </w:pPr>
      <w:r w:rsidRPr="00EB2E4B">
        <w:rPr>
          <w:bCs/>
        </w:rPr>
        <w:t xml:space="preserve">5. Conclusions </w:t>
      </w:r>
    </w:p>
    <w:p w14:paraId="65F88422" w14:textId="1CB9894B" w:rsidR="00D21890" w:rsidRPr="00EB2E4B" w:rsidRDefault="00495B13" w:rsidP="00D21890">
      <w:pPr>
        <w:rPr>
          <w:lang w:val="en-GB"/>
        </w:rPr>
      </w:pPr>
      <w:r w:rsidRPr="00EB2E4B">
        <w:rPr>
          <w:lang w:val="en-GB"/>
        </w:rPr>
        <w:t>In</w:t>
      </w:r>
      <w:r w:rsidR="0017644F" w:rsidRPr="00EB2E4B">
        <w:rPr>
          <w:lang w:val="en-GB"/>
        </w:rPr>
        <w:t xml:space="preserve"> conclusion</w:t>
      </w:r>
      <w:r w:rsidR="00D21890" w:rsidRPr="00EB2E4B">
        <w:rPr>
          <w:lang w:val="en-GB"/>
        </w:rPr>
        <w:t xml:space="preserve">, </w:t>
      </w:r>
      <w:r w:rsidR="0017644F" w:rsidRPr="00EB2E4B">
        <w:rPr>
          <w:lang w:val="en-GB"/>
        </w:rPr>
        <w:t>the</w:t>
      </w:r>
      <w:r w:rsidR="00D21890" w:rsidRPr="00EB2E4B">
        <w:rPr>
          <w:lang w:val="en-GB"/>
        </w:rPr>
        <w:t xml:space="preserve"> preliminary </w:t>
      </w:r>
      <w:r w:rsidR="0017644F" w:rsidRPr="00EB2E4B">
        <w:rPr>
          <w:lang w:val="en-GB"/>
        </w:rPr>
        <w:t>findings presented have outlined</w:t>
      </w:r>
      <w:r w:rsidR="00D21890" w:rsidRPr="00EB2E4B">
        <w:rPr>
          <w:lang w:val="en-GB"/>
        </w:rPr>
        <w:t xml:space="preserve"> that social media </w:t>
      </w:r>
      <w:r w:rsidR="0017644F" w:rsidRPr="00EB2E4B">
        <w:rPr>
          <w:lang w:val="en-GB"/>
        </w:rPr>
        <w:t xml:space="preserve">have the potential to communicate and disclose to a whole forum of stakeholders CE-related information, such as practices, </w:t>
      </w:r>
      <w:proofErr w:type="gramStart"/>
      <w:r w:rsidR="0017644F" w:rsidRPr="00EB2E4B">
        <w:rPr>
          <w:lang w:val="en-GB"/>
        </w:rPr>
        <w:t>initiatives</w:t>
      </w:r>
      <w:proofErr w:type="gramEnd"/>
      <w:r w:rsidR="0017644F" w:rsidRPr="00EB2E4B">
        <w:rPr>
          <w:lang w:val="en-GB"/>
        </w:rPr>
        <w:t xml:space="preserve"> and performances. </w:t>
      </w:r>
      <w:proofErr w:type="gramStart"/>
      <w:r w:rsidR="0017644F" w:rsidRPr="00EB2E4B">
        <w:rPr>
          <w:lang w:val="en-GB"/>
        </w:rPr>
        <w:t xml:space="preserve">Moreover, </w:t>
      </w:r>
      <w:r w:rsidR="00D21890" w:rsidRPr="00EB2E4B">
        <w:rPr>
          <w:lang w:val="en-GB"/>
        </w:rPr>
        <w:t xml:space="preserve"> </w:t>
      </w:r>
      <w:r w:rsidR="0017644F" w:rsidRPr="00EB2E4B">
        <w:rPr>
          <w:lang w:val="en-GB"/>
        </w:rPr>
        <w:t>SM</w:t>
      </w:r>
      <w:proofErr w:type="gramEnd"/>
      <w:r w:rsidR="0017644F" w:rsidRPr="00EB2E4B">
        <w:rPr>
          <w:lang w:val="en-GB"/>
        </w:rPr>
        <w:t xml:space="preserve"> could </w:t>
      </w:r>
      <w:r w:rsidRPr="00EB2E4B">
        <w:rPr>
          <w:lang w:val="en-GB"/>
        </w:rPr>
        <w:t>also be useful tools to stimulate a dialogue with stakeholders and society</w:t>
      </w:r>
      <w:r w:rsidR="00D21890" w:rsidRPr="00EB2E4B">
        <w:rPr>
          <w:lang w:val="en-GB"/>
        </w:rPr>
        <w:t xml:space="preserve">. This </w:t>
      </w:r>
      <w:r w:rsidR="0017644F" w:rsidRPr="00EB2E4B">
        <w:rPr>
          <w:lang w:val="en-GB"/>
        </w:rPr>
        <w:t>engagement</w:t>
      </w:r>
      <w:r w:rsidR="00D21890" w:rsidRPr="00EB2E4B">
        <w:rPr>
          <w:lang w:val="en-GB"/>
        </w:rPr>
        <w:t xml:space="preserve"> </w:t>
      </w:r>
      <w:r w:rsidR="0017644F" w:rsidRPr="00EB2E4B">
        <w:rPr>
          <w:lang w:val="en-GB"/>
        </w:rPr>
        <w:t>can support agri-food companies</w:t>
      </w:r>
      <w:r w:rsidR="00D21890" w:rsidRPr="00EB2E4B">
        <w:rPr>
          <w:lang w:val="en-GB"/>
        </w:rPr>
        <w:t xml:space="preserve"> </w:t>
      </w:r>
      <w:r w:rsidR="0017644F" w:rsidRPr="00EB2E4B">
        <w:rPr>
          <w:lang w:val="en-GB"/>
        </w:rPr>
        <w:t>in</w:t>
      </w:r>
      <w:r w:rsidR="00D21890" w:rsidRPr="00EB2E4B">
        <w:rPr>
          <w:lang w:val="en-GB"/>
        </w:rPr>
        <w:t xml:space="preserve"> rais</w:t>
      </w:r>
      <w:r w:rsidR="0017644F" w:rsidRPr="00EB2E4B">
        <w:rPr>
          <w:lang w:val="en-GB"/>
        </w:rPr>
        <w:t>ing a</w:t>
      </w:r>
      <w:r w:rsidRPr="00EB2E4B">
        <w:rPr>
          <w:lang w:val="en-GB"/>
        </w:rPr>
        <w:t>wareness among social network users of the need to be part of the CE transition</w:t>
      </w:r>
      <w:r w:rsidR="0017644F" w:rsidRPr="00EB2E4B">
        <w:rPr>
          <w:lang w:val="en-GB"/>
        </w:rPr>
        <w:t xml:space="preserve"> to allow ecosystem survival</w:t>
      </w:r>
      <w:r w:rsidR="00D21890" w:rsidRPr="00EB2E4B">
        <w:rPr>
          <w:lang w:val="en-GB"/>
        </w:rPr>
        <w:t xml:space="preserve">. </w:t>
      </w:r>
      <w:r w:rsidR="0017644F" w:rsidRPr="00EB2E4B">
        <w:rPr>
          <w:lang w:val="en-GB"/>
        </w:rPr>
        <w:t>In fact</w:t>
      </w:r>
      <w:r w:rsidR="00D21890" w:rsidRPr="00EB2E4B">
        <w:rPr>
          <w:lang w:val="en-GB"/>
        </w:rPr>
        <w:t xml:space="preserve">, the stakeholder dialogue </w:t>
      </w:r>
      <w:r w:rsidR="0017644F" w:rsidRPr="00EB2E4B">
        <w:rPr>
          <w:lang w:val="en-GB"/>
        </w:rPr>
        <w:t>raises</w:t>
      </w:r>
      <w:r w:rsidR="00D21890" w:rsidRPr="00EB2E4B">
        <w:rPr>
          <w:lang w:val="en-GB"/>
        </w:rPr>
        <w:t xml:space="preserve"> as a</w:t>
      </w:r>
      <w:r w:rsidR="0017644F" w:rsidRPr="00EB2E4B">
        <w:rPr>
          <w:lang w:val="en-GB"/>
        </w:rPr>
        <w:t xml:space="preserve"> pivotal topic</w:t>
      </w:r>
      <w:r w:rsidR="00D21890" w:rsidRPr="00EB2E4B">
        <w:rPr>
          <w:lang w:val="en-GB"/>
        </w:rPr>
        <w:t xml:space="preserve"> that </w:t>
      </w:r>
      <w:r w:rsidR="0017644F" w:rsidRPr="00EB2E4B">
        <w:rPr>
          <w:lang w:val="en-GB"/>
        </w:rPr>
        <w:t>enables agri-food</w:t>
      </w:r>
      <w:r w:rsidR="00D21890" w:rsidRPr="00EB2E4B">
        <w:rPr>
          <w:lang w:val="en-GB"/>
        </w:rPr>
        <w:t xml:space="preserve"> managers </w:t>
      </w:r>
      <w:r w:rsidR="0017644F" w:rsidRPr="00EB2E4B">
        <w:rPr>
          <w:lang w:val="en-GB"/>
        </w:rPr>
        <w:t>to encompass</w:t>
      </w:r>
      <w:r w:rsidR="00D21890" w:rsidRPr="00EB2E4B">
        <w:rPr>
          <w:lang w:val="en-GB"/>
        </w:rPr>
        <w:t xml:space="preserve"> stakeholders</w:t>
      </w:r>
      <w:r w:rsidR="00432AFD" w:rsidRPr="00EB2E4B">
        <w:rPr>
          <w:lang w:val="en-GB"/>
        </w:rPr>
        <w:t>'</w:t>
      </w:r>
      <w:r w:rsidR="00D21890" w:rsidRPr="00EB2E4B">
        <w:rPr>
          <w:lang w:val="en-GB"/>
        </w:rPr>
        <w:t xml:space="preserve"> </w:t>
      </w:r>
      <w:r w:rsidR="0017644F" w:rsidRPr="00EB2E4B">
        <w:rPr>
          <w:lang w:val="en-GB"/>
        </w:rPr>
        <w:t>expectations</w:t>
      </w:r>
      <w:r w:rsidR="00D21890" w:rsidRPr="00EB2E4B">
        <w:rPr>
          <w:lang w:val="en-GB"/>
        </w:rPr>
        <w:t xml:space="preserve"> in their strategies. </w:t>
      </w:r>
    </w:p>
    <w:p w14:paraId="09F20357" w14:textId="031F0F6D" w:rsidR="00D21890" w:rsidRPr="00EB2E4B" w:rsidRDefault="00D21890" w:rsidP="00D21890">
      <w:pPr>
        <w:rPr>
          <w:lang w:val="en-GB"/>
        </w:rPr>
      </w:pPr>
      <w:r w:rsidRPr="00EB2E4B">
        <w:t xml:space="preserve">This </w:t>
      </w:r>
      <w:r w:rsidR="00AC4791" w:rsidRPr="00EB2E4B">
        <w:t>study</w:t>
      </w:r>
      <w:r w:rsidRPr="00EB2E4B">
        <w:t xml:space="preserve"> </w:t>
      </w:r>
      <w:r w:rsidR="00AC4791" w:rsidRPr="00EB2E4B">
        <w:t>can</w:t>
      </w:r>
      <w:r w:rsidRPr="00EB2E4B">
        <w:t xml:space="preserve"> be helpful both for </w:t>
      </w:r>
      <w:r w:rsidR="00B3287E" w:rsidRPr="00EB2E4B">
        <w:t>scholars</w:t>
      </w:r>
      <w:r w:rsidRPr="00EB2E4B">
        <w:t xml:space="preserve"> and </w:t>
      </w:r>
      <w:r w:rsidR="00B3287E" w:rsidRPr="00EB2E4B">
        <w:t>agri-food managers</w:t>
      </w:r>
      <w:r w:rsidRPr="00EB2E4B">
        <w:t xml:space="preserve"> </w:t>
      </w:r>
      <w:r w:rsidR="00B3287E" w:rsidRPr="00EB2E4B">
        <w:t xml:space="preserve">who can count on </w:t>
      </w:r>
      <w:r w:rsidRPr="00EB2E4B">
        <w:t xml:space="preserve">our </w:t>
      </w:r>
      <w:r w:rsidR="00B3287E" w:rsidRPr="00EB2E4B">
        <w:t>findings</w:t>
      </w:r>
      <w:r w:rsidRPr="00EB2E4B">
        <w:t xml:space="preserve"> to </w:t>
      </w:r>
      <w:r w:rsidR="00B3287E" w:rsidRPr="00EB2E4B">
        <w:t>explore</w:t>
      </w:r>
      <w:r w:rsidRPr="00EB2E4B">
        <w:t xml:space="preserve"> and </w:t>
      </w:r>
      <w:r w:rsidR="00B3287E" w:rsidRPr="00EB2E4B">
        <w:t>adopt</w:t>
      </w:r>
      <w:r w:rsidRPr="00EB2E4B">
        <w:t xml:space="preserve"> </w:t>
      </w:r>
      <w:proofErr w:type="gramStart"/>
      <w:r w:rsidRPr="00EB2E4B">
        <w:t xml:space="preserve">SM </w:t>
      </w:r>
      <w:r w:rsidR="00B3287E" w:rsidRPr="00EB2E4B">
        <w:t xml:space="preserve"> to</w:t>
      </w:r>
      <w:proofErr w:type="gramEnd"/>
      <w:r w:rsidR="00B3287E" w:rsidRPr="00EB2E4B">
        <w:t xml:space="preserve"> disclose their commitment towards </w:t>
      </w:r>
      <w:r w:rsidRPr="00EB2E4B">
        <w:t xml:space="preserve">CE to </w:t>
      </w:r>
      <w:r w:rsidR="00B3287E" w:rsidRPr="00EB2E4B">
        <w:t>enhance the</w:t>
      </w:r>
      <w:r w:rsidRPr="00EB2E4B">
        <w:t xml:space="preserve"> stakeholder engagement</w:t>
      </w:r>
      <w:r w:rsidR="00B3287E" w:rsidRPr="00EB2E4B">
        <w:t xml:space="preserve"> level, </w:t>
      </w:r>
      <w:r w:rsidR="00495B13" w:rsidRPr="00EB2E4B">
        <w:rPr>
          <w:lang w:val="en-GB"/>
        </w:rPr>
        <w:t>stimulating</w:t>
      </w:r>
      <w:r w:rsidRPr="00EB2E4B">
        <w:rPr>
          <w:lang w:val="en-GB"/>
        </w:rPr>
        <w:t xml:space="preserve"> the digital debate</w:t>
      </w:r>
      <w:r w:rsidR="00B3287E" w:rsidRPr="00EB2E4B">
        <w:rPr>
          <w:lang w:val="en-GB"/>
        </w:rPr>
        <w:t>.</w:t>
      </w:r>
      <w:r w:rsidRPr="00EB2E4B">
        <w:rPr>
          <w:lang w:val="en-GB"/>
        </w:rPr>
        <w:t xml:space="preserve"> </w:t>
      </w:r>
      <w:r w:rsidR="001419F5" w:rsidRPr="00EB2E4B">
        <w:t>In the end</w:t>
      </w:r>
      <w:r w:rsidRPr="00EB2E4B">
        <w:t xml:space="preserve">, </w:t>
      </w:r>
      <w:r w:rsidR="001419F5" w:rsidRPr="00EB2E4B">
        <w:t>institutions</w:t>
      </w:r>
      <w:r w:rsidRPr="00EB2E4B">
        <w:t xml:space="preserve"> can </w:t>
      </w:r>
      <w:r w:rsidR="001419F5" w:rsidRPr="00EB2E4B">
        <w:t>establish</w:t>
      </w:r>
      <w:r w:rsidRPr="00EB2E4B">
        <w:t xml:space="preserve"> frameworks</w:t>
      </w:r>
      <w:r w:rsidR="001419F5" w:rsidRPr="00EB2E4B">
        <w:t xml:space="preserve"> and guidelines</w:t>
      </w:r>
      <w:r w:rsidRPr="00EB2E4B">
        <w:t xml:space="preserve"> for CE reporting through SM</w:t>
      </w:r>
      <w:r w:rsidR="001419F5" w:rsidRPr="00EB2E4B">
        <w:t xml:space="preserve"> at </w:t>
      </w:r>
      <w:r w:rsidR="00495B13" w:rsidRPr="00EB2E4B">
        <w:t xml:space="preserve">the </w:t>
      </w:r>
      <w:r w:rsidR="001419F5" w:rsidRPr="00EB2E4B">
        <w:t>European and international level</w:t>
      </w:r>
      <w:r w:rsidR="00495B13" w:rsidRPr="00EB2E4B">
        <w:t>s</w:t>
      </w:r>
      <w:r w:rsidR="001419F5" w:rsidRPr="00EB2E4B">
        <w:t xml:space="preserve">. </w:t>
      </w:r>
    </w:p>
    <w:p w14:paraId="00425DD2" w14:textId="4D404FCD" w:rsidR="00D21890" w:rsidRPr="00EB2E4B" w:rsidRDefault="001419F5" w:rsidP="00D21890">
      <w:pPr>
        <w:rPr>
          <w:lang w:val="en-GB"/>
        </w:rPr>
      </w:pPr>
      <w:r w:rsidRPr="00EB2E4B">
        <w:rPr>
          <w:lang w:val="en-GB"/>
        </w:rPr>
        <w:t xml:space="preserve">This study attempts to </w:t>
      </w:r>
      <w:proofErr w:type="gramStart"/>
      <w:r w:rsidRPr="00EB2E4B">
        <w:rPr>
          <w:lang w:val="en-GB"/>
        </w:rPr>
        <w:t>provide also</w:t>
      </w:r>
      <w:proofErr w:type="gramEnd"/>
      <w:r w:rsidRPr="00EB2E4B">
        <w:rPr>
          <w:lang w:val="en-GB"/>
        </w:rPr>
        <w:t xml:space="preserve"> some theoretical implications. Despite</w:t>
      </w:r>
      <w:r w:rsidR="00D21890" w:rsidRPr="00EB2E4B">
        <w:rPr>
          <w:lang w:val="en-GB"/>
        </w:rPr>
        <w:t xml:space="preserve"> the literature on </w:t>
      </w:r>
      <w:r w:rsidRPr="00EB2E4B">
        <w:rPr>
          <w:lang w:val="en-GB"/>
        </w:rPr>
        <w:t xml:space="preserve">stakeholder </w:t>
      </w:r>
      <w:r w:rsidR="00D21890" w:rsidRPr="00EB2E4B">
        <w:rPr>
          <w:lang w:val="en-GB"/>
        </w:rPr>
        <w:t xml:space="preserve">engagement and </w:t>
      </w:r>
      <w:r w:rsidRPr="00EB2E4B">
        <w:rPr>
          <w:lang w:val="en-GB"/>
        </w:rPr>
        <w:t xml:space="preserve">CE </w:t>
      </w:r>
      <w:r w:rsidR="00D21890" w:rsidRPr="00EB2E4B">
        <w:rPr>
          <w:lang w:val="en-GB"/>
        </w:rPr>
        <w:t xml:space="preserve">disclosure </w:t>
      </w:r>
      <w:r w:rsidR="001F3E0B" w:rsidRPr="00EB2E4B">
        <w:rPr>
          <w:lang w:val="en-GB"/>
        </w:rPr>
        <w:t>being</w:t>
      </w:r>
      <w:r w:rsidR="00D21890" w:rsidRPr="00EB2E4B">
        <w:rPr>
          <w:lang w:val="en-GB"/>
        </w:rPr>
        <w:t xml:space="preserve"> still </w:t>
      </w:r>
      <w:r w:rsidRPr="00EB2E4B">
        <w:rPr>
          <w:lang w:val="en-GB"/>
        </w:rPr>
        <w:t>poor</w:t>
      </w:r>
      <w:r w:rsidR="00D21890" w:rsidRPr="00EB2E4B">
        <w:rPr>
          <w:lang w:val="en-GB"/>
        </w:rPr>
        <w:t xml:space="preserve">, SM </w:t>
      </w:r>
      <w:r w:rsidRPr="00EB2E4B">
        <w:rPr>
          <w:lang w:val="en-GB"/>
        </w:rPr>
        <w:t xml:space="preserve">can be considered one of </w:t>
      </w:r>
      <w:r w:rsidR="00D21890" w:rsidRPr="00EB2E4B">
        <w:rPr>
          <w:lang w:val="en-GB"/>
        </w:rPr>
        <w:t xml:space="preserve">the most </w:t>
      </w:r>
      <w:r w:rsidRPr="00EB2E4B">
        <w:rPr>
          <w:lang w:val="en-GB"/>
        </w:rPr>
        <w:t xml:space="preserve">helpful </w:t>
      </w:r>
      <w:r w:rsidR="00D21890" w:rsidRPr="00EB2E4B">
        <w:rPr>
          <w:lang w:val="en-GB"/>
        </w:rPr>
        <w:t>tool</w:t>
      </w:r>
      <w:r w:rsidR="001F3E0B" w:rsidRPr="00EB2E4B">
        <w:rPr>
          <w:lang w:val="en-GB"/>
        </w:rPr>
        <w:t>s</w:t>
      </w:r>
      <w:r w:rsidR="00D21890" w:rsidRPr="00EB2E4B">
        <w:rPr>
          <w:lang w:val="en-GB"/>
        </w:rPr>
        <w:t xml:space="preserve"> </w:t>
      </w:r>
      <w:r w:rsidR="001F3E0B" w:rsidRPr="00EB2E4B">
        <w:rPr>
          <w:lang w:val="en-GB"/>
        </w:rPr>
        <w:t>for creating</w:t>
      </w:r>
      <w:r w:rsidR="00D21890" w:rsidRPr="00EB2E4B">
        <w:rPr>
          <w:lang w:val="en-GB"/>
        </w:rPr>
        <w:t xml:space="preserve"> </w:t>
      </w:r>
      <w:r w:rsidR="001F3E0B" w:rsidRPr="00EB2E4B">
        <w:rPr>
          <w:lang w:val="en-GB"/>
        </w:rPr>
        <w:t xml:space="preserve">a </w:t>
      </w:r>
      <w:r w:rsidR="00D21890" w:rsidRPr="00EB2E4B">
        <w:rPr>
          <w:lang w:val="en-GB"/>
        </w:rPr>
        <w:t xml:space="preserve">dialogue </w:t>
      </w:r>
      <w:r w:rsidRPr="00EB2E4B">
        <w:rPr>
          <w:lang w:val="en-GB"/>
        </w:rPr>
        <w:t>between agri-food companies and their</w:t>
      </w:r>
      <w:r w:rsidR="00D21890" w:rsidRPr="00EB2E4B">
        <w:rPr>
          <w:lang w:val="en-GB"/>
        </w:rPr>
        <w:t xml:space="preserve"> stakeholders. Accordingly, scholars </w:t>
      </w:r>
      <w:r w:rsidR="002D06A1" w:rsidRPr="00EB2E4B">
        <w:rPr>
          <w:lang w:val="en-GB"/>
        </w:rPr>
        <w:t>can</w:t>
      </w:r>
      <w:r w:rsidR="00D21890" w:rsidRPr="00EB2E4B">
        <w:rPr>
          <w:lang w:val="en-GB"/>
        </w:rPr>
        <w:t xml:space="preserve"> </w:t>
      </w:r>
      <w:r w:rsidR="001F3E0B" w:rsidRPr="00EB2E4B">
        <w:rPr>
          <w:lang w:val="en-GB"/>
        </w:rPr>
        <w:t>explore this research window in-depth to provide practical recommendations</w:t>
      </w:r>
      <w:r w:rsidR="006E73AB" w:rsidRPr="00EB2E4B">
        <w:rPr>
          <w:lang w:val="en-GB"/>
        </w:rPr>
        <w:t xml:space="preserve"> and proposals</w:t>
      </w:r>
      <w:r w:rsidR="00D21890" w:rsidRPr="00EB2E4B">
        <w:rPr>
          <w:lang w:val="en-GB"/>
        </w:rPr>
        <w:t xml:space="preserve"> to the agri-food managers to </w:t>
      </w:r>
      <w:r w:rsidR="006E73AB" w:rsidRPr="00EB2E4B">
        <w:rPr>
          <w:lang w:val="en-GB"/>
        </w:rPr>
        <w:t>establish</w:t>
      </w:r>
      <w:r w:rsidR="00D21890" w:rsidRPr="00EB2E4B">
        <w:rPr>
          <w:lang w:val="en-GB"/>
        </w:rPr>
        <w:t xml:space="preserve"> engaging </w:t>
      </w:r>
      <w:r w:rsidR="006E73AB" w:rsidRPr="00EB2E4B">
        <w:rPr>
          <w:lang w:val="en-GB"/>
        </w:rPr>
        <w:t>disclosure</w:t>
      </w:r>
      <w:r w:rsidR="00D21890" w:rsidRPr="00EB2E4B">
        <w:rPr>
          <w:lang w:val="en-GB"/>
        </w:rPr>
        <w:t xml:space="preserve"> strategies.</w:t>
      </w:r>
    </w:p>
    <w:p w14:paraId="0D15E170" w14:textId="32224E56" w:rsidR="00D21890" w:rsidRPr="00EB2E4B" w:rsidRDefault="006E73AB" w:rsidP="00D21890">
      <w:pPr>
        <w:rPr>
          <w:lang w:val="en-GB"/>
        </w:rPr>
      </w:pPr>
      <w:r w:rsidRPr="00EB2E4B">
        <w:rPr>
          <w:lang w:val="en-GB"/>
        </w:rPr>
        <w:t>Moreover</w:t>
      </w:r>
      <w:r w:rsidR="00D21890" w:rsidRPr="00EB2E4B">
        <w:rPr>
          <w:lang w:val="en-GB"/>
        </w:rPr>
        <w:t xml:space="preserve">, </w:t>
      </w:r>
      <w:r w:rsidRPr="00EB2E4B">
        <w:rPr>
          <w:lang w:val="en-GB"/>
        </w:rPr>
        <w:t>scholars</w:t>
      </w:r>
      <w:r w:rsidR="00D21890" w:rsidRPr="00EB2E4B">
        <w:rPr>
          <w:lang w:val="en-GB"/>
        </w:rPr>
        <w:t xml:space="preserve"> can </w:t>
      </w:r>
      <w:r w:rsidRPr="00EB2E4B">
        <w:rPr>
          <w:lang w:val="en-GB"/>
        </w:rPr>
        <w:t>explore</w:t>
      </w:r>
      <w:r w:rsidR="00D21890" w:rsidRPr="00EB2E4B">
        <w:rPr>
          <w:lang w:val="en-GB"/>
        </w:rPr>
        <w:t xml:space="preserve"> CE disclosure </w:t>
      </w:r>
      <w:r w:rsidRPr="00EB2E4B">
        <w:rPr>
          <w:lang w:val="en-GB"/>
        </w:rPr>
        <w:t>via</w:t>
      </w:r>
      <w:r w:rsidR="00D21890" w:rsidRPr="00EB2E4B">
        <w:rPr>
          <w:lang w:val="en-GB"/>
        </w:rPr>
        <w:t xml:space="preserve"> SM </w:t>
      </w:r>
      <w:r w:rsidRPr="00EB2E4B">
        <w:rPr>
          <w:lang w:val="en-GB"/>
        </w:rPr>
        <w:t xml:space="preserve">according to </w:t>
      </w:r>
      <w:r w:rsidR="00D21890" w:rsidRPr="00EB2E4B">
        <w:rPr>
          <w:lang w:val="en-GB"/>
        </w:rPr>
        <w:t xml:space="preserve">different theoretical </w:t>
      </w:r>
      <w:r w:rsidRPr="00EB2E4B">
        <w:rPr>
          <w:lang w:val="en-GB"/>
        </w:rPr>
        <w:t xml:space="preserve">perspectives. </w:t>
      </w:r>
    </w:p>
    <w:p w14:paraId="1B76363F" w14:textId="3AF5C6F8" w:rsidR="00D21890" w:rsidRPr="00EB2E4B" w:rsidRDefault="00A570FE" w:rsidP="00D21890">
      <w:r w:rsidRPr="00EB2E4B">
        <w:rPr>
          <w:lang w:val="en-GB"/>
        </w:rPr>
        <w:t>Nevertheless</w:t>
      </w:r>
      <w:r w:rsidR="00D21890" w:rsidRPr="00EB2E4B">
        <w:rPr>
          <w:lang w:val="en-GB"/>
        </w:rPr>
        <w:t xml:space="preserve">, this </w:t>
      </w:r>
      <w:r w:rsidRPr="00EB2E4B">
        <w:rPr>
          <w:lang w:val="en-GB"/>
        </w:rPr>
        <w:t>research</w:t>
      </w:r>
      <w:r w:rsidR="00D21890" w:rsidRPr="00EB2E4B">
        <w:rPr>
          <w:lang w:val="en-GB"/>
        </w:rPr>
        <w:t xml:space="preserve"> </w:t>
      </w:r>
      <w:r w:rsidRPr="00EB2E4B">
        <w:rPr>
          <w:lang w:val="en-GB"/>
        </w:rPr>
        <w:t>has some</w:t>
      </w:r>
      <w:r w:rsidR="00D21890" w:rsidRPr="00EB2E4B">
        <w:rPr>
          <w:lang w:val="en-GB"/>
        </w:rPr>
        <w:t xml:space="preserve"> limitations. </w:t>
      </w:r>
      <w:proofErr w:type="gramStart"/>
      <w:r w:rsidRPr="00EB2E4B">
        <w:rPr>
          <w:lang w:val="en-GB"/>
        </w:rPr>
        <w:t>First of all</w:t>
      </w:r>
      <w:proofErr w:type="gramEnd"/>
      <w:r w:rsidRPr="00EB2E4B">
        <w:rPr>
          <w:lang w:val="en-GB"/>
        </w:rPr>
        <w:t xml:space="preserve">, </w:t>
      </w:r>
      <w:r w:rsidR="001F3E0B" w:rsidRPr="00EB2E4B">
        <w:rPr>
          <w:lang w:val="en-GB"/>
        </w:rPr>
        <w:t xml:space="preserve">it is </w:t>
      </w:r>
      <w:r w:rsidR="00D21890" w:rsidRPr="00EB2E4B">
        <w:rPr>
          <w:lang w:val="en-GB"/>
        </w:rPr>
        <w:t xml:space="preserve">limited to a </w:t>
      </w:r>
      <w:r w:rsidR="001F3E0B" w:rsidRPr="00EB2E4B">
        <w:rPr>
          <w:lang w:val="en-GB"/>
        </w:rPr>
        <w:t xml:space="preserve">defined </w:t>
      </w:r>
      <w:r w:rsidR="00D21890" w:rsidRPr="00EB2E4B">
        <w:rPr>
          <w:lang w:val="en-GB"/>
        </w:rPr>
        <w:t>period</w:t>
      </w:r>
      <w:r w:rsidR="001F3E0B" w:rsidRPr="00EB2E4B">
        <w:rPr>
          <w:lang w:val="en-GB"/>
        </w:rPr>
        <w:t>. Consequently</w:t>
      </w:r>
      <w:r w:rsidR="00D21890" w:rsidRPr="00EB2E4B">
        <w:rPr>
          <w:lang w:val="en-GB"/>
        </w:rPr>
        <w:t xml:space="preserve">, future </w:t>
      </w:r>
      <w:r w:rsidR="001F3E0B" w:rsidRPr="00EB2E4B">
        <w:rPr>
          <w:lang w:val="en-GB"/>
        </w:rPr>
        <w:t>research</w:t>
      </w:r>
      <w:r w:rsidR="00D21890" w:rsidRPr="00EB2E4B">
        <w:rPr>
          <w:lang w:val="en-GB"/>
        </w:rPr>
        <w:t xml:space="preserve"> </w:t>
      </w:r>
      <w:r w:rsidR="001F3E0B" w:rsidRPr="00EB2E4B">
        <w:rPr>
          <w:lang w:val="en-GB"/>
        </w:rPr>
        <w:t>could</w:t>
      </w:r>
      <w:r w:rsidR="00D21890" w:rsidRPr="00EB2E4B">
        <w:rPr>
          <w:lang w:val="en-GB"/>
        </w:rPr>
        <w:t xml:space="preserve"> </w:t>
      </w:r>
      <w:r w:rsidR="001F3E0B" w:rsidRPr="00EB2E4B">
        <w:rPr>
          <w:lang w:val="en-GB"/>
        </w:rPr>
        <w:t>employ</w:t>
      </w:r>
      <w:r w:rsidR="00D21890" w:rsidRPr="00EB2E4B">
        <w:rPr>
          <w:lang w:val="en-GB"/>
        </w:rPr>
        <w:t xml:space="preserve"> different </w:t>
      </w:r>
      <w:r w:rsidR="001F3E0B" w:rsidRPr="00EB2E4B">
        <w:rPr>
          <w:lang w:val="en-GB"/>
        </w:rPr>
        <w:t>instruments</w:t>
      </w:r>
      <w:r w:rsidR="00D21890" w:rsidRPr="00EB2E4B">
        <w:rPr>
          <w:lang w:val="en-GB"/>
        </w:rPr>
        <w:t xml:space="preserve"> to extract and </w:t>
      </w:r>
      <w:proofErr w:type="spellStart"/>
      <w:r w:rsidR="00D21890" w:rsidRPr="00EB2E4B">
        <w:rPr>
          <w:lang w:val="en-GB"/>
        </w:rPr>
        <w:t>analyze</w:t>
      </w:r>
      <w:proofErr w:type="spellEnd"/>
      <w:r w:rsidR="00D21890" w:rsidRPr="00EB2E4B">
        <w:rPr>
          <w:lang w:val="en-GB"/>
        </w:rPr>
        <w:t xml:space="preserve"> data</w:t>
      </w:r>
      <w:r w:rsidR="001F3E0B" w:rsidRPr="00EB2E4B">
        <w:rPr>
          <w:lang w:val="en-GB"/>
        </w:rPr>
        <w:t>, following other analytical frameworks. Furthermore</w:t>
      </w:r>
      <w:r w:rsidR="00D21890" w:rsidRPr="00EB2E4B">
        <w:rPr>
          <w:lang w:val="en-GB"/>
        </w:rPr>
        <w:t xml:space="preserve">, </w:t>
      </w:r>
      <w:r w:rsidR="001F3E0B" w:rsidRPr="00EB2E4B">
        <w:rPr>
          <w:lang w:val="en-GB"/>
        </w:rPr>
        <w:lastRenderedPageBreak/>
        <w:t>academics</w:t>
      </w:r>
      <w:r w:rsidR="00D21890" w:rsidRPr="00EB2E4B">
        <w:rPr>
          <w:lang w:val="en-GB"/>
        </w:rPr>
        <w:t xml:space="preserve"> can </w:t>
      </w:r>
      <w:r w:rsidR="001F3E0B" w:rsidRPr="00EB2E4B">
        <w:rPr>
          <w:lang w:val="en-GB"/>
        </w:rPr>
        <w:t>investigate</w:t>
      </w:r>
      <w:r w:rsidR="00D21890" w:rsidRPr="00EB2E4B">
        <w:rPr>
          <w:lang w:val="en-GB"/>
        </w:rPr>
        <w:t xml:space="preserve"> </w:t>
      </w:r>
      <w:r w:rsidR="001F3E0B" w:rsidRPr="00EB2E4B">
        <w:rPr>
          <w:lang w:val="en-GB"/>
        </w:rPr>
        <w:t xml:space="preserve">the use of </w:t>
      </w:r>
      <w:r w:rsidR="00D21890" w:rsidRPr="00EB2E4B">
        <w:rPr>
          <w:lang w:val="en-GB"/>
        </w:rPr>
        <w:t xml:space="preserve">other SM like Instagram, Facebook and LinkedIn </w:t>
      </w:r>
      <w:r w:rsidR="001F3E0B" w:rsidRPr="00EB2E4B">
        <w:rPr>
          <w:lang w:val="en-GB"/>
        </w:rPr>
        <w:t xml:space="preserve">or perform the analysis on a higher company sample in different geographic areas. </w:t>
      </w:r>
    </w:p>
    <w:p w14:paraId="210BC55A" w14:textId="186B1027" w:rsidR="00D21890" w:rsidRPr="00EB2E4B" w:rsidRDefault="00D21890" w:rsidP="00D21890">
      <w:pPr>
        <w:pStyle w:val="heading1"/>
        <w:numPr>
          <w:ilvl w:val="0"/>
          <w:numId w:val="0"/>
        </w:numPr>
        <w:ind w:left="567" w:hanging="567"/>
      </w:pPr>
      <w:r w:rsidRPr="00EB2E4B">
        <w:t>References</w:t>
      </w:r>
    </w:p>
    <w:p w14:paraId="718F43E2" w14:textId="77777777" w:rsidR="00712389" w:rsidRPr="00EB2E4B" w:rsidRDefault="00712389" w:rsidP="00712389">
      <w:pPr>
        <w:rPr>
          <w:lang w:val="en-GB"/>
        </w:rPr>
      </w:pPr>
      <w:proofErr w:type="spellStart"/>
      <w:r w:rsidRPr="00EB2E4B">
        <w:rPr>
          <w:lang w:val="en-GB"/>
        </w:rPr>
        <w:t>Alkmanash</w:t>
      </w:r>
      <w:proofErr w:type="spellEnd"/>
      <w:r w:rsidRPr="00EB2E4B">
        <w:rPr>
          <w:lang w:val="en-GB"/>
        </w:rPr>
        <w:t xml:space="preserve">, E.H., </w:t>
      </w:r>
      <w:proofErr w:type="spellStart"/>
      <w:r w:rsidRPr="00EB2E4B">
        <w:rPr>
          <w:lang w:val="en-GB"/>
        </w:rPr>
        <w:t>Jussila</w:t>
      </w:r>
      <w:proofErr w:type="spellEnd"/>
      <w:r w:rsidRPr="00EB2E4B">
        <w:rPr>
          <w:lang w:val="en-GB"/>
        </w:rPr>
        <w:t xml:space="preserve">, J.J., </w:t>
      </w:r>
      <w:proofErr w:type="spellStart"/>
      <w:r w:rsidRPr="00EB2E4B">
        <w:rPr>
          <w:lang w:val="en-GB"/>
        </w:rPr>
        <w:t>Lytras</w:t>
      </w:r>
      <w:proofErr w:type="spellEnd"/>
      <w:r w:rsidRPr="00EB2E4B">
        <w:rPr>
          <w:lang w:val="en-GB"/>
        </w:rPr>
        <w:t xml:space="preserve">, M.D., </w:t>
      </w:r>
      <w:proofErr w:type="spellStart"/>
      <w:r w:rsidRPr="00EB2E4B">
        <w:rPr>
          <w:lang w:val="en-GB"/>
        </w:rPr>
        <w:t>Visvizi</w:t>
      </w:r>
      <w:proofErr w:type="spellEnd"/>
      <w:r w:rsidRPr="00EB2E4B">
        <w:rPr>
          <w:lang w:val="en-GB"/>
        </w:rPr>
        <w:t>, A.: Annotation of Smart Cities Twitter Microcontents for Enhanced Citizen's Engagement, In: IEEE Access August 2019 7, 116267 – 116276 (2019).</w:t>
      </w:r>
    </w:p>
    <w:p w14:paraId="63C0ABE4" w14:textId="77777777" w:rsidR="00712389" w:rsidRPr="00EB2E4B" w:rsidRDefault="00712389" w:rsidP="00712389">
      <w:pPr>
        <w:rPr>
          <w:lang w:val="en-GB"/>
        </w:rPr>
      </w:pPr>
    </w:p>
    <w:p w14:paraId="011C41F1" w14:textId="7C608D1F" w:rsidR="00712389" w:rsidRPr="00EB2E4B" w:rsidRDefault="00712389" w:rsidP="00712389">
      <w:pPr>
        <w:rPr>
          <w:lang w:val="en-GB"/>
        </w:rPr>
      </w:pPr>
      <w:proofErr w:type="spellStart"/>
      <w:r w:rsidRPr="00EB2E4B">
        <w:rPr>
          <w:lang w:val="en-GB"/>
        </w:rPr>
        <w:t>Barnabe</w:t>
      </w:r>
      <w:proofErr w:type="spellEnd"/>
      <w:r w:rsidRPr="00EB2E4B">
        <w:rPr>
          <w:lang w:val="en-GB"/>
        </w:rPr>
        <w:t xml:space="preserve">, F., &amp; Nazir, S.: Investigating the interplays between integrated reporting practices and circular </w:t>
      </w:r>
      <w:r w:rsidRPr="00EB2E4B">
        <w:rPr>
          <w:lang w:val="en-GB"/>
        </w:rPr>
        <w:tab/>
        <w:t>economy disclosure. International Journal of Productivity and Performance Management 70(8), 2001-2031 (2020).</w:t>
      </w:r>
    </w:p>
    <w:p w14:paraId="04322095" w14:textId="77777777" w:rsidR="00712389" w:rsidRPr="00EB2E4B" w:rsidRDefault="00712389" w:rsidP="00712389">
      <w:pPr>
        <w:rPr>
          <w:lang w:val="en-GB"/>
        </w:rPr>
      </w:pPr>
    </w:p>
    <w:p w14:paraId="31F5ECAA" w14:textId="5AFBAD3F" w:rsidR="00712389" w:rsidRPr="00EB2E4B" w:rsidRDefault="00712389" w:rsidP="00712389">
      <w:pPr>
        <w:rPr>
          <w:lang w:val="en-GB"/>
        </w:rPr>
      </w:pPr>
      <w:proofErr w:type="spellStart"/>
      <w:r w:rsidRPr="00EB2E4B">
        <w:rPr>
          <w:lang w:val="en-GB"/>
        </w:rPr>
        <w:t>Barnabè</w:t>
      </w:r>
      <w:proofErr w:type="spellEnd"/>
      <w:r w:rsidRPr="00EB2E4B">
        <w:rPr>
          <w:lang w:val="en-GB"/>
        </w:rPr>
        <w:t>, F., &amp; Nazir, S.: Conceptualizing and enabling circular economy through integrated thinking. Corporate Social Responsibility and Environmental Management 29, 448-468 (2021).</w:t>
      </w:r>
    </w:p>
    <w:p w14:paraId="428510B9" w14:textId="77777777" w:rsidR="00712389" w:rsidRPr="00EB2E4B" w:rsidRDefault="00712389" w:rsidP="00712389">
      <w:pPr>
        <w:pStyle w:val="Paragrafoelenco"/>
        <w:ind w:firstLine="0"/>
      </w:pPr>
    </w:p>
    <w:p w14:paraId="23693854" w14:textId="77777777" w:rsidR="00712389" w:rsidRPr="00EB2E4B" w:rsidRDefault="00712389" w:rsidP="00712389">
      <w:pPr>
        <w:rPr>
          <w:lang w:val="en-GB"/>
        </w:rPr>
      </w:pPr>
      <w:r w:rsidRPr="00EB2E4B">
        <w:rPr>
          <w:lang w:val="en-GB"/>
        </w:rPr>
        <w:t>Bebbington, J., Brown, J. and Frame, B.: Accounting technologies and sustainability assessment models. Ecological Economics 61 (2), 224–36 (2007).</w:t>
      </w:r>
    </w:p>
    <w:p w14:paraId="3E3B2817" w14:textId="77777777" w:rsidR="00712389" w:rsidRPr="00EB2E4B" w:rsidRDefault="00712389" w:rsidP="00712389">
      <w:pPr>
        <w:rPr>
          <w:lang w:val="en-GB"/>
        </w:rPr>
      </w:pPr>
    </w:p>
    <w:p w14:paraId="2709CBA7" w14:textId="77777777" w:rsidR="00712389" w:rsidRPr="00EB2E4B" w:rsidRDefault="00712389" w:rsidP="00712389">
      <w:pPr>
        <w:rPr>
          <w:lang w:val="en-GB"/>
        </w:rPr>
      </w:pPr>
      <w:r w:rsidRPr="00EB2E4B">
        <w:rPr>
          <w:lang w:val="en-GB"/>
        </w:rPr>
        <w:t xml:space="preserve">Bellucci, M. and </w:t>
      </w:r>
      <w:proofErr w:type="spellStart"/>
      <w:r w:rsidRPr="00EB2E4B">
        <w:rPr>
          <w:lang w:val="en-GB"/>
        </w:rPr>
        <w:t>Manetti</w:t>
      </w:r>
      <w:proofErr w:type="spellEnd"/>
      <w:r w:rsidRPr="00EB2E4B">
        <w:rPr>
          <w:lang w:val="en-GB"/>
        </w:rPr>
        <w:t xml:space="preserve"> G.: Facebook as a tool for supporting dialogic accounting? Evidence </w:t>
      </w:r>
      <w:proofErr w:type="spellStart"/>
      <w:r w:rsidRPr="00EB2E4B">
        <w:rPr>
          <w:lang w:val="en-GB"/>
        </w:rPr>
        <w:t>fromlarge</w:t>
      </w:r>
      <w:proofErr w:type="spellEnd"/>
      <w:r w:rsidRPr="00EB2E4B">
        <w:rPr>
          <w:lang w:val="en-GB"/>
        </w:rPr>
        <w:t xml:space="preserve"> philanthropic foundations in the United States. Accounting, Auditing &amp; Accountability Journal 30(4), 874–905 (2017).</w:t>
      </w:r>
    </w:p>
    <w:p w14:paraId="101ED3CE" w14:textId="09B051D1" w:rsidR="00712389" w:rsidRPr="00EB2E4B" w:rsidRDefault="00712389" w:rsidP="00712389">
      <w:pPr>
        <w:rPr>
          <w:lang w:val="en-GB"/>
        </w:rPr>
      </w:pPr>
    </w:p>
    <w:p w14:paraId="3A22DEEF" w14:textId="77777777" w:rsidR="00712389" w:rsidRPr="00EB2E4B" w:rsidRDefault="00712389" w:rsidP="00712389">
      <w:pPr>
        <w:rPr>
          <w:lang w:val="en-GB"/>
        </w:rPr>
      </w:pPr>
      <w:proofErr w:type="spellStart"/>
      <w:r w:rsidRPr="00EB2E4B">
        <w:rPr>
          <w:lang w:val="en-GB"/>
        </w:rPr>
        <w:t>Blomsma</w:t>
      </w:r>
      <w:proofErr w:type="spellEnd"/>
      <w:r w:rsidRPr="00EB2E4B">
        <w:rPr>
          <w:lang w:val="en-GB"/>
        </w:rPr>
        <w:t xml:space="preserve">, F., &amp; Brennan, G.: The emergence of circular economy: a new framing around prolonging </w:t>
      </w:r>
      <w:r w:rsidRPr="00EB2E4B">
        <w:rPr>
          <w:lang w:val="en-GB"/>
        </w:rPr>
        <w:tab/>
        <w:t>resource productivity. Journal of Industrial Ecology, 21(3) 603-614 (2017).</w:t>
      </w:r>
    </w:p>
    <w:p w14:paraId="66CF4C77" w14:textId="77777777" w:rsidR="00712389" w:rsidRPr="00EB2E4B" w:rsidRDefault="00712389" w:rsidP="00712389">
      <w:pPr>
        <w:rPr>
          <w:lang w:val="en-GB"/>
        </w:rPr>
      </w:pPr>
    </w:p>
    <w:p w14:paraId="26A57809" w14:textId="215E400F" w:rsidR="00712389" w:rsidRPr="00EB2E4B" w:rsidRDefault="00712389" w:rsidP="00712389">
      <w:pPr>
        <w:rPr>
          <w:lang w:val="en-GB"/>
        </w:rPr>
      </w:pPr>
      <w:r w:rsidRPr="00EB2E4B">
        <w:rPr>
          <w:lang w:val="en-GB"/>
        </w:rPr>
        <w:t xml:space="preserve">Boons, F., </w:t>
      </w:r>
      <w:proofErr w:type="spellStart"/>
      <w:r w:rsidRPr="00EB2E4B">
        <w:rPr>
          <w:lang w:val="en-GB"/>
        </w:rPr>
        <w:t>Chertow</w:t>
      </w:r>
      <w:proofErr w:type="spellEnd"/>
      <w:r w:rsidRPr="00EB2E4B">
        <w:rPr>
          <w:lang w:val="en-GB"/>
        </w:rPr>
        <w:t xml:space="preserve">, M., Park, J., </w:t>
      </w:r>
      <w:proofErr w:type="spellStart"/>
      <w:r w:rsidRPr="00EB2E4B">
        <w:rPr>
          <w:lang w:val="en-GB"/>
        </w:rPr>
        <w:t>Spekkink</w:t>
      </w:r>
      <w:proofErr w:type="spellEnd"/>
      <w:r w:rsidRPr="00EB2E4B">
        <w:rPr>
          <w:lang w:val="en-GB"/>
        </w:rPr>
        <w:t>, W., &amp; Shi, H.: Industrial symbiosis dynamics and the problem of equivalence: Proposal for a comparative framework. Journal of Industrial Ecology, 21(4), 938-952 (2017).</w:t>
      </w:r>
    </w:p>
    <w:p w14:paraId="2432052B" w14:textId="77777777" w:rsidR="00712389" w:rsidRPr="00EB2E4B" w:rsidRDefault="00712389" w:rsidP="00712389">
      <w:pPr>
        <w:rPr>
          <w:lang w:val="en-GB"/>
        </w:rPr>
      </w:pPr>
    </w:p>
    <w:p w14:paraId="32120584" w14:textId="6F6B5F0E" w:rsidR="00712389" w:rsidRPr="00EB2E4B" w:rsidRDefault="00712389" w:rsidP="00712389">
      <w:pPr>
        <w:rPr>
          <w:lang w:val="en-GB"/>
        </w:rPr>
      </w:pPr>
      <w:proofErr w:type="spellStart"/>
      <w:r w:rsidRPr="00EB2E4B">
        <w:rPr>
          <w:lang w:val="en-GB"/>
        </w:rPr>
        <w:t>Braungart</w:t>
      </w:r>
      <w:proofErr w:type="spellEnd"/>
      <w:r w:rsidRPr="00EB2E4B">
        <w:rPr>
          <w:lang w:val="en-GB"/>
        </w:rPr>
        <w:t xml:space="preserve">, M., McDonough, W., </w:t>
      </w:r>
      <w:proofErr w:type="spellStart"/>
      <w:r w:rsidRPr="00EB2E4B">
        <w:rPr>
          <w:lang w:val="en-GB"/>
        </w:rPr>
        <w:t>Kälin</w:t>
      </w:r>
      <w:proofErr w:type="spellEnd"/>
      <w:r w:rsidRPr="00EB2E4B">
        <w:rPr>
          <w:lang w:val="en-GB"/>
        </w:rPr>
        <w:t xml:space="preserve">, A., &amp; Bollinger, A.: Cradle-to-cradle design: Creating healthy </w:t>
      </w:r>
      <w:r w:rsidRPr="00EB2E4B">
        <w:rPr>
          <w:lang w:val="en-GB"/>
        </w:rPr>
        <w:tab/>
        <w:t xml:space="preserve">emissions—A strategy for eco-effective product and system design, Journal of </w:t>
      </w:r>
      <w:proofErr w:type="spellStart"/>
      <w:r w:rsidRPr="00EB2E4B">
        <w:rPr>
          <w:lang w:val="en-GB"/>
        </w:rPr>
        <w:t>Clener</w:t>
      </w:r>
      <w:proofErr w:type="spellEnd"/>
      <w:r w:rsidRPr="00EB2E4B">
        <w:rPr>
          <w:lang w:val="en-GB"/>
        </w:rPr>
        <w:t xml:space="preserve"> Production 15 (13), 247-271 (2012).</w:t>
      </w:r>
    </w:p>
    <w:p w14:paraId="052A8CC8" w14:textId="4C678F53" w:rsidR="00712389" w:rsidRPr="00EB2E4B" w:rsidRDefault="00712389" w:rsidP="00712389">
      <w:pPr>
        <w:rPr>
          <w:lang w:val="en-GB"/>
        </w:rPr>
      </w:pPr>
    </w:p>
    <w:p w14:paraId="58653F12" w14:textId="77777777" w:rsidR="00712389" w:rsidRPr="00EB2E4B" w:rsidRDefault="00712389" w:rsidP="00712389">
      <w:pPr>
        <w:rPr>
          <w:lang w:val="en-GB"/>
        </w:rPr>
      </w:pPr>
      <w:r w:rsidRPr="00EB2E4B">
        <w:rPr>
          <w:lang w:val="en-GB"/>
        </w:rPr>
        <w:t>Carroll, Archie B.: Corporate Social Responsibility: Perspectives on the CSR Construct's Development and Future. Business &amp; Society 60, 1258–78 (2021).</w:t>
      </w:r>
    </w:p>
    <w:p w14:paraId="3BF2459C" w14:textId="77777777" w:rsidR="00712389" w:rsidRPr="00EB2E4B" w:rsidRDefault="00712389" w:rsidP="00712389">
      <w:pPr>
        <w:rPr>
          <w:lang w:val="en-GB"/>
        </w:rPr>
      </w:pPr>
    </w:p>
    <w:p w14:paraId="73E0F21E" w14:textId="77777777" w:rsidR="00712389" w:rsidRPr="00EB2E4B" w:rsidRDefault="00712389" w:rsidP="00712389">
      <w:pPr>
        <w:rPr>
          <w:lang w:val="en-GB"/>
        </w:rPr>
      </w:pPr>
      <w:r w:rsidRPr="00EB2E4B">
        <w:rPr>
          <w:lang w:val="en-GB"/>
        </w:rPr>
        <w:t xml:space="preserve">Climate Change Conference (COP26) Available at: </w:t>
      </w:r>
      <w:r w:rsidRPr="00EB2E4B">
        <w:rPr>
          <w:lang w:val="en-GB"/>
        </w:rPr>
        <w:tab/>
        <w:t xml:space="preserve">https://ec.europa.eu/commission/presscorner/detail/en/STATEMENT_21_5643 Accessed on 7 </w:t>
      </w:r>
      <w:r w:rsidRPr="00EB2E4B">
        <w:rPr>
          <w:lang w:val="en-GB"/>
        </w:rPr>
        <w:tab/>
        <w:t>December 2021</w:t>
      </w:r>
    </w:p>
    <w:p w14:paraId="0F0DE250" w14:textId="77777777" w:rsidR="00712389" w:rsidRPr="00EB2E4B" w:rsidRDefault="00712389" w:rsidP="00712389">
      <w:pPr>
        <w:rPr>
          <w:lang w:val="en-GB"/>
        </w:rPr>
      </w:pPr>
    </w:p>
    <w:p w14:paraId="658B1D22" w14:textId="17B56B34" w:rsidR="00712389" w:rsidRPr="00EB2E4B" w:rsidRDefault="00712389" w:rsidP="00712389">
      <w:pPr>
        <w:rPr>
          <w:lang w:val="en-GB"/>
        </w:rPr>
      </w:pPr>
      <w:r w:rsidRPr="00EB2E4B">
        <w:rPr>
          <w:lang w:val="en-GB"/>
        </w:rPr>
        <w:t>Ellen MacArthur Foundation. Towards the Circular Economy Vol.1: An Economic and Business Rationale for an Accelerated Transition; Ellen MacArthur Foundation: Cowes, UK (2013).</w:t>
      </w:r>
    </w:p>
    <w:p w14:paraId="25DE5893" w14:textId="77777777" w:rsidR="00712389" w:rsidRPr="00EB2E4B" w:rsidRDefault="00712389" w:rsidP="00712389">
      <w:pPr>
        <w:rPr>
          <w:lang w:val="en-GB"/>
        </w:rPr>
      </w:pPr>
    </w:p>
    <w:p w14:paraId="24E99831" w14:textId="22AFE238" w:rsidR="00712389" w:rsidRPr="00EB2E4B" w:rsidRDefault="00712389" w:rsidP="00712389">
      <w:pPr>
        <w:rPr>
          <w:lang w:val="en-GB"/>
        </w:rPr>
      </w:pPr>
      <w:r w:rsidRPr="00EB2E4B">
        <w:rPr>
          <w:lang w:val="en-GB"/>
        </w:rPr>
        <w:t xml:space="preserve">European Commission. Brussels, Belgium, European Commission. Communication from the </w:t>
      </w:r>
      <w:r w:rsidRPr="00EB2E4B">
        <w:rPr>
          <w:lang w:val="en-GB"/>
        </w:rPr>
        <w:tab/>
        <w:t xml:space="preserve">commission to the European parliament, the council, the European economic and social </w:t>
      </w:r>
      <w:proofErr w:type="gramStart"/>
      <w:r w:rsidRPr="00EB2E4B">
        <w:rPr>
          <w:lang w:val="en-GB"/>
        </w:rPr>
        <w:t>committee</w:t>
      </w:r>
      <w:proofErr w:type="gramEnd"/>
      <w:r w:rsidRPr="00EB2E4B">
        <w:rPr>
          <w:lang w:val="en-GB"/>
        </w:rPr>
        <w:t xml:space="preserve"> </w:t>
      </w:r>
      <w:r w:rsidRPr="00EB2E4B">
        <w:rPr>
          <w:lang w:val="en-GB"/>
        </w:rPr>
        <w:tab/>
        <w:t>and the committee of the regions. In Closing the Loop—An EU Action Plan for the Circular Economy (2014).</w:t>
      </w:r>
    </w:p>
    <w:p w14:paraId="508638F0" w14:textId="77777777" w:rsidR="00712389" w:rsidRPr="00EB2E4B" w:rsidRDefault="00712389" w:rsidP="00712389">
      <w:pPr>
        <w:rPr>
          <w:lang w:val="en-GB"/>
        </w:rPr>
      </w:pPr>
    </w:p>
    <w:p w14:paraId="3080466D" w14:textId="48432AAD" w:rsidR="00712389" w:rsidRPr="00EB2E4B" w:rsidRDefault="00712389" w:rsidP="00712389">
      <w:pPr>
        <w:rPr>
          <w:lang w:val="en-GB"/>
        </w:rPr>
      </w:pPr>
      <w:r w:rsidRPr="00EB2E4B">
        <w:rPr>
          <w:lang w:val="en-GB"/>
        </w:rPr>
        <w:t xml:space="preserve">European Commission: Brussels, Belgium; Ellen MacArthur Foundation. Towards the Circular </w:t>
      </w:r>
      <w:r w:rsidRPr="00EB2E4B">
        <w:rPr>
          <w:lang w:val="en-GB"/>
        </w:rPr>
        <w:tab/>
        <w:t xml:space="preserve">Economy: </w:t>
      </w:r>
      <w:r w:rsidRPr="00EB2E4B">
        <w:rPr>
          <w:lang w:val="en-GB"/>
        </w:rPr>
        <w:tab/>
        <w:t>Opportunities for the Consumer Goods Sector, (2015).</w:t>
      </w:r>
    </w:p>
    <w:p w14:paraId="53C9005E" w14:textId="77777777" w:rsidR="00712389" w:rsidRPr="00EB2E4B" w:rsidRDefault="00712389" w:rsidP="00712389">
      <w:pPr>
        <w:rPr>
          <w:lang w:val="en-GB"/>
        </w:rPr>
      </w:pPr>
    </w:p>
    <w:p w14:paraId="441A8708" w14:textId="612007F6" w:rsidR="00712389" w:rsidRPr="00EB2E4B" w:rsidRDefault="00712389" w:rsidP="00712389">
      <w:pPr>
        <w:rPr>
          <w:lang w:val="en-GB"/>
        </w:rPr>
      </w:pPr>
      <w:r w:rsidRPr="00EB2E4B">
        <w:rPr>
          <w:lang w:val="en-GB"/>
        </w:rPr>
        <w:t xml:space="preserve">European Commission: A European Agenda for the Collaborative Economy (No. </w:t>
      </w:r>
      <w:proofErr w:type="gramStart"/>
      <w:r w:rsidRPr="00EB2E4B">
        <w:rPr>
          <w:lang w:val="en-GB"/>
        </w:rPr>
        <w:t>COM(</w:t>
      </w:r>
      <w:proofErr w:type="gramEnd"/>
      <w:r w:rsidRPr="00EB2E4B">
        <w:rPr>
          <w:lang w:val="en-GB"/>
        </w:rPr>
        <w:t xml:space="preserve">2016) 356 </w:t>
      </w:r>
      <w:r w:rsidRPr="00EB2E4B">
        <w:rPr>
          <w:lang w:val="en-GB"/>
        </w:rPr>
        <w:tab/>
        <w:t>Final). Brussels (2016).</w:t>
      </w:r>
    </w:p>
    <w:p w14:paraId="24DE6533" w14:textId="77777777" w:rsidR="00712389" w:rsidRPr="00EB2E4B" w:rsidRDefault="00712389" w:rsidP="00712389">
      <w:pPr>
        <w:rPr>
          <w:lang w:val="en-GB"/>
        </w:rPr>
      </w:pPr>
    </w:p>
    <w:p w14:paraId="48BB2A07" w14:textId="02DD2089" w:rsidR="00712389" w:rsidRPr="00EB2E4B" w:rsidRDefault="00712389" w:rsidP="00712389">
      <w:pPr>
        <w:rPr>
          <w:lang w:val="en-GB"/>
        </w:rPr>
      </w:pPr>
      <w:r w:rsidRPr="00EB2E4B">
        <w:rPr>
          <w:lang w:val="en-GB"/>
        </w:rPr>
        <w:t xml:space="preserve">European Commission: </w:t>
      </w:r>
      <w:proofErr w:type="spellStart"/>
      <w:r w:rsidRPr="00EB2E4B">
        <w:rPr>
          <w:lang w:val="en-GB"/>
        </w:rPr>
        <w:t>Ecodesign</w:t>
      </w:r>
      <w:proofErr w:type="spellEnd"/>
      <w:r w:rsidRPr="00EB2E4B">
        <w:rPr>
          <w:lang w:val="en-GB"/>
        </w:rPr>
        <w:t xml:space="preserve"> Working Plan 2016-2019 (No. </w:t>
      </w:r>
      <w:proofErr w:type="gramStart"/>
      <w:r w:rsidRPr="00EB2E4B">
        <w:rPr>
          <w:lang w:val="en-GB"/>
        </w:rPr>
        <w:t>COM(</w:t>
      </w:r>
      <w:proofErr w:type="gramEnd"/>
      <w:r w:rsidRPr="00EB2E4B">
        <w:rPr>
          <w:lang w:val="en-GB"/>
        </w:rPr>
        <w:t>2016) 773 Final). Brussels (2016).</w:t>
      </w:r>
    </w:p>
    <w:p w14:paraId="7835D46C" w14:textId="77777777" w:rsidR="00712389" w:rsidRPr="00EB2E4B" w:rsidRDefault="00712389" w:rsidP="00712389">
      <w:pPr>
        <w:rPr>
          <w:lang w:val="en-GB"/>
        </w:rPr>
      </w:pPr>
    </w:p>
    <w:p w14:paraId="4F482C81" w14:textId="44233D54" w:rsidR="00712389" w:rsidRPr="00EB2E4B" w:rsidRDefault="00712389" w:rsidP="00712389">
      <w:pPr>
        <w:rPr>
          <w:lang w:val="en-GB"/>
        </w:rPr>
      </w:pPr>
      <w:r w:rsidRPr="00EB2E4B">
        <w:rPr>
          <w:lang w:val="en-GB"/>
        </w:rPr>
        <w:t>European Commission. Report on the Implementation of the Circular Economy Action Plan. Brussels (2019).</w:t>
      </w:r>
    </w:p>
    <w:p w14:paraId="16F4A74B" w14:textId="77777777" w:rsidR="00712389" w:rsidRPr="00EB2E4B" w:rsidRDefault="00712389" w:rsidP="00712389">
      <w:pPr>
        <w:rPr>
          <w:lang w:val="en-GB"/>
        </w:rPr>
      </w:pPr>
    </w:p>
    <w:p w14:paraId="1EE0222A" w14:textId="42C2B1AD" w:rsidR="00712389" w:rsidRPr="00EB2E4B" w:rsidRDefault="00712389" w:rsidP="00712389">
      <w:pPr>
        <w:rPr>
          <w:lang w:val="en-GB"/>
        </w:rPr>
      </w:pPr>
      <w:r w:rsidRPr="00EB2E4B">
        <w:rPr>
          <w:lang w:val="en-GB"/>
        </w:rPr>
        <w:t xml:space="preserve">European Commission: Sustainable Products in a Circular Economy - towards an EU Product Policy </w:t>
      </w:r>
      <w:r w:rsidRPr="00EB2E4B">
        <w:rPr>
          <w:lang w:val="en-GB"/>
        </w:rPr>
        <w:tab/>
        <w:t xml:space="preserve">Framework Contributing to the Circular </w:t>
      </w:r>
      <w:proofErr w:type="gramStart"/>
      <w:r w:rsidRPr="00EB2E4B">
        <w:rPr>
          <w:lang w:val="en-GB"/>
        </w:rPr>
        <w:t>Economy  (</w:t>
      </w:r>
      <w:proofErr w:type="gramEnd"/>
      <w:r w:rsidRPr="00EB2E4B">
        <w:rPr>
          <w:lang w:val="en-GB"/>
        </w:rPr>
        <w:t>2019).</w:t>
      </w:r>
    </w:p>
    <w:p w14:paraId="422713FD" w14:textId="77777777" w:rsidR="00712389" w:rsidRPr="00EB2E4B" w:rsidRDefault="00712389" w:rsidP="00712389">
      <w:pPr>
        <w:rPr>
          <w:lang w:val="en-GB"/>
        </w:rPr>
      </w:pPr>
    </w:p>
    <w:p w14:paraId="178B5BCF" w14:textId="70369817" w:rsidR="00712389" w:rsidRPr="00EB2E4B" w:rsidRDefault="00712389" w:rsidP="00712389">
      <w:pPr>
        <w:rPr>
          <w:lang w:val="en-GB"/>
        </w:rPr>
      </w:pPr>
      <w:r w:rsidRPr="00EB2E4B">
        <w:rPr>
          <w:lang w:val="en-GB"/>
        </w:rPr>
        <w:t>European Commission: The European Green Deal, Brussels (2019).</w:t>
      </w:r>
    </w:p>
    <w:p w14:paraId="7975999F" w14:textId="77777777" w:rsidR="00712389" w:rsidRPr="00EB2E4B" w:rsidRDefault="00712389" w:rsidP="00712389">
      <w:pPr>
        <w:rPr>
          <w:lang w:val="en-GB"/>
        </w:rPr>
      </w:pPr>
    </w:p>
    <w:p w14:paraId="584DD0AA" w14:textId="2F935EED" w:rsidR="00712389" w:rsidRPr="00EB2E4B" w:rsidRDefault="00712389" w:rsidP="00712389">
      <w:pPr>
        <w:rPr>
          <w:lang w:val="en-GB"/>
        </w:rPr>
      </w:pPr>
      <w:r w:rsidRPr="00EB2E4B">
        <w:rPr>
          <w:lang w:val="en-GB"/>
        </w:rPr>
        <w:t xml:space="preserve">European Commission: Circular Economy Action Plan - for a Cleaner and More Competitive Europe. </w:t>
      </w:r>
      <w:r w:rsidRPr="00EB2E4B">
        <w:rPr>
          <w:lang w:val="en-GB"/>
        </w:rPr>
        <w:tab/>
        <w:t>Belgium (2020).</w:t>
      </w:r>
    </w:p>
    <w:p w14:paraId="43AD6ECF" w14:textId="77777777" w:rsidR="00712389" w:rsidRPr="00EB2E4B" w:rsidRDefault="00712389" w:rsidP="00712389">
      <w:pPr>
        <w:rPr>
          <w:lang w:val="en-GB"/>
        </w:rPr>
      </w:pPr>
    </w:p>
    <w:p w14:paraId="3C4AFA00" w14:textId="77777777" w:rsidR="00712389" w:rsidRPr="00EB2E4B" w:rsidRDefault="00712389" w:rsidP="00712389">
      <w:pPr>
        <w:rPr>
          <w:lang w:val="en-GB"/>
        </w:rPr>
      </w:pPr>
      <w:r w:rsidRPr="00EB2E4B">
        <w:rPr>
          <w:lang w:val="en-GB"/>
        </w:rPr>
        <w:t xml:space="preserve">European Commission: Statement by President von der Leyen ahead of the G20 Summit and the </w:t>
      </w:r>
      <w:proofErr w:type="gramStart"/>
      <w:r w:rsidRPr="00EB2E4B">
        <w:rPr>
          <w:lang w:val="en-GB"/>
        </w:rPr>
        <w:t>UN  (</w:t>
      </w:r>
      <w:proofErr w:type="gramEnd"/>
      <w:r w:rsidRPr="00EB2E4B">
        <w:rPr>
          <w:lang w:val="en-GB"/>
        </w:rPr>
        <w:t>2021).</w:t>
      </w:r>
    </w:p>
    <w:p w14:paraId="2D144D85" w14:textId="6F80C454" w:rsidR="00712389" w:rsidRPr="00EB2E4B" w:rsidRDefault="00712389" w:rsidP="00712389">
      <w:pPr>
        <w:tabs>
          <w:tab w:val="left" w:pos="2511"/>
        </w:tabs>
        <w:rPr>
          <w:lang w:val="en-GB"/>
        </w:rPr>
      </w:pPr>
      <w:r w:rsidRPr="00EB2E4B">
        <w:rPr>
          <w:lang w:val="en-GB"/>
        </w:rPr>
        <w:tab/>
      </w:r>
    </w:p>
    <w:p w14:paraId="7829EB44" w14:textId="6A30E3E1" w:rsidR="00D21890" w:rsidRPr="00EB2E4B" w:rsidRDefault="00D21890" w:rsidP="00712389">
      <w:pPr>
        <w:rPr>
          <w:lang w:val="en-GB"/>
        </w:rPr>
      </w:pPr>
      <w:r w:rsidRPr="00EB2E4B">
        <w:rPr>
          <w:lang w:val="en-GB"/>
        </w:rPr>
        <w:lastRenderedPageBreak/>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xml:space="preserve">, O.: Towards circular economy in the Agri-food sector. A systematic literature </w:t>
      </w:r>
      <w:proofErr w:type="gramStart"/>
      <w:r w:rsidRPr="00EB2E4B">
        <w:rPr>
          <w:lang w:val="en-GB"/>
        </w:rPr>
        <w:t>review</w:t>
      </w:r>
      <w:proofErr w:type="gramEnd"/>
      <w:r w:rsidRPr="00EB2E4B">
        <w:rPr>
          <w:lang w:val="en-GB"/>
        </w:rPr>
        <w:t>. Sustainability, 12(18), 7401 (2020).</w:t>
      </w:r>
    </w:p>
    <w:p w14:paraId="70A30B7F" w14:textId="77777777" w:rsidR="00712389" w:rsidRPr="00EB2E4B" w:rsidRDefault="00712389" w:rsidP="00712389">
      <w:pPr>
        <w:rPr>
          <w:lang w:val="en-GB"/>
        </w:rPr>
      </w:pPr>
    </w:p>
    <w:p w14:paraId="0BC5C346" w14:textId="39FD0265" w:rsidR="00712389" w:rsidRPr="00EB2E4B" w:rsidRDefault="00712389" w:rsidP="00712389">
      <w:pPr>
        <w:rPr>
          <w:lang w:val="en-GB"/>
        </w:rPr>
      </w:pPr>
      <w:r w:rsidRPr="00EB2E4B">
        <w:rPr>
          <w:lang w:val="en-GB"/>
        </w:rPr>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O.: Exploring Corporate Social Responsibility in the Italian wine sector through websites. The TQM Journal 33(7), 222-252 (2021).</w:t>
      </w:r>
    </w:p>
    <w:p w14:paraId="3A51AEE3" w14:textId="4E82275D" w:rsidR="00712389" w:rsidRPr="00EB2E4B" w:rsidRDefault="00712389" w:rsidP="00712389">
      <w:pPr>
        <w:rPr>
          <w:lang w:val="en-GB"/>
        </w:rPr>
      </w:pPr>
    </w:p>
    <w:p w14:paraId="43357E57" w14:textId="77777777" w:rsidR="00712389" w:rsidRPr="00EB2E4B" w:rsidRDefault="00712389" w:rsidP="00712389">
      <w:pPr>
        <w:rPr>
          <w:lang w:val="en-GB"/>
        </w:rPr>
      </w:pPr>
      <w:r w:rsidRPr="00EB2E4B">
        <w:rPr>
          <w:lang w:val="en-GB"/>
        </w:rPr>
        <w:t xml:space="preserve">Esposito, B., Sessa, M. R., </w:t>
      </w:r>
      <w:proofErr w:type="spellStart"/>
      <w:r w:rsidRPr="00EB2E4B">
        <w:rPr>
          <w:lang w:val="en-GB"/>
        </w:rPr>
        <w:t>Sica</w:t>
      </w:r>
      <w:proofErr w:type="spellEnd"/>
      <w:r w:rsidRPr="00EB2E4B">
        <w:rPr>
          <w:lang w:val="en-GB"/>
        </w:rPr>
        <w:t xml:space="preserve">, D., &amp; </w:t>
      </w:r>
      <w:proofErr w:type="spellStart"/>
      <w:r w:rsidRPr="00EB2E4B">
        <w:rPr>
          <w:lang w:val="en-GB"/>
        </w:rPr>
        <w:t>Malandrino</w:t>
      </w:r>
      <w:proofErr w:type="spellEnd"/>
      <w:r w:rsidRPr="00EB2E4B">
        <w:rPr>
          <w:lang w:val="en-GB"/>
        </w:rPr>
        <w:t xml:space="preserve">, O.: Corporate Social Responsibility Engagement through </w:t>
      </w:r>
      <w:proofErr w:type="gramStart"/>
      <w:r w:rsidRPr="00EB2E4B">
        <w:rPr>
          <w:lang w:val="en-GB"/>
        </w:rPr>
        <w:t>Social Media</w:t>
      </w:r>
      <w:proofErr w:type="gramEnd"/>
      <w:r w:rsidRPr="00EB2E4B">
        <w:rPr>
          <w:lang w:val="en-GB"/>
        </w:rPr>
        <w:t>. Evidence from the University of Salerno. Administrative Sciences, 11(4), 147 (2021).</w:t>
      </w:r>
    </w:p>
    <w:p w14:paraId="722CFEBD" w14:textId="77777777" w:rsidR="00712389" w:rsidRPr="00EB2E4B" w:rsidRDefault="00712389" w:rsidP="00712389">
      <w:pPr>
        <w:rPr>
          <w:lang w:val="en-GB"/>
        </w:rPr>
      </w:pPr>
    </w:p>
    <w:p w14:paraId="52101793" w14:textId="77777777" w:rsidR="00712389" w:rsidRPr="00EB2E4B" w:rsidRDefault="00712389" w:rsidP="00712389">
      <w:pPr>
        <w:rPr>
          <w:lang w:val="en-GB"/>
        </w:rPr>
      </w:pPr>
      <w:r w:rsidRPr="00EB2E4B">
        <w:rPr>
          <w:lang w:val="en-GB"/>
        </w:rPr>
        <w:t>Freeman, Edward R.: Strategic Management: A Stakeholder Approach. Boston: Pitman Publishing Inc (1984).</w:t>
      </w:r>
    </w:p>
    <w:p w14:paraId="33B78133" w14:textId="5A67AA1F" w:rsidR="00712389" w:rsidRPr="00EB2E4B" w:rsidRDefault="00712389" w:rsidP="00712389">
      <w:pPr>
        <w:rPr>
          <w:lang w:val="en-GB"/>
        </w:rPr>
      </w:pPr>
    </w:p>
    <w:p w14:paraId="6293FAF8" w14:textId="2A3AB606" w:rsidR="00712389" w:rsidRPr="00EB2E4B" w:rsidRDefault="00712389" w:rsidP="00712389">
      <w:pPr>
        <w:rPr>
          <w:lang w:val="en-GB"/>
        </w:rPr>
      </w:pPr>
      <w:proofErr w:type="spellStart"/>
      <w:r w:rsidRPr="00EB2E4B">
        <w:rPr>
          <w:lang w:val="en-GB"/>
        </w:rPr>
        <w:t>Graedel</w:t>
      </w:r>
      <w:proofErr w:type="spellEnd"/>
      <w:r w:rsidRPr="00EB2E4B">
        <w:rPr>
          <w:lang w:val="en-GB"/>
        </w:rPr>
        <w:t>, T. E.: On the concept of industrial ecology. Annual Review of Energy and the Environment, 21(1), 69-98 (1996).</w:t>
      </w:r>
    </w:p>
    <w:p w14:paraId="2965CD9C" w14:textId="418DB3D0" w:rsidR="00712389" w:rsidRPr="00EB2E4B" w:rsidRDefault="00712389" w:rsidP="00712389">
      <w:pPr>
        <w:rPr>
          <w:lang w:val="en-GB"/>
        </w:rPr>
      </w:pPr>
    </w:p>
    <w:p w14:paraId="2274DD4B" w14:textId="77777777" w:rsidR="00712389" w:rsidRPr="00EB2E4B" w:rsidRDefault="00712389" w:rsidP="00712389">
      <w:pPr>
        <w:rPr>
          <w:lang w:val="en-GB"/>
        </w:rPr>
      </w:pPr>
      <w:r w:rsidRPr="00EB2E4B">
        <w:rPr>
          <w:lang w:val="en-GB"/>
        </w:rPr>
        <w:t>Greenwood, M.: Stakeholder Engagement: Beyond the Myth of Corporate Responsibility. Journal of Business Ethics 74, 315–27 (2007).</w:t>
      </w:r>
    </w:p>
    <w:p w14:paraId="55F63D21" w14:textId="77777777" w:rsidR="00712389" w:rsidRPr="00EB2E4B" w:rsidRDefault="00712389" w:rsidP="00712389">
      <w:pPr>
        <w:rPr>
          <w:lang w:val="en-GB"/>
        </w:rPr>
      </w:pPr>
    </w:p>
    <w:p w14:paraId="7B337AB3" w14:textId="424EEF00" w:rsidR="00D21890" w:rsidRPr="00EB2E4B" w:rsidRDefault="00D21890" w:rsidP="00712389">
      <w:pPr>
        <w:rPr>
          <w:lang w:val="en-GB"/>
        </w:rPr>
      </w:pPr>
      <w:r w:rsidRPr="00EB2E4B">
        <w:rPr>
          <w:lang w:val="en-GB"/>
        </w:rPr>
        <w:t>Gupta, S., Chen, H., Hazen, B. T., Kaur, S., &amp; Gonzalez, E. D. S.: Circular economy and big data analytics: A stakeholder perspective. Technological Forecasting and Social Change (144) 466-474 (2019).</w:t>
      </w:r>
    </w:p>
    <w:p w14:paraId="6933B11C" w14:textId="7F1E5E67" w:rsidR="00712389" w:rsidRPr="00EB2E4B" w:rsidRDefault="00712389" w:rsidP="00712389">
      <w:pPr>
        <w:rPr>
          <w:lang w:val="en-GB"/>
        </w:rPr>
      </w:pPr>
    </w:p>
    <w:p w14:paraId="086A6F83" w14:textId="77777777" w:rsidR="00712389" w:rsidRPr="00EB2E4B" w:rsidRDefault="00712389" w:rsidP="00712389">
      <w:pPr>
        <w:rPr>
          <w:lang w:val="en-GB"/>
        </w:rPr>
      </w:pPr>
      <w:proofErr w:type="spellStart"/>
      <w:r w:rsidRPr="00EB2E4B">
        <w:rPr>
          <w:lang w:val="en-GB"/>
        </w:rPr>
        <w:t>Gusmerotti</w:t>
      </w:r>
      <w:proofErr w:type="spellEnd"/>
      <w:r w:rsidRPr="00EB2E4B">
        <w:rPr>
          <w:lang w:val="en-GB"/>
        </w:rPr>
        <w:t xml:space="preserve">, N. M., Testa, F., </w:t>
      </w:r>
      <w:proofErr w:type="spellStart"/>
      <w:r w:rsidRPr="00EB2E4B">
        <w:rPr>
          <w:lang w:val="en-GB"/>
        </w:rPr>
        <w:t>Corsini</w:t>
      </w:r>
      <w:proofErr w:type="spellEnd"/>
      <w:r w:rsidRPr="00EB2E4B">
        <w:rPr>
          <w:lang w:val="en-GB"/>
        </w:rPr>
        <w:t xml:space="preserve">, F., </w:t>
      </w:r>
      <w:proofErr w:type="spellStart"/>
      <w:r w:rsidRPr="00EB2E4B">
        <w:rPr>
          <w:lang w:val="en-GB"/>
        </w:rPr>
        <w:t>Pretner</w:t>
      </w:r>
      <w:proofErr w:type="spellEnd"/>
      <w:r w:rsidRPr="00EB2E4B">
        <w:rPr>
          <w:lang w:val="en-GB"/>
        </w:rPr>
        <w:t xml:space="preserve">, G., &amp; </w:t>
      </w:r>
      <w:proofErr w:type="spellStart"/>
      <w:r w:rsidRPr="00EB2E4B">
        <w:rPr>
          <w:lang w:val="en-GB"/>
        </w:rPr>
        <w:t>Iraldo</w:t>
      </w:r>
      <w:proofErr w:type="spellEnd"/>
      <w:r w:rsidRPr="00EB2E4B">
        <w:rPr>
          <w:lang w:val="en-GB"/>
        </w:rPr>
        <w:t>, F.: Drivers and approaches to the circular economy in manufacturing firms. Journal of Cleaner Production, 230, 314-</w:t>
      </w:r>
      <w:proofErr w:type="gramStart"/>
      <w:r w:rsidRPr="00EB2E4B">
        <w:rPr>
          <w:lang w:val="en-GB"/>
        </w:rPr>
        <w:t>327  (</w:t>
      </w:r>
      <w:proofErr w:type="gramEnd"/>
      <w:r w:rsidRPr="00EB2E4B">
        <w:rPr>
          <w:lang w:val="en-GB"/>
        </w:rPr>
        <w:t>2019).</w:t>
      </w:r>
    </w:p>
    <w:p w14:paraId="2A1C2E65" w14:textId="3604C5F4" w:rsidR="00712389" w:rsidRPr="00EB2E4B" w:rsidRDefault="00712389" w:rsidP="00712389">
      <w:pPr>
        <w:rPr>
          <w:lang w:val="en-GB"/>
        </w:rPr>
      </w:pPr>
    </w:p>
    <w:p w14:paraId="3CE46503" w14:textId="77777777" w:rsidR="00712389" w:rsidRPr="00EB2E4B" w:rsidRDefault="00712389" w:rsidP="00712389">
      <w:pPr>
        <w:rPr>
          <w:lang w:val="en-GB"/>
        </w:rPr>
      </w:pPr>
      <w:proofErr w:type="spellStart"/>
      <w:r w:rsidRPr="00EB2E4B">
        <w:rPr>
          <w:lang w:val="en-GB"/>
        </w:rPr>
        <w:t>Jakhar</w:t>
      </w:r>
      <w:proofErr w:type="spellEnd"/>
      <w:r w:rsidRPr="00EB2E4B">
        <w:rPr>
          <w:lang w:val="en-GB"/>
        </w:rPr>
        <w:t xml:space="preserve">, S. K., </w:t>
      </w:r>
      <w:proofErr w:type="spellStart"/>
      <w:r w:rsidRPr="00EB2E4B">
        <w:rPr>
          <w:lang w:val="en-GB"/>
        </w:rPr>
        <w:t>Mangla</w:t>
      </w:r>
      <w:proofErr w:type="spellEnd"/>
      <w:r w:rsidRPr="00EB2E4B">
        <w:rPr>
          <w:lang w:val="en-GB"/>
        </w:rPr>
        <w:t xml:space="preserve">, S. K., Luthra, S., &amp; </w:t>
      </w:r>
      <w:proofErr w:type="spellStart"/>
      <w:r w:rsidRPr="00EB2E4B">
        <w:rPr>
          <w:lang w:val="en-GB"/>
        </w:rPr>
        <w:t>Kusi</w:t>
      </w:r>
      <w:proofErr w:type="spellEnd"/>
      <w:r w:rsidRPr="00EB2E4B">
        <w:rPr>
          <w:lang w:val="en-GB"/>
        </w:rPr>
        <w:t>-Sarpong, S.: When stakeholder pressure drives the circular economy: measuring the mediating role of innovation capabilities. Management Decision 57(4), 904-920 (2019).</w:t>
      </w:r>
    </w:p>
    <w:p w14:paraId="702B0179" w14:textId="14FCA2CD" w:rsidR="00712389" w:rsidRPr="00EB2E4B" w:rsidRDefault="00712389" w:rsidP="00712389">
      <w:pPr>
        <w:rPr>
          <w:lang w:val="en-GB"/>
        </w:rPr>
      </w:pPr>
    </w:p>
    <w:p w14:paraId="47445328" w14:textId="59C7CD5F" w:rsidR="00712389" w:rsidRPr="00EB2E4B" w:rsidRDefault="00712389" w:rsidP="00712389">
      <w:pPr>
        <w:rPr>
          <w:lang w:val="en-GB"/>
        </w:rPr>
      </w:pPr>
      <w:proofErr w:type="spellStart"/>
      <w:r w:rsidRPr="00EB2E4B">
        <w:rPr>
          <w:lang w:val="en-GB"/>
        </w:rPr>
        <w:t>Kazancoglu</w:t>
      </w:r>
      <w:proofErr w:type="spellEnd"/>
      <w:r w:rsidRPr="00EB2E4B">
        <w:rPr>
          <w:lang w:val="en-GB"/>
        </w:rPr>
        <w:t xml:space="preserve">, I., </w:t>
      </w:r>
      <w:proofErr w:type="spellStart"/>
      <w:r w:rsidRPr="00EB2E4B">
        <w:rPr>
          <w:lang w:val="en-GB"/>
        </w:rPr>
        <w:t>Sagnak</w:t>
      </w:r>
      <w:proofErr w:type="spellEnd"/>
      <w:r w:rsidRPr="00EB2E4B">
        <w:rPr>
          <w:lang w:val="en-GB"/>
        </w:rPr>
        <w:t xml:space="preserve">, M., Kumar </w:t>
      </w:r>
      <w:proofErr w:type="spellStart"/>
      <w:r w:rsidRPr="00EB2E4B">
        <w:rPr>
          <w:lang w:val="en-GB"/>
        </w:rPr>
        <w:t>Mangla</w:t>
      </w:r>
      <w:proofErr w:type="spellEnd"/>
      <w:r w:rsidRPr="00EB2E4B">
        <w:rPr>
          <w:lang w:val="en-GB"/>
        </w:rPr>
        <w:t xml:space="preserve">, S., &amp; </w:t>
      </w:r>
      <w:proofErr w:type="spellStart"/>
      <w:r w:rsidRPr="00EB2E4B">
        <w:rPr>
          <w:lang w:val="en-GB"/>
        </w:rPr>
        <w:t>Kazancoglu</w:t>
      </w:r>
      <w:proofErr w:type="spellEnd"/>
      <w:r w:rsidRPr="00EB2E4B">
        <w:rPr>
          <w:lang w:val="en-GB"/>
        </w:rPr>
        <w:t xml:space="preserve">, Y.: Circular economy and the policy: A </w:t>
      </w:r>
      <w:r w:rsidRPr="00EB2E4B">
        <w:rPr>
          <w:lang w:val="en-GB"/>
        </w:rPr>
        <w:tab/>
        <w:t>framework for improving the corporate environmental management in supply chains. Business Strategy and the Environment, 30(1), 590-608 (2021).</w:t>
      </w:r>
    </w:p>
    <w:p w14:paraId="611E9F75" w14:textId="77777777" w:rsidR="00712389" w:rsidRPr="00EB2E4B" w:rsidRDefault="00712389" w:rsidP="00712389">
      <w:pPr>
        <w:rPr>
          <w:lang w:val="en-GB"/>
        </w:rPr>
      </w:pPr>
    </w:p>
    <w:p w14:paraId="233704EB" w14:textId="6ED8458F" w:rsidR="00712389" w:rsidRPr="00EB2E4B" w:rsidRDefault="00712389" w:rsidP="00712389">
      <w:pPr>
        <w:rPr>
          <w:lang w:val="en-GB"/>
        </w:rPr>
      </w:pPr>
      <w:r w:rsidRPr="00EB2E4B">
        <w:rPr>
          <w:lang w:val="en-GB"/>
        </w:rPr>
        <w:lastRenderedPageBreak/>
        <w:t>Kim, K.S., Sei-Ching J., and Tien-I T.: Individual differences in social media use for information seeking. The Journal of Academic Librarianship 40(2), 171–78 (2014).</w:t>
      </w:r>
    </w:p>
    <w:p w14:paraId="79F17B07" w14:textId="77777777" w:rsidR="00712389" w:rsidRPr="00EB2E4B" w:rsidRDefault="00712389" w:rsidP="00712389">
      <w:pPr>
        <w:rPr>
          <w:lang w:val="en-GB"/>
        </w:rPr>
      </w:pPr>
    </w:p>
    <w:p w14:paraId="10C4679E" w14:textId="77777777" w:rsidR="00712389" w:rsidRPr="00EB2E4B" w:rsidRDefault="00712389" w:rsidP="00712389">
      <w:pPr>
        <w:rPr>
          <w:lang w:val="en-GB"/>
        </w:rPr>
      </w:pPr>
      <w:proofErr w:type="spellStart"/>
      <w:r w:rsidRPr="00EB2E4B">
        <w:rPr>
          <w:lang w:val="en-GB"/>
        </w:rPr>
        <w:t>Krippendorff</w:t>
      </w:r>
      <w:proofErr w:type="spellEnd"/>
      <w:r w:rsidRPr="00EB2E4B">
        <w:rPr>
          <w:lang w:val="en-GB"/>
        </w:rPr>
        <w:t xml:space="preserve">, K.: Validity in content analysis, in </w:t>
      </w:r>
      <w:proofErr w:type="spellStart"/>
      <w:r w:rsidRPr="00EB2E4B">
        <w:rPr>
          <w:lang w:val="en-GB"/>
        </w:rPr>
        <w:t>Mochmann</w:t>
      </w:r>
      <w:proofErr w:type="spellEnd"/>
      <w:r w:rsidRPr="00EB2E4B">
        <w:rPr>
          <w:lang w:val="en-GB"/>
        </w:rPr>
        <w:t xml:space="preserve">, E. (Ed.), </w:t>
      </w:r>
      <w:proofErr w:type="spellStart"/>
      <w:r w:rsidRPr="00EB2E4B">
        <w:rPr>
          <w:lang w:val="en-GB"/>
        </w:rPr>
        <w:t>Computerstrategien</w:t>
      </w:r>
      <w:proofErr w:type="spellEnd"/>
      <w:r w:rsidRPr="00EB2E4B">
        <w:rPr>
          <w:lang w:val="en-GB"/>
        </w:rPr>
        <w:t xml:space="preserve"> fÃ¼r die </w:t>
      </w:r>
      <w:proofErr w:type="spellStart"/>
      <w:r w:rsidRPr="00EB2E4B">
        <w:rPr>
          <w:lang w:val="en-GB"/>
        </w:rPr>
        <w:t>kommunikationsanalyse</w:t>
      </w:r>
      <w:proofErr w:type="spellEnd"/>
      <w:r w:rsidRPr="00EB2E4B">
        <w:rPr>
          <w:lang w:val="en-GB"/>
        </w:rPr>
        <w:t xml:space="preserve"> (pp. 69-112). Frankfurt, Germany: Campus. Retrieved from http://repository.upenn.edu/asc_papers/291</w:t>
      </w:r>
    </w:p>
    <w:p w14:paraId="3AFE425A" w14:textId="77777777" w:rsidR="00712389" w:rsidRPr="00EB2E4B" w:rsidRDefault="00712389" w:rsidP="00712389">
      <w:pPr>
        <w:rPr>
          <w:lang w:val="en-GB"/>
        </w:rPr>
      </w:pPr>
    </w:p>
    <w:p w14:paraId="2C0BD4DF" w14:textId="77777777" w:rsidR="00712389" w:rsidRPr="00EB2E4B" w:rsidRDefault="00712389" w:rsidP="00712389">
      <w:pPr>
        <w:rPr>
          <w:lang w:val="en-GB"/>
        </w:rPr>
      </w:pPr>
      <w:proofErr w:type="spellStart"/>
      <w:r w:rsidRPr="00EB2E4B">
        <w:rPr>
          <w:lang w:val="en-GB"/>
        </w:rPr>
        <w:t>Lytras</w:t>
      </w:r>
      <w:proofErr w:type="spellEnd"/>
      <w:r w:rsidRPr="00EB2E4B">
        <w:rPr>
          <w:lang w:val="en-GB"/>
        </w:rPr>
        <w:t xml:space="preserve">, M. D., and </w:t>
      </w:r>
      <w:proofErr w:type="spellStart"/>
      <w:r w:rsidRPr="00EB2E4B">
        <w:rPr>
          <w:lang w:val="en-GB"/>
        </w:rPr>
        <w:t>Visvizi</w:t>
      </w:r>
      <w:proofErr w:type="spellEnd"/>
      <w:r w:rsidRPr="00EB2E4B">
        <w:rPr>
          <w:lang w:val="en-GB"/>
        </w:rPr>
        <w:t>, A.: Big Data and Their Social Impact: Preliminary Study", Sustainability 11 (5067), 1-18 (2019).</w:t>
      </w:r>
    </w:p>
    <w:p w14:paraId="3CD40EB7" w14:textId="77777777" w:rsidR="00712389" w:rsidRPr="00EB2E4B" w:rsidRDefault="00712389" w:rsidP="00712389">
      <w:pPr>
        <w:rPr>
          <w:lang w:val="en-GB"/>
        </w:rPr>
      </w:pPr>
    </w:p>
    <w:p w14:paraId="5A30424C" w14:textId="7CF821CB" w:rsidR="00712389" w:rsidRPr="00EB2E4B" w:rsidRDefault="00712389" w:rsidP="00712389">
      <w:pPr>
        <w:rPr>
          <w:lang w:val="en-GB"/>
        </w:rPr>
      </w:pPr>
      <w:r w:rsidRPr="00EB2E4B">
        <w:tab/>
      </w:r>
      <w:proofErr w:type="spellStart"/>
      <w:r w:rsidRPr="00EB2E4B">
        <w:rPr>
          <w:lang w:val="en-GB"/>
        </w:rPr>
        <w:t>Merli</w:t>
      </w:r>
      <w:proofErr w:type="spellEnd"/>
      <w:r w:rsidRPr="00EB2E4B">
        <w:rPr>
          <w:lang w:val="en-GB"/>
        </w:rPr>
        <w:t xml:space="preserve">, R., </w:t>
      </w:r>
      <w:proofErr w:type="spellStart"/>
      <w:r w:rsidRPr="00EB2E4B">
        <w:rPr>
          <w:lang w:val="en-GB"/>
        </w:rPr>
        <w:t>Preziosi</w:t>
      </w:r>
      <w:proofErr w:type="spellEnd"/>
      <w:r w:rsidRPr="00EB2E4B">
        <w:rPr>
          <w:lang w:val="en-GB"/>
        </w:rPr>
        <w:t xml:space="preserve">, M., &amp; </w:t>
      </w:r>
      <w:proofErr w:type="spellStart"/>
      <w:r w:rsidRPr="00EB2E4B">
        <w:rPr>
          <w:lang w:val="en-GB"/>
        </w:rPr>
        <w:t>Acampora</w:t>
      </w:r>
      <w:proofErr w:type="spellEnd"/>
      <w:r w:rsidRPr="00EB2E4B">
        <w:rPr>
          <w:lang w:val="en-GB"/>
        </w:rPr>
        <w:t xml:space="preserve">, A.: How do scholars approach the circular economy? A systematic </w:t>
      </w:r>
      <w:r w:rsidRPr="00EB2E4B">
        <w:rPr>
          <w:lang w:val="en-GB"/>
        </w:rPr>
        <w:tab/>
        <w:t xml:space="preserve">literature </w:t>
      </w:r>
      <w:proofErr w:type="gramStart"/>
      <w:r w:rsidRPr="00EB2E4B">
        <w:rPr>
          <w:lang w:val="en-GB"/>
        </w:rPr>
        <w:t>review</w:t>
      </w:r>
      <w:proofErr w:type="gramEnd"/>
      <w:r w:rsidRPr="00EB2E4B">
        <w:rPr>
          <w:lang w:val="en-GB"/>
        </w:rPr>
        <w:t>. Journal of Cleaner Production (178), 703-722 (2018).</w:t>
      </w:r>
    </w:p>
    <w:p w14:paraId="26D445FE" w14:textId="77777777" w:rsidR="00712389" w:rsidRPr="00EB2E4B" w:rsidRDefault="00712389" w:rsidP="00712389">
      <w:pPr>
        <w:rPr>
          <w:lang w:val="en-GB"/>
        </w:rPr>
      </w:pPr>
    </w:p>
    <w:p w14:paraId="5BE80E80" w14:textId="70812E25" w:rsidR="00712389" w:rsidRPr="00EB2E4B" w:rsidRDefault="00712389" w:rsidP="00712389">
      <w:pPr>
        <w:rPr>
          <w:lang w:val="en-GB"/>
        </w:rPr>
      </w:pPr>
      <w:proofErr w:type="spellStart"/>
      <w:r w:rsidRPr="00EB2E4B">
        <w:rPr>
          <w:lang w:val="en-GB"/>
        </w:rPr>
        <w:t>Mergel</w:t>
      </w:r>
      <w:proofErr w:type="spellEnd"/>
      <w:r w:rsidRPr="00EB2E4B">
        <w:rPr>
          <w:lang w:val="en-GB"/>
        </w:rPr>
        <w:t>, I.:  A framework for interpreting social media interactions in the public sector. Government Information Quarterly, 30, 327–34 (2013).</w:t>
      </w:r>
    </w:p>
    <w:p w14:paraId="3E8C6207" w14:textId="2A9985B4" w:rsidR="00712389" w:rsidRPr="00EB2E4B" w:rsidRDefault="00712389" w:rsidP="00712389">
      <w:pPr>
        <w:rPr>
          <w:lang w:val="en-GB"/>
        </w:rPr>
      </w:pPr>
    </w:p>
    <w:p w14:paraId="64C8120E" w14:textId="77777777" w:rsidR="00712389" w:rsidRPr="00EB2E4B" w:rsidRDefault="00712389" w:rsidP="00712389">
      <w:pPr>
        <w:rPr>
          <w:lang w:val="en-GB"/>
        </w:rPr>
      </w:pPr>
      <w:r w:rsidRPr="00EB2E4B">
        <w:rPr>
          <w:lang w:val="en-GB"/>
        </w:rPr>
        <w:t>Miles, M., and Huberman A.M.: Qualitative Data Analysis: An Expanded Sourcebook. London: SAGE (1994).</w:t>
      </w:r>
    </w:p>
    <w:p w14:paraId="033EFA6B" w14:textId="5B20392C" w:rsidR="00712389" w:rsidRPr="00EB2E4B" w:rsidRDefault="00712389" w:rsidP="00712389">
      <w:pPr>
        <w:rPr>
          <w:lang w:val="en-GB"/>
        </w:rPr>
      </w:pPr>
    </w:p>
    <w:p w14:paraId="350A7FC2" w14:textId="77777777" w:rsidR="00712389" w:rsidRPr="00EB2E4B" w:rsidRDefault="00712389" w:rsidP="00712389">
      <w:pPr>
        <w:rPr>
          <w:lang w:val="en-GB"/>
        </w:rPr>
      </w:pPr>
      <w:r w:rsidRPr="00EB2E4B">
        <w:rPr>
          <w:lang w:val="en-GB"/>
        </w:rPr>
        <w:t>Mohan, S. V., Nikhil, G. N., Chiranjeevi, P., Reddy, C. N., Rohit, M. V., Kumar, A. N., &amp; Sarkar, O.: Waste biorefinery models towards sustainable circular bioeconomy: critical review and future perspectives. Bioresource technology, 215, 2-12 (2016).</w:t>
      </w:r>
    </w:p>
    <w:p w14:paraId="7E3E3F2C" w14:textId="77777777" w:rsidR="00712389" w:rsidRPr="00EB2E4B" w:rsidRDefault="00712389" w:rsidP="00712389">
      <w:pPr>
        <w:rPr>
          <w:lang w:val="en-GB"/>
        </w:rPr>
      </w:pPr>
    </w:p>
    <w:p w14:paraId="58216D2B" w14:textId="304EDCC5" w:rsidR="00712389" w:rsidRPr="00EB2E4B" w:rsidRDefault="00712389" w:rsidP="00712389">
      <w:pPr>
        <w:rPr>
          <w:lang w:val="en-GB"/>
        </w:rPr>
      </w:pPr>
      <w:r w:rsidRPr="00EB2E4B">
        <w:rPr>
          <w:lang w:val="en-GB"/>
        </w:rPr>
        <w:t>Mora-</w:t>
      </w:r>
      <w:proofErr w:type="spellStart"/>
      <w:r w:rsidRPr="00EB2E4B">
        <w:rPr>
          <w:lang w:val="en-GB"/>
        </w:rPr>
        <w:t>Cantallops</w:t>
      </w:r>
      <w:proofErr w:type="spellEnd"/>
      <w:r w:rsidRPr="00EB2E4B">
        <w:rPr>
          <w:lang w:val="en-GB"/>
        </w:rPr>
        <w:t xml:space="preserve">, M., Sánchez-Alonso, S. &amp; </w:t>
      </w:r>
      <w:proofErr w:type="spellStart"/>
      <w:r w:rsidRPr="00EB2E4B">
        <w:rPr>
          <w:lang w:val="en-GB"/>
        </w:rPr>
        <w:t>Visvizi</w:t>
      </w:r>
      <w:proofErr w:type="spellEnd"/>
      <w:r w:rsidRPr="00EB2E4B">
        <w:rPr>
          <w:lang w:val="en-GB"/>
        </w:rPr>
        <w:t>, A.: The influence of external political events on social networks: the case of the Brexit Twitter Network, Journal of Ambient Intelligence and Humanized Computing 12, 4363–4375 (2021).</w:t>
      </w:r>
    </w:p>
    <w:p w14:paraId="5C783021" w14:textId="09DB5588" w:rsidR="00712389" w:rsidRPr="00EB2E4B" w:rsidRDefault="00712389" w:rsidP="00712389">
      <w:pPr>
        <w:rPr>
          <w:lang w:val="en-GB"/>
        </w:rPr>
      </w:pPr>
    </w:p>
    <w:p w14:paraId="75A5EAD2" w14:textId="77777777" w:rsidR="00712389" w:rsidRPr="00EB2E4B" w:rsidRDefault="00712389" w:rsidP="00712389">
      <w:pPr>
        <w:rPr>
          <w:lang w:val="en-GB"/>
        </w:rPr>
      </w:pPr>
      <w:proofErr w:type="spellStart"/>
      <w:r w:rsidRPr="00EB2E4B">
        <w:rPr>
          <w:lang w:val="en-GB"/>
        </w:rPr>
        <w:t>Panagiotopoulos</w:t>
      </w:r>
      <w:proofErr w:type="spellEnd"/>
      <w:r w:rsidRPr="00EB2E4B">
        <w:rPr>
          <w:lang w:val="en-GB"/>
        </w:rPr>
        <w:t xml:space="preserve">, P. </w:t>
      </w:r>
      <w:proofErr w:type="spellStart"/>
      <w:r w:rsidRPr="00EB2E4B">
        <w:rPr>
          <w:lang w:val="en-GB"/>
        </w:rPr>
        <w:t>Alinaghi</w:t>
      </w:r>
      <w:proofErr w:type="spellEnd"/>
      <w:r w:rsidRPr="00EB2E4B">
        <w:rPr>
          <w:lang w:val="en-GB"/>
        </w:rPr>
        <w:t xml:space="preserve"> Z.B., and Steven S.: Citizen–government collaboration on social media: The case of Twitter in the 2011 riots in England. Government Information Quarterly 31(3), 349–57 (2014).</w:t>
      </w:r>
    </w:p>
    <w:p w14:paraId="0A5AD87F" w14:textId="522478E4" w:rsidR="00712389" w:rsidRPr="00EB2E4B" w:rsidRDefault="00712389" w:rsidP="00712389">
      <w:pPr>
        <w:rPr>
          <w:lang w:val="en-GB"/>
        </w:rPr>
      </w:pPr>
    </w:p>
    <w:p w14:paraId="6B20F154" w14:textId="77777777" w:rsidR="00712389" w:rsidRPr="00EB2E4B" w:rsidRDefault="00712389" w:rsidP="00712389">
      <w:pPr>
        <w:rPr>
          <w:lang w:val="en-GB"/>
        </w:rPr>
      </w:pPr>
      <w:r w:rsidRPr="00EB2E4B">
        <w:rPr>
          <w:lang w:val="en-GB"/>
        </w:rPr>
        <w:t xml:space="preserve">Reyes-Menendez, A. S., </w:t>
      </w:r>
      <w:proofErr w:type="spellStart"/>
      <w:r w:rsidRPr="00EB2E4B">
        <w:rPr>
          <w:lang w:val="en-GB"/>
        </w:rPr>
        <w:t>Josè</w:t>
      </w:r>
      <w:proofErr w:type="spellEnd"/>
      <w:r w:rsidRPr="00EB2E4B">
        <w:rPr>
          <w:lang w:val="en-GB"/>
        </w:rPr>
        <w:t xml:space="preserve"> R., and </w:t>
      </w:r>
      <w:proofErr w:type="spellStart"/>
      <w:r w:rsidRPr="00EB2E4B">
        <w:rPr>
          <w:lang w:val="en-GB"/>
        </w:rPr>
        <w:t>CesarA.A</w:t>
      </w:r>
      <w:proofErr w:type="spellEnd"/>
      <w:r w:rsidRPr="00EB2E4B">
        <w:rPr>
          <w:lang w:val="en-GB"/>
        </w:rPr>
        <w:t>.: Understanding #WorldEnvironmentDay User Opinions in Twitter: A Topic-Based Sentiment Analysis Approach. International Journal of Environmental Research and Public Health 15(11), 2537 (2018).</w:t>
      </w:r>
    </w:p>
    <w:p w14:paraId="5C3EAA87" w14:textId="77777777" w:rsidR="00712389" w:rsidRPr="00EB2E4B" w:rsidRDefault="00712389" w:rsidP="00712389">
      <w:pPr>
        <w:rPr>
          <w:lang w:val="en-GB"/>
        </w:rPr>
      </w:pPr>
    </w:p>
    <w:p w14:paraId="34443A8F" w14:textId="77777777" w:rsidR="00712389" w:rsidRPr="00EB2E4B" w:rsidRDefault="00712389" w:rsidP="00712389">
      <w:pPr>
        <w:rPr>
          <w:lang w:val="en-GB"/>
        </w:rPr>
      </w:pPr>
      <w:proofErr w:type="spellStart"/>
      <w:r w:rsidRPr="00EB2E4B">
        <w:rPr>
          <w:lang w:val="en-GB"/>
        </w:rPr>
        <w:lastRenderedPageBreak/>
        <w:t>Scarpellini</w:t>
      </w:r>
      <w:proofErr w:type="spellEnd"/>
      <w:r w:rsidRPr="00EB2E4B">
        <w:rPr>
          <w:lang w:val="en-GB"/>
        </w:rPr>
        <w:t>, S., Marín-</w:t>
      </w:r>
      <w:proofErr w:type="spellStart"/>
      <w:r w:rsidRPr="00EB2E4B">
        <w:rPr>
          <w:lang w:val="en-GB"/>
        </w:rPr>
        <w:t>Vinuesa</w:t>
      </w:r>
      <w:proofErr w:type="spellEnd"/>
      <w:r w:rsidRPr="00EB2E4B">
        <w:rPr>
          <w:lang w:val="en-GB"/>
        </w:rPr>
        <w:t>, L. M., Aranda-</w:t>
      </w:r>
      <w:proofErr w:type="spellStart"/>
      <w:r w:rsidRPr="00EB2E4B">
        <w:rPr>
          <w:lang w:val="en-GB"/>
        </w:rPr>
        <w:t>Usón</w:t>
      </w:r>
      <w:proofErr w:type="spellEnd"/>
      <w:r w:rsidRPr="00EB2E4B">
        <w:rPr>
          <w:lang w:val="en-GB"/>
        </w:rPr>
        <w:t>, A., &amp; Portillo-Tarragona, P.: Dynamic capabilities and environmental accounting for the circular economy in businesses, Sustainability Accounting, Management and Policy Journal, 11(7), 1129-1158 (2020).</w:t>
      </w:r>
    </w:p>
    <w:p w14:paraId="3C7261B6" w14:textId="77777777" w:rsidR="00712389" w:rsidRPr="00EB2E4B" w:rsidRDefault="00712389" w:rsidP="00712389">
      <w:pPr>
        <w:rPr>
          <w:lang w:val="en-GB"/>
        </w:rPr>
      </w:pPr>
    </w:p>
    <w:p w14:paraId="7ACB7CDB" w14:textId="38875FC9" w:rsidR="00712389" w:rsidRPr="00EB2E4B" w:rsidRDefault="00712389" w:rsidP="00712389">
      <w:pPr>
        <w:rPr>
          <w:lang w:val="en-GB"/>
        </w:rPr>
      </w:pPr>
      <w:r w:rsidRPr="00EB2E4B">
        <w:rPr>
          <w:lang w:val="en-GB"/>
        </w:rPr>
        <w:t>Schroder, P.: Corporate social responsibility (CSR) communication via social media sites: Evidence from the German banking industry. Corporate Communications: An International Journal 26(3), 636–54 (2021).</w:t>
      </w:r>
    </w:p>
    <w:p w14:paraId="40B85617" w14:textId="77777777" w:rsidR="00712389" w:rsidRPr="00EB2E4B" w:rsidRDefault="00712389" w:rsidP="00712389">
      <w:pPr>
        <w:rPr>
          <w:lang w:val="en-GB"/>
        </w:rPr>
      </w:pPr>
    </w:p>
    <w:p w14:paraId="00F70D8E" w14:textId="57CB8C81" w:rsidR="00D21890" w:rsidRPr="00EB2E4B" w:rsidRDefault="00D21890" w:rsidP="00712389">
      <w:pPr>
        <w:rPr>
          <w:lang w:val="en-GB"/>
        </w:rPr>
      </w:pPr>
      <w:proofErr w:type="spellStart"/>
      <w:r w:rsidRPr="00EB2E4B">
        <w:rPr>
          <w:lang w:val="en-GB"/>
        </w:rPr>
        <w:t>Stahel</w:t>
      </w:r>
      <w:proofErr w:type="spellEnd"/>
      <w:r w:rsidRPr="00EB2E4B">
        <w:rPr>
          <w:lang w:val="en-GB"/>
        </w:rPr>
        <w:t>, W. R.: The circular economy. Nature News, 531(7595), 435 (2016).</w:t>
      </w:r>
    </w:p>
    <w:p w14:paraId="67FA1EEC" w14:textId="77777777" w:rsidR="00712389" w:rsidRPr="00EB2E4B" w:rsidRDefault="00712389" w:rsidP="00712389">
      <w:pPr>
        <w:rPr>
          <w:lang w:val="en-GB"/>
        </w:rPr>
      </w:pPr>
    </w:p>
    <w:p w14:paraId="677FFA0D" w14:textId="33A8A621" w:rsidR="00712389" w:rsidRPr="00EB2E4B" w:rsidRDefault="00712389" w:rsidP="00712389">
      <w:pPr>
        <w:rPr>
          <w:lang w:val="en-GB"/>
        </w:rPr>
      </w:pPr>
      <w:proofErr w:type="spellStart"/>
      <w:r w:rsidRPr="00EB2E4B">
        <w:rPr>
          <w:lang w:val="en-GB"/>
        </w:rPr>
        <w:t>Suchman</w:t>
      </w:r>
      <w:proofErr w:type="spellEnd"/>
      <w:r w:rsidRPr="00EB2E4B">
        <w:rPr>
          <w:lang w:val="en-GB"/>
        </w:rPr>
        <w:t>, M. C.: Managing legitimacy: Strategic and institutional approaches. Academy of Management Review 20, 571–610 (1995).</w:t>
      </w:r>
    </w:p>
    <w:p w14:paraId="37BC4696" w14:textId="4CECBD03" w:rsidR="00712389" w:rsidRPr="00EB2E4B" w:rsidRDefault="00712389" w:rsidP="00712389">
      <w:pPr>
        <w:rPr>
          <w:lang w:val="en-GB"/>
        </w:rPr>
      </w:pPr>
    </w:p>
    <w:p w14:paraId="18158461" w14:textId="77777777" w:rsidR="00712389" w:rsidRPr="00EB2E4B" w:rsidRDefault="00712389" w:rsidP="00712389">
      <w:pPr>
        <w:rPr>
          <w:lang w:val="en-GB"/>
        </w:rPr>
      </w:pPr>
      <w:r w:rsidRPr="00EB2E4B">
        <w:rPr>
          <w:lang w:val="en-GB"/>
        </w:rPr>
        <w:t xml:space="preserve">Testa, F., </w:t>
      </w:r>
      <w:proofErr w:type="spellStart"/>
      <w:r w:rsidRPr="00EB2E4B">
        <w:rPr>
          <w:lang w:val="en-GB"/>
        </w:rPr>
        <w:t>Gusmerotti</w:t>
      </w:r>
      <w:proofErr w:type="spellEnd"/>
      <w:r w:rsidRPr="00EB2E4B">
        <w:rPr>
          <w:lang w:val="en-GB"/>
        </w:rPr>
        <w:t xml:space="preserve">, N., </w:t>
      </w:r>
      <w:proofErr w:type="spellStart"/>
      <w:r w:rsidRPr="00EB2E4B">
        <w:rPr>
          <w:lang w:val="en-GB"/>
        </w:rPr>
        <w:t>Corsini</w:t>
      </w:r>
      <w:proofErr w:type="spellEnd"/>
      <w:r w:rsidRPr="00EB2E4B">
        <w:rPr>
          <w:lang w:val="en-GB"/>
        </w:rPr>
        <w:t xml:space="preserve">, F., &amp; </w:t>
      </w:r>
      <w:proofErr w:type="spellStart"/>
      <w:r w:rsidRPr="00EB2E4B">
        <w:rPr>
          <w:lang w:val="en-GB"/>
        </w:rPr>
        <w:t>Bartoletti</w:t>
      </w:r>
      <w:proofErr w:type="spellEnd"/>
      <w:r w:rsidRPr="00EB2E4B">
        <w:rPr>
          <w:lang w:val="en-GB"/>
        </w:rPr>
        <w:t>, E.: The role of consumer trade-offs in limiting the transition towards circular economy: The case of brand and plastic concern. Resources, Conservation and Recycling, 181(106262), 1-11 (2022).</w:t>
      </w:r>
    </w:p>
    <w:p w14:paraId="4B202ADE" w14:textId="0D129D1E" w:rsidR="00712389" w:rsidRPr="00EB2E4B" w:rsidRDefault="00712389" w:rsidP="00712389">
      <w:pPr>
        <w:rPr>
          <w:lang w:val="en-GB"/>
        </w:rPr>
      </w:pPr>
    </w:p>
    <w:p w14:paraId="21FF070A" w14:textId="4DCC985B" w:rsidR="00712389" w:rsidRPr="00EB2E4B" w:rsidRDefault="00712389" w:rsidP="00712389">
      <w:pPr>
        <w:rPr>
          <w:lang w:val="en-GB"/>
        </w:rPr>
      </w:pPr>
      <w:proofErr w:type="spellStart"/>
      <w:r w:rsidRPr="00EB2E4B">
        <w:rPr>
          <w:lang w:val="en-GB"/>
        </w:rPr>
        <w:t>Troisi</w:t>
      </w:r>
      <w:proofErr w:type="spellEnd"/>
      <w:r w:rsidRPr="00EB2E4B">
        <w:rPr>
          <w:lang w:val="en-GB"/>
        </w:rPr>
        <w:t xml:space="preserve">, O., </w:t>
      </w:r>
      <w:proofErr w:type="spellStart"/>
      <w:r w:rsidRPr="00EB2E4B">
        <w:rPr>
          <w:lang w:val="en-GB"/>
        </w:rPr>
        <w:t>D'Arco</w:t>
      </w:r>
      <w:proofErr w:type="spellEnd"/>
      <w:r w:rsidRPr="00EB2E4B">
        <w:rPr>
          <w:lang w:val="en-GB"/>
        </w:rPr>
        <w:t xml:space="preserve">, M., </w:t>
      </w:r>
      <w:proofErr w:type="spellStart"/>
      <w:r w:rsidRPr="00EB2E4B">
        <w:rPr>
          <w:lang w:val="en-GB"/>
        </w:rPr>
        <w:t>Loia</w:t>
      </w:r>
      <w:proofErr w:type="spellEnd"/>
      <w:r w:rsidRPr="00EB2E4B">
        <w:rPr>
          <w:lang w:val="en-GB"/>
        </w:rPr>
        <w:t xml:space="preserve">, F., </w:t>
      </w:r>
      <w:proofErr w:type="spellStart"/>
      <w:r w:rsidRPr="00EB2E4B">
        <w:rPr>
          <w:lang w:val="en-GB"/>
        </w:rPr>
        <w:t>Maione</w:t>
      </w:r>
      <w:proofErr w:type="spellEnd"/>
      <w:r w:rsidRPr="00EB2E4B">
        <w:rPr>
          <w:lang w:val="en-GB"/>
        </w:rPr>
        <w:t xml:space="preserve">, G.: Big data management: The case of Mulino Bianco's engagement </w:t>
      </w:r>
      <w:r w:rsidRPr="00EB2E4B">
        <w:rPr>
          <w:lang w:val="en-GB"/>
        </w:rPr>
        <w:tab/>
        <w:t xml:space="preserve">platform for value co-creation, International Journal of Engineering Business </w:t>
      </w:r>
      <w:r w:rsidRPr="00EB2E4B">
        <w:rPr>
          <w:lang w:val="en-GB"/>
        </w:rPr>
        <w:tab/>
        <w:t>Management 10, 1-8 (2018).</w:t>
      </w:r>
    </w:p>
    <w:p w14:paraId="3CFDB26D" w14:textId="6BB2D17E" w:rsidR="00712389" w:rsidRPr="00EB2E4B" w:rsidRDefault="00712389" w:rsidP="00712389">
      <w:pPr>
        <w:rPr>
          <w:lang w:val="en-GB"/>
        </w:rPr>
      </w:pPr>
    </w:p>
    <w:p w14:paraId="31311D67" w14:textId="77777777" w:rsidR="00712389" w:rsidRPr="00EB2E4B" w:rsidRDefault="00712389" w:rsidP="00712389">
      <w:pPr>
        <w:rPr>
          <w:lang w:val="en-GB"/>
        </w:rPr>
      </w:pPr>
      <w:proofErr w:type="spellStart"/>
      <w:r w:rsidRPr="00EB2E4B">
        <w:rPr>
          <w:lang w:val="en-GB"/>
        </w:rPr>
        <w:t>Troisi</w:t>
      </w:r>
      <w:proofErr w:type="spellEnd"/>
      <w:r w:rsidRPr="00EB2E4B">
        <w:rPr>
          <w:lang w:val="en-GB"/>
        </w:rPr>
        <w:t xml:space="preserve">, O., Grimaldi, M., &amp; </w:t>
      </w:r>
      <w:proofErr w:type="spellStart"/>
      <w:r w:rsidRPr="00EB2E4B">
        <w:rPr>
          <w:lang w:val="en-GB"/>
        </w:rPr>
        <w:t>Loia</w:t>
      </w:r>
      <w:proofErr w:type="spellEnd"/>
      <w:r w:rsidRPr="00EB2E4B">
        <w:rPr>
          <w:lang w:val="en-GB"/>
        </w:rPr>
        <w:t xml:space="preserve">, F.: Redesigning business models for data-driven innovation: a </w:t>
      </w:r>
      <w:r w:rsidRPr="00EB2E4B">
        <w:rPr>
          <w:lang w:val="en-GB"/>
        </w:rPr>
        <w:tab/>
        <w:t>three-layered framework. In The International Research &amp; Innovation Forum, Springer, 421-435 (2020).</w:t>
      </w:r>
    </w:p>
    <w:p w14:paraId="1E22395A" w14:textId="77777777" w:rsidR="00712389" w:rsidRPr="00EB2E4B" w:rsidRDefault="00712389" w:rsidP="00712389">
      <w:pPr>
        <w:rPr>
          <w:lang w:val="en-GB"/>
        </w:rPr>
      </w:pPr>
    </w:p>
    <w:p w14:paraId="3FCB8312" w14:textId="29E1C8AE" w:rsidR="00D21890" w:rsidRPr="00EB2E4B" w:rsidRDefault="00D21890" w:rsidP="00712389">
      <w:pPr>
        <w:rPr>
          <w:lang w:val="en-GB"/>
        </w:rPr>
      </w:pPr>
      <w:proofErr w:type="spellStart"/>
      <w:r w:rsidRPr="00EB2E4B">
        <w:rPr>
          <w:lang w:val="en-GB"/>
        </w:rPr>
        <w:t>Troisi</w:t>
      </w:r>
      <w:proofErr w:type="spellEnd"/>
      <w:r w:rsidRPr="00EB2E4B">
        <w:rPr>
          <w:lang w:val="en-GB"/>
        </w:rPr>
        <w:t xml:space="preserve"> O., </w:t>
      </w:r>
      <w:proofErr w:type="spellStart"/>
      <w:r w:rsidRPr="00EB2E4B">
        <w:rPr>
          <w:lang w:val="en-GB"/>
        </w:rPr>
        <w:t>Fenza</w:t>
      </w:r>
      <w:proofErr w:type="spellEnd"/>
      <w:r w:rsidRPr="00EB2E4B">
        <w:rPr>
          <w:lang w:val="en-GB"/>
        </w:rPr>
        <w:t xml:space="preserve"> G., Grimaldi M., </w:t>
      </w:r>
      <w:proofErr w:type="spellStart"/>
      <w:r w:rsidRPr="00EB2E4B">
        <w:rPr>
          <w:lang w:val="en-GB"/>
        </w:rPr>
        <w:t>Loia</w:t>
      </w:r>
      <w:proofErr w:type="spellEnd"/>
      <w:r w:rsidRPr="00EB2E4B">
        <w:rPr>
          <w:lang w:val="en-GB"/>
        </w:rPr>
        <w:t xml:space="preserve"> F.: Covid-19 sentiments in smart cities: The role of technology anxiety before and during the pandemic, Computers in Human </w:t>
      </w:r>
      <w:proofErr w:type="spellStart"/>
      <w:r w:rsidRPr="00EB2E4B">
        <w:rPr>
          <w:lang w:val="en-GB"/>
        </w:rPr>
        <w:t>Behavior</w:t>
      </w:r>
      <w:proofErr w:type="spellEnd"/>
      <w:r w:rsidRPr="00EB2E4B">
        <w:rPr>
          <w:lang w:val="en-GB"/>
        </w:rPr>
        <w:t xml:space="preserve"> 126(106986), 1-16 (2022).</w:t>
      </w:r>
    </w:p>
    <w:p w14:paraId="62CE61A5" w14:textId="1CBF2875" w:rsidR="00712389" w:rsidRPr="00EB2E4B" w:rsidRDefault="00712389" w:rsidP="00712389">
      <w:pPr>
        <w:rPr>
          <w:lang w:val="en-GB"/>
        </w:rPr>
      </w:pPr>
    </w:p>
    <w:p w14:paraId="7DB93867" w14:textId="77777777" w:rsidR="00712389" w:rsidRPr="00EB2E4B" w:rsidRDefault="00712389" w:rsidP="00712389">
      <w:pPr>
        <w:rPr>
          <w:lang w:val="en-GB"/>
        </w:rPr>
      </w:pPr>
      <w:proofErr w:type="spellStart"/>
      <w:r w:rsidRPr="00EB2E4B">
        <w:rPr>
          <w:lang w:val="en-GB"/>
        </w:rPr>
        <w:t>Unal</w:t>
      </w:r>
      <w:proofErr w:type="spellEnd"/>
      <w:r w:rsidRPr="00EB2E4B">
        <w:rPr>
          <w:lang w:val="en-GB"/>
        </w:rPr>
        <w:t xml:space="preserve">, E., </w:t>
      </w:r>
      <w:proofErr w:type="spellStart"/>
      <w:r w:rsidRPr="00EB2E4B">
        <w:rPr>
          <w:lang w:val="en-GB"/>
        </w:rPr>
        <w:t>Urbinati</w:t>
      </w:r>
      <w:proofErr w:type="spellEnd"/>
      <w:r w:rsidRPr="00EB2E4B">
        <w:rPr>
          <w:lang w:val="en-GB"/>
        </w:rPr>
        <w:t xml:space="preserve">, A. and </w:t>
      </w:r>
      <w:proofErr w:type="spellStart"/>
      <w:r w:rsidRPr="00EB2E4B">
        <w:rPr>
          <w:lang w:val="en-GB"/>
        </w:rPr>
        <w:t>Chiaroni</w:t>
      </w:r>
      <w:proofErr w:type="spellEnd"/>
      <w:r w:rsidRPr="00EB2E4B">
        <w:rPr>
          <w:lang w:val="en-GB"/>
        </w:rPr>
        <w:t xml:space="preserve">, D.: Managerial practices for designing circular economy business </w:t>
      </w:r>
      <w:r w:rsidRPr="00EB2E4B">
        <w:rPr>
          <w:lang w:val="en-GB"/>
        </w:rPr>
        <w:tab/>
        <w:t>models, Journal of Manufacturing Technology Management, 30 (3) 561-589 (2019).</w:t>
      </w:r>
    </w:p>
    <w:p w14:paraId="6C7FCBC5" w14:textId="77777777" w:rsidR="00712389" w:rsidRPr="00EB2E4B" w:rsidRDefault="00712389" w:rsidP="00712389">
      <w:pPr>
        <w:rPr>
          <w:lang w:val="en-GB"/>
        </w:rPr>
      </w:pPr>
    </w:p>
    <w:p w14:paraId="7F6E599D" w14:textId="77777777" w:rsidR="00712389" w:rsidRPr="00EB2E4B" w:rsidRDefault="00712389" w:rsidP="00712389">
      <w:pPr>
        <w:rPr>
          <w:lang w:val="en-GB"/>
        </w:rPr>
      </w:pPr>
      <w:proofErr w:type="spellStart"/>
      <w:r w:rsidRPr="00EB2E4B">
        <w:rPr>
          <w:lang w:val="en-GB"/>
        </w:rPr>
        <w:t>Visvizi</w:t>
      </w:r>
      <w:proofErr w:type="spellEnd"/>
      <w:r w:rsidRPr="00EB2E4B">
        <w:rPr>
          <w:lang w:val="en-GB"/>
        </w:rPr>
        <w:t xml:space="preserve">, A., </w:t>
      </w:r>
      <w:proofErr w:type="spellStart"/>
      <w:r w:rsidRPr="00EB2E4B">
        <w:rPr>
          <w:lang w:val="en-GB"/>
        </w:rPr>
        <w:t>Lytras</w:t>
      </w:r>
      <w:proofErr w:type="spellEnd"/>
      <w:r w:rsidRPr="00EB2E4B">
        <w:rPr>
          <w:lang w:val="en-GB"/>
        </w:rPr>
        <w:t xml:space="preserve">, M.D., Damiani, E. and </w:t>
      </w:r>
      <w:proofErr w:type="spellStart"/>
      <w:r w:rsidRPr="00EB2E4B">
        <w:rPr>
          <w:lang w:val="en-GB"/>
        </w:rPr>
        <w:t>Mathkour</w:t>
      </w:r>
      <w:proofErr w:type="spellEnd"/>
      <w:r w:rsidRPr="00EB2E4B">
        <w:rPr>
          <w:lang w:val="en-GB"/>
        </w:rPr>
        <w:t xml:space="preserve">, H.: Policy making for smart cities: </w:t>
      </w:r>
      <w:r w:rsidRPr="00EB2E4B">
        <w:rPr>
          <w:lang w:val="en-GB"/>
        </w:rPr>
        <w:tab/>
        <w:t>innovation and social inclusive economic growth for sustainability", Journal of Science and Technology Policy Management, 9 (2) 126-133 (2018).</w:t>
      </w:r>
    </w:p>
    <w:p w14:paraId="7269199F" w14:textId="77777777" w:rsidR="00712389" w:rsidRPr="00EB2E4B" w:rsidRDefault="00712389" w:rsidP="00712389">
      <w:pPr>
        <w:rPr>
          <w:lang w:val="en-GB"/>
        </w:rPr>
      </w:pPr>
    </w:p>
    <w:p w14:paraId="523AEFB6" w14:textId="2350EB8C" w:rsidR="00D21890" w:rsidRDefault="00D21890" w:rsidP="00712389">
      <w:pPr>
        <w:rPr>
          <w:lang w:val="en-GB"/>
        </w:rPr>
      </w:pPr>
      <w:proofErr w:type="spellStart"/>
      <w:r w:rsidRPr="00EB2E4B">
        <w:rPr>
          <w:lang w:val="en-GB"/>
        </w:rPr>
        <w:lastRenderedPageBreak/>
        <w:t>Visvizi</w:t>
      </w:r>
      <w:proofErr w:type="spellEnd"/>
      <w:r w:rsidRPr="00EB2E4B">
        <w:rPr>
          <w:lang w:val="en-GB"/>
        </w:rPr>
        <w:t xml:space="preserve">, A., </w:t>
      </w:r>
      <w:proofErr w:type="spellStart"/>
      <w:r w:rsidRPr="00EB2E4B">
        <w:rPr>
          <w:lang w:val="en-GB"/>
        </w:rPr>
        <w:t>Jussila</w:t>
      </w:r>
      <w:proofErr w:type="spellEnd"/>
      <w:r w:rsidRPr="00EB2E4B">
        <w:rPr>
          <w:lang w:val="en-GB"/>
        </w:rPr>
        <w:t xml:space="preserve">, J., </w:t>
      </w:r>
      <w:proofErr w:type="spellStart"/>
      <w:r w:rsidRPr="00EB2E4B">
        <w:rPr>
          <w:lang w:val="en-GB"/>
        </w:rPr>
        <w:t>Lytras</w:t>
      </w:r>
      <w:proofErr w:type="spellEnd"/>
      <w:r w:rsidRPr="00EB2E4B">
        <w:rPr>
          <w:lang w:val="en-GB"/>
        </w:rPr>
        <w:t xml:space="preserve">, M.D., </w:t>
      </w:r>
      <w:proofErr w:type="spellStart"/>
      <w:r w:rsidRPr="00EB2E4B">
        <w:rPr>
          <w:lang w:val="en-GB"/>
        </w:rPr>
        <w:t>Ijäs</w:t>
      </w:r>
      <w:proofErr w:type="spellEnd"/>
      <w:r w:rsidRPr="00EB2E4B">
        <w:rPr>
          <w:lang w:val="en-GB"/>
        </w:rPr>
        <w:t xml:space="preserve">, M.: Tweeting and mining OECD-related microcontent in the post-truth era: a </w:t>
      </w:r>
      <w:proofErr w:type="spellStart"/>
      <w:r w:rsidRPr="00EB2E4B">
        <w:rPr>
          <w:lang w:val="en-GB"/>
        </w:rPr>
        <w:t>cloudbased</w:t>
      </w:r>
      <w:proofErr w:type="spellEnd"/>
      <w:r w:rsidRPr="00EB2E4B">
        <w:rPr>
          <w:lang w:val="en-GB"/>
        </w:rPr>
        <w:t xml:space="preserve"> app, Computers in Human </w:t>
      </w:r>
      <w:proofErr w:type="spellStart"/>
      <w:r w:rsidRPr="00EB2E4B">
        <w:rPr>
          <w:lang w:val="en-GB"/>
        </w:rPr>
        <w:t>Behavior</w:t>
      </w:r>
      <w:proofErr w:type="spellEnd"/>
      <w:r w:rsidRPr="00EB2E4B">
        <w:rPr>
          <w:lang w:val="en-GB"/>
        </w:rPr>
        <w:t xml:space="preserve"> 107(105958), 1-7 (2020).</w:t>
      </w:r>
    </w:p>
    <w:p w14:paraId="2F447DA5" w14:textId="77777777" w:rsidR="00712389" w:rsidRPr="00712389" w:rsidRDefault="00712389" w:rsidP="00712389">
      <w:pPr>
        <w:rPr>
          <w:lang w:val="en-GB"/>
        </w:rPr>
      </w:pPr>
    </w:p>
    <w:sectPr w:rsidR="00712389" w:rsidRPr="00712389" w:rsidSect="00E43F28">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85C" w14:textId="77777777" w:rsidR="00A75202" w:rsidRDefault="00A75202">
      <w:pPr>
        <w:spacing w:line="240" w:lineRule="auto"/>
      </w:pPr>
      <w:r>
        <w:separator/>
      </w:r>
    </w:p>
  </w:endnote>
  <w:endnote w:type="continuationSeparator" w:id="0">
    <w:p w14:paraId="1EEF7FA6" w14:textId="77777777" w:rsidR="00A75202" w:rsidRDefault="00A75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EEB6" w14:textId="77777777" w:rsidR="00DC50E1" w:rsidRDefault="00DC50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9CE" w14:textId="77777777" w:rsidR="00DC50E1" w:rsidRDefault="00DC50E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142" w14:textId="77777777" w:rsidR="00A75202" w:rsidRDefault="00A75202">
      <w:pPr>
        <w:spacing w:line="240" w:lineRule="auto"/>
      </w:pPr>
      <w:r>
        <w:separator/>
      </w:r>
    </w:p>
  </w:footnote>
  <w:footnote w:type="continuationSeparator" w:id="0">
    <w:p w14:paraId="7AF28C48" w14:textId="77777777" w:rsidR="00A75202" w:rsidRDefault="00A75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319F48EF"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78F925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907EA" w:rsidRPr="00C907EA">
      <w:rPr>
        <w:i/>
        <w:noProof/>
        <w:sz w:val="18"/>
        <w:lang w:val="en-SG" w:eastAsia="en-SG"/>
      </w:rPr>
      <w:t>Circular economy in the agri-food industry. How social media create engagement</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4" name="Group 1"/>
                      <wpg:cNvGrpSpPr>
                        <a:grpSpLocks/>
                      </wpg:cNvGrpSpPr>
                      <wpg:grpSpPr bwMode="auto">
                        <a:xfrm>
                          <a:off x="0" y="0"/>
                          <a:ext cx="6929408" cy="415144"/>
                          <a:chOff x="496" y="843"/>
                          <a:chExt cx="10910" cy="654"/>
                        </a:xfrm>
                      </wpg:grpSpPr>
                      <wpg:grpSp>
                        <wpg:cNvPr id="5" name="Group 3"/>
                        <wpg:cNvGrpSpPr>
                          <a:grpSpLocks/>
                        </wpg:cNvGrpSpPr>
                        <wpg:grpSpPr bwMode="auto">
                          <a:xfrm>
                            <a:off x="10766" y="845"/>
                            <a:ext cx="640" cy="652"/>
                            <a:chOff x="10777" y="845"/>
                            <a:chExt cx="640" cy="652"/>
                          </a:xfrm>
                        </wpg:grpSpPr>
                        <wps:wsp>
                          <wps:cNvPr id="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6"/>
                        <wpg:cNvGrpSpPr>
                          <a:grpSpLocks/>
                        </wpg:cNvGrpSpPr>
                        <wpg:grpSpPr bwMode="auto">
                          <a:xfrm flipH="1">
                            <a:off x="496" y="843"/>
                            <a:ext cx="640" cy="652"/>
                            <a:chOff x="10777" y="845"/>
                            <a:chExt cx="640" cy="652"/>
                          </a:xfrm>
                        </wpg:grpSpPr>
                        <wps:wsp>
                          <wps:cNvPr id="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13"/>
                      <wpg:cNvGrpSpPr>
                        <a:grpSpLocks/>
                      </wpg:cNvGrpSpPr>
                      <wpg:grpSpPr bwMode="auto">
                        <a:xfrm flipV="1">
                          <a:off x="10886" y="9198429"/>
                          <a:ext cx="6929120" cy="414655"/>
                          <a:chOff x="496" y="843"/>
                          <a:chExt cx="10910" cy="654"/>
                        </a:xfrm>
                      </wpg:grpSpPr>
                      <wpg:grpSp>
                        <wpg:cNvPr id="12" name="Group 3"/>
                        <wpg:cNvGrpSpPr>
                          <a:grpSpLocks/>
                        </wpg:cNvGrpSpPr>
                        <wpg:grpSpPr bwMode="auto">
                          <a:xfrm>
                            <a:off x="10766" y="845"/>
                            <a:ext cx="640" cy="652"/>
                            <a:chOff x="10777" y="845"/>
                            <a:chExt cx="640" cy="652"/>
                          </a:xfrm>
                        </wpg:grpSpPr>
                        <wps:wsp>
                          <wps:cNvPr id="13"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6"/>
                        <wpg:cNvGrpSpPr>
                          <a:grpSpLocks/>
                        </wpg:cNvGrpSpPr>
                        <wpg:grpSpPr bwMode="auto">
                          <a:xfrm flipH="1">
                            <a:off x="496" y="843"/>
                            <a:ext cx="640" cy="652"/>
                            <a:chOff x="10777" y="845"/>
                            <a:chExt cx="640" cy="652"/>
                          </a:xfrm>
                        </wpg:grpSpPr>
                        <wps:wsp>
                          <wps:cNvPr id="4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2C21C5"/>
    <w:multiLevelType w:val="hybridMultilevel"/>
    <w:tmpl w:val="40B02092"/>
    <w:lvl w:ilvl="0" w:tplc="13C6D8A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52E5AA0"/>
    <w:multiLevelType w:val="hybridMultilevel"/>
    <w:tmpl w:val="E46ED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3"/>
  </w:num>
  <w:num w:numId="2" w16cid:durableId="1154563820">
    <w:abstractNumId w:val="18"/>
  </w:num>
  <w:num w:numId="3" w16cid:durableId="1604875926">
    <w:abstractNumId w:val="17"/>
  </w:num>
  <w:num w:numId="4" w16cid:durableId="49157816">
    <w:abstractNumId w:val="10"/>
  </w:num>
  <w:num w:numId="5" w16cid:durableId="1591309000">
    <w:abstractNumId w:val="25"/>
  </w:num>
  <w:num w:numId="6" w16cid:durableId="1349022348">
    <w:abstractNumId w:val="11"/>
  </w:num>
  <w:num w:numId="7" w16cid:durableId="1804498611">
    <w:abstractNumId w:val="6"/>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5"/>
  </w:num>
  <w:num w:numId="17" w16cid:durableId="1382362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9"/>
  </w:num>
  <w:num w:numId="20" w16cid:durableId="1830903244">
    <w:abstractNumId w:val="19"/>
  </w:num>
  <w:num w:numId="21" w16cid:durableId="373581445">
    <w:abstractNumId w:val="19"/>
  </w:num>
  <w:num w:numId="22" w16cid:durableId="1488940817">
    <w:abstractNumId w:val="11"/>
  </w:num>
  <w:num w:numId="23" w16cid:durableId="740298123">
    <w:abstractNumId w:val="11"/>
  </w:num>
  <w:num w:numId="24" w16cid:durableId="616567799">
    <w:abstractNumId w:val="0"/>
  </w:num>
  <w:num w:numId="25" w16cid:durableId="1992981592">
    <w:abstractNumId w:val="7"/>
  </w:num>
  <w:num w:numId="26" w16cid:durableId="1831822808">
    <w:abstractNumId w:val="4"/>
  </w:num>
  <w:num w:numId="27" w16cid:durableId="2101444383">
    <w:abstractNumId w:val="15"/>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8"/>
  </w:num>
  <w:num w:numId="40" w16cid:durableId="1979257215">
    <w:abstractNumId w:val="11"/>
  </w:num>
  <w:num w:numId="41" w16cid:durableId="1150750676">
    <w:abstractNumId w:val="11"/>
  </w:num>
  <w:num w:numId="42" w16cid:durableId="1071849616">
    <w:abstractNumId w:val="11"/>
  </w:num>
  <w:num w:numId="43" w16cid:durableId="717704347">
    <w:abstractNumId w:val="3"/>
  </w:num>
  <w:num w:numId="44" w16cid:durableId="23872587">
    <w:abstractNumId w:val="22"/>
  </w:num>
  <w:num w:numId="45" w16cid:durableId="102265377">
    <w:abstractNumId w:val="24"/>
  </w:num>
  <w:num w:numId="46" w16cid:durableId="6537542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lignBordersAndEdges/>
  <w:bordersDoNotSurroundFooter/>
  <w:hideSpellingErrors/>
  <w:hideGrammaticalErrors/>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C0NDc0MDE3NzeyNLRQ0lEKTi0uzszPAykwNK4FANH4jeYtAAAA"/>
  </w:docVars>
  <w:rsids>
    <w:rsidRoot w:val="00566851"/>
    <w:rsid w:val="00002565"/>
    <w:rsid w:val="00005C93"/>
    <w:rsid w:val="00006F22"/>
    <w:rsid w:val="00011663"/>
    <w:rsid w:val="00012FD6"/>
    <w:rsid w:val="00013FAC"/>
    <w:rsid w:val="000207D2"/>
    <w:rsid w:val="0002357B"/>
    <w:rsid w:val="00034334"/>
    <w:rsid w:val="000343A6"/>
    <w:rsid w:val="000358C0"/>
    <w:rsid w:val="00041C51"/>
    <w:rsid w:val="00054B55"/>
    <w:rsid w:val="00055617"/>
    <w:rsid w:val="000574F4"/>
    <w:rsid w:val="00061E19"/>
    <w:rsid w:val="00062998"/>
    <w:rsid w:val="00072DD1"/>
    <w:rsid w:val="0007387C"/>
    <w:rsid w:val="0007584D"/>
    <w:rsid w:val="000771BE"/>
    <w:rsid w:val="000822DE"/>
    <w:rsid w:val="000859EC"/>
    <w:rsid w:val="00096B47"/>
    <w:rsid w:val="000A0084"/>
    <w:rsid w:val="000A596C"/>
    <w:rsid w:val="000B403A"/>
    <w:rsid w:val="000D5C93"/>
    <w:rsid w:val="000E2F27"/>
    <w:rsid w:val="000F254D"/>
    <w:rsid w:val="000F5341"/>
    <w:rsid w:val="001002D8"/>
    <w:rsid w:val="00107A8A"/>
    <w:rsid w:val="00115B90"/>
    <w:rsid w:val="00116F13"/>
    <w:rsid w:val="00122983"/>
    <w:rsid w:val="00125DB4"/>
    <w:rsid w:val="00132754"/>
    <w:rsid w:val="001334DD"/>
    <w:rsid w:val="00134FA4"/>
    <w:rsid w:val="001419F5"/>
    <w:rsid w:val="001429F4"/>
    <w:rsid w:val="00151DC5"/>
    <w:rsid w:val="001540CF"/>
    <w:rsid w:val="001646F6"/>
    <w:rsid w:val="0017644F"/>
    <w:rsid w:val="00180BB3"/>
    <w:rsid w:val="00182060"/>
    <w:rsid w:val="00182494"/>
    <w:rsid w:val="00194854"/>
    <w:rsid w:val="00197107"/>
    <w:rsid w:val="00197312"/>
    <w:rsid w:val="001A52A5"/>
    <w:rsid w:val="001B1B69"/>
    <w:rsid w:val="001B43AB"/>
    <w:rsid w:val="001C41D2"/>
    <w:rsid w:val="001D184B"/>
    <w:rsid w:val="001D480B"/>
    <w:rsid w:val="001E38A2"/>
    <w:rsid w:val="001E44C7"/>
    <w:rsid w:val="001F1C24"/>
    <w:rsid w:val="001F3E0B"/>
    <w:rsid w:val="00200467"/>
    <w:rsid w:val="00201FCF"/>
    <w:rsid w:val="00205C1E"/>
    <w:rsid w:val="0020681C"/>
    <w:rsid w:val="00214440"/>
    <w:rsid w:val="00215D25"/>
    <w:rsid w:val="00231470"/>
    <w:rsid w:val="00233E7A"/>
    <w:rsid w:val="002415C4"/>
    <w:rsid w:val="00247384"/>
    <w:rsid w:val="00251C05"/>
    <w:rsid w:val="002524D4"/>
    <w:rsid w:val="00252C6F"/>
    <w:rsid w:val="00256E13"/>
    <w:rsid w:val="0026025E"/>
    <w:rsid w:val="00260E32"/>
    <w:rsid w:val="0026349E"/>
    <w:rsid w:val="00265B71"/>
    <w:rsid w:val="002660BC"/>
    <w:rsid w:val="00276C2E"/>
    <w:rsid w:val="002803C9"/>
    <w:rsid w:val="002807E5"/>
    <w:rsid w:val="00281505"/>
    <w:rsid w:val="00281F6D"/>
    <w:rsid w:val="00282157"/>
    <w:rsid w:val="00287F3D"/>
    <w:rsid w:val="002946A4"/>
    <w:rsid w:val="00296ECD"/>
    <w:rsid w:val="002A2910"/>
    <w:rsid w:val="002A3427"/>
    <w:rsid w:val="002A45C3"/>
    <w:rsid w:val="002C06E7"/>
    <w:rsid w:val="002C3CED"/>
    <w:rsid w:val="002C5CB4"/>
    <w:rsid w:val="002D06A1"/>
    <w:rsid w:val="002D29FD"/>
    <w:rsid w:val="002D3231"/>
    <w:rsid w:val="002D414C"/>
    <w:rsid w:val="002E4DAC"/>
    <w:rsid w:val="002E6684"/>
    <w:rsid w:val="002F01ED"/>
    <w:rsid w:val="002F7330"/>
    <w:rsid w:val="003036B9"/>
    <w:rsid w:val="003069D3"/>
    <w:rsid w:val="003111B2"/>
    <w:rsid w:val="00311D79"/>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E4280"/>
    <w:rsid w:val="003F21E5"/>
    <w:rsid w:val="00400544"/>
    <w:rsid w:val="00402E4D"/>
    <w:rsid w:val="00412D22"/>
    <w:rsid w:val="004136C5"/>
    <w:rsid w:val="004166E9"/>
    <w:rsid w:val="00416BA3"/>
    <w:rsid w:val="00417671"/>
    <w:rsid w:val="004178FA"/>
    <w:rsid w:val="00417DA2"/>
    <w:rsid w:val="004225DE"/>
    <w:rsid w:val="004226E9"/>
    <w:rsid w:val="004236D9"/>
    <w:rsid w:val="00425A66"/>
    <w:rsid w:val="00430738"/>
    <w:rsid w:val="00432AFD"/>
    <w:rsid w:val="00445735"/>
    <w:rsid w:val="004479AA"/>
    <w:rsid w:val="00452DE7"/>
    <w:rsid w:val="00453F74"/>
    <w:rsid w:val="004554B8"/>
    <w:rsid w:val="00461CEE"/>
    <w:rsid w:val="00462CBA"/>
    <w:rsid w:val="00464BF3"/>
    <w:rsid w:val="00466742"/>
    <w:rsid w:val="00473E73"/>
    <w:rsid w:val="00474C6A"/>
    <w:rsid w:val="00476E8C"/>
    <w:rsid w:val="0048706B"/>
    <w:rsid w:val="00495B13"/>
    <w:rsid w:val="004A6ABE"/>
    <w:rsid w:val="004A7014"/>
    <w:rsid w:val="004C0B1B"/>
    <w:rsid w:val="004C7AE9"/>
    <w:rsid w:val="004D03EE"/>
    <w:rsid w:val="004D7CBE"/>
    <w:rsid w:val="004E54C3"/>
    <w:rsid w:val="004F3F3C"/>
    <w:rsid w:val="004F6371"/>
    <w:rsid w:val="005052EC"/>
    <w:rsid w:val="0050550F"/>
    <w:rsid w:val="005060FB"/>
    <w:rsid w:val="00512074"/>
    <w:rsid w:val="00516571"/>
    <w:rsid w:val="005275B0"/>
    <w:rsid w:val="005308EB"/>
    <w:rsid w:val="005327E5"/>
    <w:rsid w:val="005501B1"/>
    <w:rsid w:val="00553BA1"/>
    <w:rsid w:val="005567E0"/>
    <w:rsid w:val="0056238C"/>
    <w:rsid w:val="00566851"/>
    <w:rsid w:val="005668FC"/>
    <w:rsid w:val="00567059"/>
    <w:rsid w:val="00577E65"/>
    <w:rsid w:val="00586687"/>
    <w:rsid w:val="00594E12"/>
    <w:rsid w:val="00596504"/>
    <w:rsid w:val="005B22D7"/>
    <w:rsid w:val="005B238B"/>
    <w:rsid w:val="005B7822"/>
    <w:rsid w:val="005C2CB0"/>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27A36"/>
    <w:rsid w:val="006334AA"/>
    <w:rsid w:val="00633639"/>
    <w:rsid w:val="00635171"/>
    <w:rsid w:val="0064475B"/>
    <w:rsid w:val="00647807"/>
    <w:rsid w:val="00656641"/>
    <w:rsid w:val="00665472"/>
    <w:rsid w:val="00680158"/>
    <w:rsid w:val="006913D2"/>
    <w:rsid w:val="006957D8"/>
    <w:rsid w:val="006A5F51"/>
    <w:rsid w:val="006A7075"/>
    <w:rsid w:val="006B06B6"/>
    <w:rsid w:val="006B2F24"/>
    <w:rsid w:val="006C12C8"/>
    <w:rsid w:val="006C7CB5"/>
    <w:rsid w:val="006D5BDA"/>
    <w:rsid w:val="006D7E12"/>
    <w:rsid w:val="006E73AB"/>
    <w:rsid w:val="006F55CA"/>
    <w:rsid w:val="0070042C"/>
    <w:rsid w:val="00701A95"/>
    <w:rsid w:val="00706B35"/>
    <w:rsid w:val="00707D3A"/>
    <w:rsid w:val="00712389"/>
    <w:rsid w:val="00717EF2"/>
    <w:rsid w:val="00734E09"/>
    <w:rsid w:val="00740C3C"/>
    <w:rsid w:val="007410FD"/>
    <w:rsid w:val="007456FD"/>
    <w:rsid w:val="00745D4D"/>
    <w:rsid w:val="00746831"/>
    <w:rsid w:val="00746EEB"/>
    <w:rsid w:val="00750DF4"/>
    <w:rsid w:val="007543F6"/>
    <w:rsid w:val="00757B23"/>
    <w:rsid w:val="007639DD"/>
    <w:rsid w:val="00763EBA"/>
    <w:rsid w:val="00770002"/>
    <w:rsid w:val="007733CE"/>
    <w:rsid w:val="007740B5"/>
    <w:rsid w:val="007743D3"/>
    <w:rsid w:val="007808F3"/>
    <w:rsid w:val="00784F76"/>
    <w:rsid w:val="007854CD"/>
    <w:rsid w:val="00787225"/>
    <w:rsid w:val="00791B0C"/>
    <w:rsid w:val="00795A4F"/>
    <w:rsid w:val="007960EE"/>
    <w:rsid w:val="007A7E8D"/>
    <w:rsid w:val="007B0738"/>
    <w:rsid w:val="007B567F"/>
    <w:rsid w:val="007D0E64"/>
    <w:rsid w:val="007D4C47"/>
    <w:rsid w:val="007D55BE"/>
    <w:rsid w:val="007E2A4C"/>
    <w:rsid w:val="007E3D27"/>
    <w:rsid w:val="007F2C96"/>
    <w:rsid w:val="007F33D4"/>
    <w:rsid w:val="007F7EDC"/>
    <w:rsid w:val="00811C43"/>
    <w:rsid w:val="00813091"/>
    <w:rsid w:val="00813818"/>
    <w:rsid w:val="00820F66"/>
    <w:rsid w:val="008235E8"/>
    <w:rsid w:val="0083160B"/>
    <w:rsid w:val="0083457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16E0E"/>
    <w:rsid w:val="00922EDF"/>
    <w:rsid w:val="00925C93"/>
    <w:rsid w:val="00926432"/>
    <w:rsid w:val="0093138F"/>
    <w:rsid w:val="00932A8F"/>
    <w:rsid w:val="00933404"/>
    <w:rsid w:val="00943340"/>
    <w:rsid w:val="009435E6"/>
    <w:rsid w:val="00947FA5"/>
    <w:rsid w:val="0095003F"/>
    <w:rsid w:val="009618FB"/>
    <w:rsid w:val="00962F68"/>
    <w:rsid w:val="0096745D"/>
    <w:rsid w:val="0097219A"/>
    <w:rsid w:val="00975542"/>
    <w:rsid w:val="00982020"/>
    <w:rsid w:val="009848F2"/>
    <w:rsid w:val="009856E6"/>
    <w:rsid w:val="00994A05"/>
    <w:rsid w:val="00994D6B"/>
    <w:rsid w:val="00997AC6"/>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9CD"/>
    <w:rsid w:val="00A46E86"/>
    <w:rsid w:val="00A53732"/>
    <w:rsid w:val="00A552C4"/>
    <w:rsid w:val="00A56CDE"/>
    <w:rsid w:val="00A570FE"/>
    <w:rsid w:val="00A61854"/>
    <w:rsid w:val="00A65B80"/>
    <w:rsid w:val="00A65BE5"/>
    <w:rsid w:val="00A667EE"/>
    <w:rsid w:val="00A75202"/>
    <w:rsid w:val="00A77727"/>
    <w:rsid w:val="00A80BE1"/>
    <w:rsid w:val="00AA44B5"/>
    <w:rsid w:val="00AB3AE7"/>
    <w:rsid w:val="00AC4791"/>
    <w:rsid w:val="00AD2AE9"/>
    <w:rsid w:val="00AE1127"/>
    <w:rsid w:val="00AE1F85"/>
    <w:rsid w:val="00AF1114"/>
    <w:rsid w:val="00AF3380"/>
    <w:rsid w:val="00AF7D8E"/>
    <w:rsid w:val="00B033BC"/>
    <w:rsid w:val="00B0708D"/>
    <w:rsid w:val="00B07E02"/>
    <w:rsid w:val="00B10CED"/>
    <w:rsid w:val="00B214D7"/>
    <w:rsid w:val="00B21683"/>
    <w:rsid w:val="00B3287E"/>
    <w:rsid w:val="00B453CE"/>
    <w:rsid w:val="00B469F2"/>
    <w:rsid w:val="00B53A9E"/>
    <w:rsid w:val="00B567E2"/>
    <w:rsid w:val="00B6419A"/>
    <w:rsid w:val="00B817CF"/>
    <w:rsid w:val="00BA54B7"/>
    <w:rsid w:val="00BA6B43"/>
    <w:rsid w:val="00BB0078"/>
    <w:rsid w:val="00BB5183"/>
    <w:rsid w:val="00BC3E12"/>
    <w:rsid w:val="00BD4DA7"/>
    <w:rsid w:val="00BD5DF7"/>
    <w:rsid w:val="00BE731C"/>
    <w:rsid w:val="00BF1316"/>
    <w:rsid w:val="00C05871"/>
    <w:rsid w:val="00C15C34"/>
    <w:rsid w:val="00C22525"/>
    <w:rsid w:val="00C25E10"/>
    <w:rsid w:val="00C32A69"/>
    <w:rsid w:val="00C43441"/>
    <w:rsid w:val="00C468D9"/>
    <w:rsid w:val="00C47221"/>
    <w:rsid w:val="00C56538"/>
    <w:rsid w:val="00C5684B"/>
    <w:rsid w:val="00C72DFB"/>
    <w:rsid w:val="00C764D5"/>
    <w:rsid w:val="00C82890"/>
    <w:rsid w:val="00C84C2F"/>
    <w:rsid w:val="00C87367"/>
    <w:rsid w:val="00C907EA"/>
    <w:rsid w:val="00CA001C"/>
    <w:rsid w:val="00CA1199"/>
    <w:rsid w:val="00CA21DA"/>
    <w:rsid w:val="00CA7FFA"/>
    <w:rsid w:val="00CB58DC"/>
    <w:rsid w:val="00CC03AA"/>
    <w:rsid w:val="00CC04A2"/>
    <w:rsid w:val="00CC07F8"/>
    <w:rsid w:val="00CC3E0D"/>
    <w:rsid w:val="00CD18DF"/>
    <w:rsid w:val="00CD5605"/>
    <w:rsid w:val="00CD7244"/>
    <w:rsid w:val="00CD74E8"/>
    <w:rsid w:val="00CE0383"/>
    <w:rsid w:val="00CE217F"/>
    <w:rsid w:val="00CE2C2F"/>
    <w:rsid w:val="00CF0E98"/>
    <w:rsid w:val="00CF74EC"/>
    <w:rsid w:val="00D02EA3"/>
    <w:rsid w:val="00D07C01"/>
    <w:rsid w:val="00D21890"/>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4EAD"/>
    <w:rsid w:val="00D84BE5"/>
    <w:rsid w:val="00D90731"/>
    <w:rsid w:val="00DB4AE0"/>
    <w:rsid w:val="00DB7B7D"/>
    <w:rsid w:val="00DC50E1"/>
    <w:rsid w:val="00DD3D5B"/>
    <w:rsid w:val="00DD4ED3"/>
    <w:rsid w:val="00DD7BAF"/>
    <w:rsid w:val="00DE293F"/>
    <w:rsid w:val="00DE6CE1"/>
    <w:rsid w:val="00DF0510"/>
    <w:rsid w:val="00DF13A1"/>
    <w:rsid w:val="00DF1E35"/>
    <w:rsid w:val="00DF2FB4"/>
    <w:rsid w:val="00E0241C"/>
    <w:rsid w:val="00E02792"/>
    <w:rsid w:val="00E12E41"/>
    <w:rsid w:val="00E15853"/>
    <w:rsid w:val="00E23375"/>
    <w:rsid w:val="00E364ED"/>
    <w:rsid w:val="00E43F28"/>
    <w:rsid w:val="00E447D5"/>
    <w:rsid w:val="00E5025A"/>
    <w:rsid w:val="00E5642A"/>
    <w:rsid w:val="00E56FA6"/>
    <w:rsid w:val="00E64BF5"/>
    <w:rsid w:val="00E66E69"/>
    <w:rsid w:val="00E73C1A"/>
    <w:rsid w:val="00E75785"/>
    <w:rsid w:val="00E8137F"/>
    <w:rsid w:val="00E85FFC"/>
    <w:rsid w:val="00E9559E"/>
    <w:rsid w:val="00EA74A3"/>
    <w:rsid w:val="00EB2E4B"/>
    <w:rsid w:val="00EB31D3"/>
    <w:rsid w:val="00EB6346"/>
    <w:rsid w:val="00EB6EB5"/>
    <w:rsid w:val="00EC0855"/>
    <w:rsid w:val="00EC2431"/>
    <w:rsid w:val="00ED3556"/>
    <w:rsid w:val="00ED3BDA"/>
    <w:rsid w:val="00EE3B7E"/>
    <w:rsid w:val="00EE6A5A"/>
    <w:rsid w:val="00EF32B6"/>
    <w:rsid w:val="00EF5D54"/>
    <w:rsid w:val="00F00F43"/>
    <w:rsid w:val="00F022C1"/>
    <w:rsid w:val="00F115BF"/>
    <w:rsid w:val="00F12BC6"/>
    <w:rsid w:val="00F244BF"/>
    <w:rsid w:val="00F26CCF"/>
    <w:rsid w:val="00F27400"/>
    <w:rsid w:val="00F32081"/>
    <w:rsid w:val="00F43024"/>
    <w:rsid w:val="00F463C7"/>
    <w:rsid w:val="00F5081D"/>
    <w:rsid w:val="00F605AB"/>
    <w:rsid w:val="00F61060"/>
    <w:rsid w:val="00F645D6"/>
    <w:rsid w:val="00F77123"/>
    <w:rsid w:val="00F83282"/>
    <w:rsid w:val="00F87A09"/>
    <w:rsid w:val="00F90F98"/>
    <w:rsid w:val="00FA03BC"/>
    <w:rsid w:val="00FA394E"/>
    <w:rsid w:val="00FA6A4A"/>
    <w:rsid w:val="00FB037F"/>
    <w:rsid w:val="00FB126F"/>
    <w:rsid w:val="00FB3213"/>
    <w:rsid w:val="00FB55C5"/>
    <w:rsid w:val="00FB6DC9"/>
    <w:rsid w:val="00FB7056"/>
    <w:rsid w:val="00FC3A4D"/>
    <w:rsid w:val="00FD0C87"/>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23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item">
    <w:name w:val="dashitem"/>
    <w:basedOn w:val="Normale"/>
    <w:rsid w:val="00233E7A"/>
    <w:pPr>
      <w:numPr>
        <w:numId w:val="44"/>
      </w:numPr>
      <w:overflowPunct w:val="0"/>
      <w:autoSpaceDE w:val="0"/>
      <w:autoSpaceDN w:val="0"/>
      <w:adjustRightInd w:val="0"/>
      <w:spacing w:before="160" w:after="160" w:line="240" w:lineRule="atLeast"/>
      <w:contextualSpacing/>
      <w:textAlignment w:val="baseline"/>
    </w:pPr>
    <w:rPr>
      <w:sz w:val="20"/>
    </w:rPr>
  </w:style>
  <w:style w:type="numbering" w:customStyle="1" w:styleId="itemization2">
    <w:name w:val="itemization2"/>
    <w:basedOn w:val="Nessunelenco"/>
    <w:rsid w:val="00233E7A"/>
    <w:pPr>
      <w:numPr>
        <w:numId w:val="44"/>
      </w:numPr>
    </w:pPr>
  </w:style>
  <w:style w:type="numbering" w:customStyle="1" w:styleId="itemization21">
    <w:name w:val="itemization21"/>
    <w:basedOn w:val="Nessunelenco"/>
    <w:rsid w:val="00D21890"/>
  </w:style>
  <w:style w:type="paragraph" w:customStyle="1" w:styleId="heading1">
    <w:name w:val="heading1"/>
    <w:basedOn w:val="Normale"/>
    <w:next w:val="p1a"/>
    <w:qFormat/>
    <w:rsid w:val="00D21890"/>
    <w:pPr>
      <w:keepNext/>
      <w:keepLines/>
      <w:numPr>
        <w:numId w:val="45"/>
      </w:numPr>
      <w:suppressAutoHyphens/>
      <w:overflowPunct w:val="0"/>
      <w:autoSpaceDE w:val="0"/>
      <w:autoSpaceDN w:val="0"/>
      <w:adjustRightInd w:val="0"/>
      <w:spacing w:before="360" w:after="240" w:line="300" w:lineRule="atLeast"/>
      <w:jc w:val="left"/>
      <w:textAlignment w:val="baseline"/>
      <w:outlineLvl w:val="0"/>
    </w:pPr>
    <w:rPr>
      <w:b/>
      <w:sz w:val="24"/>
    </w:rPr>
  </w:style>
  <w:style w:type="paragraph" w:customStyle="1" w:styleId="heading2">
    <w:name w:val="heading2"/>
    <w:basedOn w:val="Normale"/>
    <w:next w:val="p1a"/>
    <w:qFormat/>
    <w:rsid w:val="00D21890"/>
    <w:pPr>
      <w:keepNext/>
      <w:keepLines/>
      <w:numPr>
        <w:ilvl w:val="1"/>
        <w:numId w:val="45"/>
      </w:numPr>
      <w:suppressAutoHyphens/>
      <w:overflowPunct w:val="0"/>
      <w:autoSpaceDE w:val="0"/>
      <w:autoSpaceDN w:val="0"/>
      <w:adjustRightInd w:val="0"/>
      <w:spacing w:before="360" w:after="160" w:line="240" w:lineRule="atLeast"/>
      <w:jc w:val="left"/>
      <w:textAlignment w:val="baseline"/>
      <w:outlineLvl w:val="1"/>
    </w:pPr>
    <w:rPr>
      <w:b/>
      <w:sz w:val="20"/>
    </w:rPr>
  </w:style>
  <w:style w:type="numbering" w:customStyle="1" w:styleId="headings">
    <w:name w:val="headings"/>
    <w:basedOn w:val="Nessunelenco"/>
    <w:rsid w:val="00D21890"/>
    <w:pPr>
      <w:numPr>
        <w:numId w:val="45"/>
      </w:numPr>
    </w:pPr>
  </w:style>
  <w:style w:type="paragraph" w:customStyle="1" w:styleId="p1a">
    <w:name w:val="p1a"/>
    <w:basedOn w:val="Normale"/>
    <w:next w:val="Normale"/>
    <w:rsid w:val="00D21890"/>
    <w:pPr>
      <w:overflowPunct w:val="0"/>
      <w:autoSpaceDE w:val="0"/>
      <w:autoSpaceDN w:val="0"/>
      <w:adjustRightInd w:val="0"/>
      <w:spacing w:line="240" w:lineRule="atLeast"/>
      <w:textAlignment w:val="baseline"/>
    </w:pPr>
    <w:rPr>
      <w:sz w:val="20"/>
    </w:rPr>
  </w:style>
  <w:style w:type="paragraph" w:styleId="Paragrafoelenco">
    <w:name w:val="List Paragraph"/>
    <w:basedOn w:val="Normale"/>
    <w:rsid w:val="00D21890"/>
    <w:pPr>
      <w:overflowPunct w:val="0"/>
      <w:autoSpaceDE w:val="0"/>
      <w:autoSpaceDN w:val="0"/>
      <w:adjustRightInd w:val="0"/>
      <w:spacing w:line="240" w:lineRule="atLeast"/>
      <w:ind w:left="720" w:firstLine="227"/>
      <w:contextualSpacing/>
      <w:textAlignment w:val="baseline"/>
    </w:pPr>
    <w:rPr>
      <w:sz w:val="20"/>
    </w:rPr>
  </w:style>
  <w:style w:type="character" w:styleId="Testosegnaposto">
    <w:name w:val="Placeholder Text"/>
    <w:basedOn w:val="Carpredefinitoparagrafo"/>
    <w:uiPriority w:val="99"/>
    <w:semiHidden/>
    <w:rsid w:val="00795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Foglio1!$B$1</c:f>
              <c:strCache>
                <c:ptCount val="1"/>
                <c:pt idx="0">
                  <c:v>Company A</c:v>
                </c:pt>
              </c:strCache>
            </c:strRef>
          </c:tx>
          <c:spPr>
            <a:ln w="28575" cap="rnd">
              <a:solidFill>
                <a:schemeClr val="accent1"/>
              </a:solidFill>
              <a:round/>
            </a:ln>
            <a:effectLst/>
          </c:spPr>
          <c:marker>
            <c:symbol val="none"/>
          </c:marker>
          <c:cat>
            <c:numRef>
              <c:f>Foglio1!$A$2:$A$4</c:f>
              <c:numCache>
                <c:formatCode>General</c:formatCode>
                <c:ptCount val="3"/>
                <c:pt idx="0">
                  <c:v>2020</c:v>
                </c:pt>
                <c:pt idx="1">
                  <c:v>2021</c:v>
                </c:pt>
                <c:pt idx="2">
                  <c:v>2022</c:v>
                </c:pt>
              </c:numCache>
            </c:numRef>
          </c:cat>
          <c:val>
            <c:numRef>
              <c:f>Foglio1!$B$2:$B$4</c:f>
              <c:numCache>
                <c:formatCode>General</c:formatCode>
                <c:ptCount val="3"/>
                <c:pt idx="0">
                  <c:v>30</c:v>
                </c:pt>
                <c:pt idx="1">
                  <c:v>41</c:v>
                </c:pt>
                <c:pt idx="2">
                  <c:v>49</c:v>
                </c:pt>
              </c:numCache>
            </c:numRef>
          </c:val>
          <c:smooth val="0"/>
          <c:extLst>
            <c:ext xmlns:c16="http://schemas.microsoft.com/office/drawing/2014/chart" uri="{C3380CC4-5D6E-409C-BE32-E72D297353CC}">
              <c16:uniqueId val="{00000000-1A4E-4196-9610-E8B4DAF5FF91}"/>
            </c:ext>
          </c:extLst>
        </c:ser>
        <c:ser>
          <c:idx val="1"/>
          <c:order val="1"/>
          <c:tx>
            <c:strRef>
              <c:f>Foglio1!$C$1</c:f>
              <c:strCache>
                <c:ptCount val="1"/>
                <c:pt idx="0">
                  <c:v>Company B</c:v>
                </c:pt>
              </c:strCache>
            </c:strRef>
          </c:tx>
          <c:spPr>
            <a:ln w="28575" cap="rnd">
              <a:solidFill>
                <a:schemeClr val="accent2"/>
              </a:solidFill>
              <a:round/>
            </a:ln>
            <a:effectLst/>
          </c:spPr>
          <c:marker>
            <c:symbol val="none"/>
          </c:marker>
          <c:cat>
            <c:numRef>
              <c:f>Foglio1!$A$2:$A$4</c:f>
              <c:numCache>
                <c:formatCode>General</c:formatCode>
                <c:ptCount val="3"/>
                <c:pt idx="0">
                  <c:v>2020</c:v>
                </c:pt>
                <c:pt idx="1">
                  <c:v>2021</c:v>
                </c:pt>
                <c:pt idx="2">
                  <c:v>2022</c:v>
                </c:pt>
              </c:numCache>
            </c:numRef>
          </c:cat>
          <c:val>
            <c:numRef>
              <c:f>Foglio1!$C$2:$C$4</c:f>
              <c:numCache>
                <c:formatCode>General</c:formatCode>
                <c:ptCount val="3"/>
                <c:pt idx="0">
                  <c:v>13</c:v>
                </c:pt>
                <c:pt idx="1">
                  <c:v>35</c:v>
                </c:pt>
                <c:pt idx="2">
                  <c:v>61</c:v>
                </c:pt>
              </c:numCache>
            </c:numRef>
          </c:val>
          <c:smooth val="0"/>
          <c:extLst>
            <c:ext xmlns:c16="http://schemas.microsoft.com/office/drawing/2014/chart" uri="{C3380CC4-5D6E-409C-BE32-E72D297353CC}">
              <c16:uniqueId val="{00000001-1A4E-4196-9610-E8B4DAF5FF91}"/>
            </c:ext>
          </c:extLst>
        </c:ser>
        <c:ser>
          <c:idx val="2"/>
          <c:order val="2"/>
          <c:tx>
            <c:strRef>
              <c:f>Foglio1!$D$1</c:f>
              <c:strCache>
                <c:ptCount val="1"/>
                <c:pt idx="0">
                  <c:v>Company C</c:v>
                </c:pt>
              </c:strCache>
            </c:strRef>
          </c:tx>
          <c:spPr>
            <a:ln w="28575" cap="rnd">
              <a:solidFill>
                <a:schemeClr val="accent3"/>
              </a:solidFill>
              <a:round/>
            </a:ln>
            <a:effectLst/>
          </c:spPr>
          <c:marker>
            <c:symbol val="none"/>
          </c:marker>
          <c:cat>
            <c:numRef>
              <c:f>Foglio1!$A$2:$A$4</c:f>
              <c:numCache>
                <c:formatCode>General</c:formatCode>
                <c:ptCount val="3"/>
                <c:pt idx="0">
                  <c:v>2020</c:v>
                </c:pt>
                <c:pt idx="1">
                  <c:v>2021</c:v>
                </c:pt>
                <c:pt idx="2">
                  <c:v>2022</c:v>
                </c:pt>
              </c:numCache>
            </c:numRef>
          </c:cat>
          <c:val>
            <c:numRef>
              <c:f>Foglio1!$D$2:$D$4</c:f>
              <c:numCache>
                <c:formatCode>General</c:formatCode>
                <c:ptCount val="3"/>
                <c:pt idx="0">
                  <c:v>38</c:v>
                </c:pt>
                <c:pt idx="1">
                  <c:v>49</c:v>
                </c:pt>
                <c:pt idx="2">
                  <c:v>47</c:v>
                </c:pt>
              </c:numCache>
            </c:numRef>
          </c:val>
          <c:smooth val="0"/>
          <c:extLst>
            <c:ext xmlns:c16="http://schemas.microsoft.com/office/drawing/2014/chart" uri="{C3380CC4-5D6E-409C-BE32-E72D297353CC}">
              <c16:uniqueId val="{00000000-67E4-4497-B7F3-980C687A7F72}"/>
            </c:ext>
          </c:extLst>
        </c:ser>
        <c:dLbls>
          <c:showLegendKey val="0"/>
          <c:showVal val="0"/>
          <c:showCatName val="0"/>
          <c:showSerName val="0"/>
          <c:showPercent val="0"/>
          <c:showBubbleSize val="0"/>
        </c:dLbls>
        <c:smooth val="0"/>
        <c:axId val="1379436671"/>
        <c:axId val="1379437087"/>
      </c:lineChart>
      <c:catAx>
        <c:axId val="137943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9437087"/>
        <c:crosses val="autoZero"/>
        <c:auto val="1"/>
        <c:lblAlgn val="ctr"/>
        <c:lblOffset val="100"/>
        <c:noMultiLvlLbl val="0"/>
      </c:catAx>
      <c:valAx>
        <c:axId val="1379437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9436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TotalTime>
  <Pages>17</Pages>
  <Words>4623</Words>
  <Characters>27084</Characters>
  <Application>Microsoft Office Word</Application>
  <DocSecurity>0</DocSecurity>
  <Lines>783</Lines>
  <Paragraphs>342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31420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Giovanni Lagioia</cp:lastModifiedBy>
  <cp:revision>4</cp:revision>
  <cp:lastPrinted>2015-09-03T03:20:00Z</cp:lastPrinted>
  <dcterms:created xsi:type="dcterms:W3CDTF">2022-07-15T06:33:00Z</dcterms:created>
  <dcterms:modified xsi:type="dcterms:W3CDTF">2022-07-15T06:34:00Z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