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A3188B" w14:textId="4F298D2C" w:rsidR="00454C34" w:rsidRDefault="00454C34">
      <w:pPr>
        <w:pStyle w:val="ChapterTitle"/>
        <w:tabs>
          <w:tab w:val="left" w:pos="5812"/>
          <w:tab w:val="left" w:pos="5954"/>
          <w:tab w:val="left" w:pos="6096"/>
          <w:tab w:val="left" w:pos="6237"/>
        </w:tabs>
        <w:spacing w:after="0" w:line="100" w:lineRule="atLeast"/>
        <w:ind w:left="0" w:right="-28"/>
        <w:jc w:val="left"/>
      </w:pPr>
      <w:r>
        <w:rPr>
          <w:sz w:val="28"/>
        </w:rPr>
        <w:t xml:space="preserve">Chapter N </w:t>
      </w:r>
      <w:r w:rsidR="00D62C70" w:rsidRPr="00D62C70">
        <w:rPr>
          <w:color w:val="FF0000"/>
          <w:sz w:val="28"/>
        </w:rPr>
        <w:t>305</w:t>
      </w:r>
    </w:p>
    <w:p w14:paraId="0CF17DCB" w14:textId="77777777" w:rsidR="00454C34" w:rsidRDefault="00454C34">
      <w:pPr>
        <w:pStyle w:val="ChapterTitle"/>
        <w:tabs>
          <w:tab w:val="left" w:pos="5812"/>
          <w:tab w:val="left" w:pos="5954"/>
          <w:tab w:val="left" w:pos="6096"/>
          <w:tab w:val="left" w:pos="6237"/>
        </w:tabs>
        <w:spacing w:after="0" w:line="100" w:lineRule="atLeast"/>
        <w:ind w:left="0" w:right="-28"/>
        <w:jc w:val="left"/>
      </w:pPr>
    </w:p>
    <w:p w14:paraId="27737A70" w14:textId="77777777" w:rsidR="00454C34" w:rsidRDefault="00454C34">
      <w:pPr>
        <w:spacing w:line="100" w:lineRule="atLeast"/>
        <w:jc w:val="center"/>
        <w:rPr>
          <w:sz w:val="28"/>
        </w:rPr>
      </w:pPr>
      <w:r>
        <w:rPr>
          <w:b/>
          <w:sz w:val="30"/>
          <w:szCs w:val="30"/>
          <w:lang w:val="en-GB"/>
        </w:rPr>
        <w:t>The agri-food products life cycle: the technological dimension role in an open innovation perspective</w:t>
      </w:r>
    </w:p>
    <w:p w14:paraId="142CDC2E" w14:textId="77777777" w:rsidR="00454C34" w:rsidRDefault="00454C34">
      <w:pPr>
        <w:pStyle w:val="ChapterTitle"/>
        <w:tabs>
          <w:tab w:val="left" w:pos="5812"/>
          <w:tab w:val="left" w:pos="5954"/>
          <w:tab w:val="left" w:pos="6096"/>
          <w:tab w:val="left" w:pos="6237"/>
        </w:tabs>
        <w:spacing w:after="0" w:line="100" w:lineRule="atLeast"/>
        <w:ind w:left="0" w:right="-28"/>
        <w:jc w:val="left"/>
        <w:rPr>
          <w:sz w:val="28"/>
        </w:rPr>
      </w:pPr>
    </w:p>
    <w:p w14:paraId="75F6111E" w14:textId="77777777" w:rsidR="00454C34" w:rsidRPr="009C12F8" w:rsidRDefault="00454C34">
      <w:pPr>
        <w:pStyle w:val="Abstract"/>
        <w:tabs>
          <w:tab w:val="left" w:pos="6379"/>
        </w:tabs>
        <w:spacing w:line="276" w:lineRule="auto"/>
        <w:ind w:left="0" w:right="-30"/>
        <w:rPr>
          <w:b/>
          <w:sz w:val="22"/>
          <w:lang w:val="it-IT"/>
        </w:rPr>
      </w:pPr>
    </w:p>
    <w:p w14:paraId="7BFBADAC" w14:textId="77777777" w:rsidR="00454C34" w:rsidRDefault="00454C34">
      <w:pPr>
        <w:pStyle w:val="Abstract"/>
        <w:tabs>
          <w:tab w:val="left" w:pos="6379"/>
        </w:tabs>
        <w:spacing w:line="276" w:lineRule="auto"/>
        <w:ind w:left="0" w:right="-30"/>
        <w:rPr>
          <w:sz w:val="22"/>
        </w:rPr>
      </w:pPr>
      <w:r>
        <w:rPr>
          <w:b/>
          <w:sz w:val="22"/>
        </w:rPr>
        <w:t>Abstract.</w:t>
      </w:r>
      <w:r>
        <w:rPr>
          <w:sz w:val="22"/>
        </w:rPr>
        <w:t xml:space="preserve"> </w:t>
      </w:r>
      <w:r>
        <w:rPr>
          <w:sz w:val="22"/>
          <w:szCs w:val="22"/>
          <w:lang w:val="en-GB"/>
        </w:rPr>
        <w:t xml:space="preserve">The literature analysis allows to group the main schools of thought on life cycle models into three categories: the marketing dimension (marketing product life cycle), the managerial/engineering dimension (engineering product life cycle), the technological dimension (technology life cycle). </w:t>
      </w:r>
      <w:proofErr w:type="gramStart"/>
      <w:r>
        <w:rPr>
          <w:sz w:val="22"/>
          <w:szCs w:val="22"/>
          <w:lang w:val="en-GB"/>
        </w:rPr>
        <w:t>However</w:t>
      </w:r>
      <w:proofErr w:type="gramEnd"/>
      <w:r>
        <w:rPr>
          <w:sz w:val="22"/>
          <w:szCs w:val="22"/>
          <w:lang w:val="en-GB"/>
        </w:rPr>
        <w:t xml:space="preserve"> the empirical evidence has revealed an overlap of such models and over time the technological dimension has taken on an increasingly important role in building successful business models. In particular, the open innovation (OI) concept has found more and more application in the agri-food sector through the construction of models based on specific case studies (OI models). The present work aims to carry out a systematic review of the current literature to underline points of contact and deviations between the most accredited models applied in the agri-food sector </w:t>
      </w:r>
      <w:proofErr w:type="gramStart"/>
      <w:r>
        <w:rPr>
          <w:sz w:val="22"/>
          <w:szCs w:val="22"/>
          <w:lang w:val="en-GB"/>
        </w:rPr>
        <w:t>in order to</w:t>
      </w:r>
      <w:proofErr w:type="gramEnd"/>
      <w:r>
        <w:rPr>
          <w:sz w:val="22"/>
          <w:szCs w:val="22"/>
          <w:lang w:val="en-GB"/>
        </w:rPr>
        <w:t xml:space="preserve"> highlight the success variables underlying the application of each model.</w:t>
      </w:r>
    </w:p>
    <w:p w14:paraId="01429068" w14:textId="77777777" w:rsidR="00454C34" w:rsidRDefault="00454C34">
      <w:pPr>
        <w:pStyle w:val="Abstract"/>
        <w:tabs>
          <w:tab w:val="left" w:pos="6379"/>
        </w:tabs>
        <w:spacing w:line="276" w:lineRule="auto"/>
        <w:ind w:left="0" w:right="-30"/>
        <w:rPr>
          <w:sz w:val="22"/>
        </w:rPr>
      </w:pPr>
    </w:p>
    <w:p w14:paraId="71AA8F10" w14:textId="77777777" w:rsidR="00454C34" w:rsidRDefault="00454C34">
      <w:pPr>
        <w:pStyle w:val="Abstract"/>
        <w:tabs>
          <w:tab w:val="left" w:pos="6379"/>
        </w:tabs>
        <w:spacing w:line="276" w:lineRule="auto"/>
        <w:ind w:left="0" w:right="-30"/>
        <w:rPr>
          <w:sz w:val="22"/>
        </w:rPr>
      </w:pPr>
      <w:r>
        <w:rPr>
          <w:b/>
          <w:sz w:val="22"/>
        </w:rPr>
        <w:t>Keywords.</w:t>
      </w:r>
      <w:r>
        <w:rPr>
          <w:sz w:val="22"/>
        </w:rPr>
        <w:t xml:space="preserve"> Open Innovation, Open Innovation Model, Food innovation, </w:t>
      </w:r>
      <w:proofErr w:type="spellStart"/>
      <w:r>
        <w:rPr>
          <w:sz w:val="22"/>
        </w:rPr>
        <w:t>Agrifood</w:t>
      </w:r>
      <w:proofErr w:type="spellEnd"/>
      <w:r>
        <w:rPr>
          <w:sz w:val="22"/>
        </w:rPr>
        <w:t xml:space="preserve"> Sector, Technology Life Cycle, Product Life Cycle. </w:t>
      </w:r>
    </w:p>
    <w:p w14:paraId="373F5C3D" w14:textId="77777777" w:rsidR="004D3AD5" w:rsidRDefault="004D3AD5">
      <w:pPr>
        <w:pStyle w:val="Abstract"/>
        <w:tabs>
          <w:tab w:val="left" w:pos="6379"/>
        </w:tabs>
        <w:spacing w:line="276" w:lineRule="auto"/>
        <w:ind w:left="0" w:right="-30"/>
        <w:rPr>
          <w:sz w:val="22"/>
        </w:rPr>
      </w:pPr>
    </w:p>
    <w:p w14:paraId="14C2661B" w14:textId="77777777" w:rsidR="004D3AD5" w:rsidRDefault="004D3AD5">
      <w:pPr>
        <w:pStyle w:val="Abstract"/>
        <w:tabs>
          <w:tab w:val="left" w:pos="6379"/>
        </w:tabs>
        <w:spacing w:line="276" w:lineRule="auto"/>
        <w:ind w:left="0" w:right="-30"/>
        <w:rPr>
          <w:sz w:val="22"/>
        </w:rPr>
      </w:pPr>
      <w:r w:rsidRPr="00C212B7">
        <w:rPr>
          <w:b/>
          <w:bCs/>
          <w:sz w:val="22"/>
        </w:rPr>
        <w:t>Paper type</w:t>
      </w:r>
      <w:r>
        <w:rPr>
          <w:sz w:val="22"/>
        </w:rPr>
        <w:t>. Systematic review.</w:t>
      </w:r>
    </w:p>
    <w:p w14:paraId="00D3DA67" w14:textId="77777777" w:rsidR="00454C34" w:rsidRDefault="00454C34">
      <w:pPr>
        <w:pStyle w:val="Abstract"/>
        <w:tabs>
          <w:tab w:val="left" w:pos="6379"/>
        </w:tabs>
        <w:spacing w:line="276" w:lineRule="auto"/>
        <w:ind w:left="0" w:right="-30"/>
        <w:rPr>
          <w:sz w:val="22"/>
        </w:rPr>
      </w:pPr>
    </w:p>
    <w:p w14:paraId="5A6E448F" w14:textId="77777777" w:rsidR="00454C34" w:rsidRDefault="00454C34">
      <w:pPr>
        <w:sectPr w:rsidR="00454C34">
          <w:headerReference w:type="even" r:id="rId8"/>
          <w:headerReference w:type="default" r:id="rId9"/>
          <w:footerReference w:type="first" r:id="rId10"/>
          <w:pgSz w:w="11906" w:h="16838"/>
          <w:pgMar w:top="2563" w:right="2362" w:bottom="2808" w:left="2347" w:header="2506" w:footer="720" w:gutter="0"/>
          <w:cols w:space="720"/>
          <w:titlePg/>
          <w:docGrid w:linePitch="360" w:charSpace="-2049"/>
        </w:sectPr>
      </w:pPr>
    </w:p>
    <w:p w14:paraId="5349030E" w14:textId="77777777" w:rsidR="00454C34" w:rsidRDefault="00454C34">
      <w:pPr>
        <w:pStyle w:val="Abstract"/>
        <w:tabs>
          <w:tab w:val="left" w:pos="6379"/>
        </w:tabs>
        <w:spacing w:line="276" w:lineRule="auto"/>
        <w:ind w:left="0" w:right="-30"/>
        <w:rPr>
          <w:sz w:val="24"/>
          <w:szCs w:val="24"/>
        </w:rPr>
      </w:pPr>
      <w:r>
        <w:rPr>
          <w:b/>
          <w:bCs/>
          <w:sz w:val="28"/>
          <w:szCs w:val="28"/>
          <w:lang w:val="en-GB"/>
        </w:rPr>
        <w:lastRenderedPageBreak/>
        <w:t>N.1 Introduction</w:t>
      </w:r>
    </w:p>
    <w:p w14:paraId="330724FA" w14:textId="77777777" w:rsidR="00454C34" w:rsidRDefault="00454C34">
      <w:pPr>
        <w:pStyle w:val="Abstract"/>
        <w:tabs>
          <w:tab w:val="left" w:pos="6379"/>
        </w:tabs>
        <w:spacing w:line="276" w:lineRule="auto"/>
        <w:ind w:left="0" w:right="-30"/>
        <w:rPr>
          <w:sz w:val="24"/>
          <w:szCs w:val="24"/>
        </w:rPr>
      </w:pPr>
    </w:p>
    <w:p w14:paraId="34224C15" w14:textId="77777777" w:rsidR="00454C34" w:rsidRDefault="00454C34">
      <w:pPr>
        <w:pStyle w:val="Abstract"/>
        <w:tabs>
          <w:tab w:val="left" w:pos="6379"/>
        </w:tabs>
        <w:spacing w:line="276" w:lineRule="auto"/>
        <w:ind w:left="0" w:right="-30"/>
        <w:rPr>
          <w:sz w:val="24"/>
          <w:szCs w:val="24"/>
        </w:rPr>
      </w:pPr>
      <w:r>
        <w:rPr>
          <w:b/>
          <w:bCs/>
          <w:sz w:val="26"/>
          <w:szCs w:val="26"/>
        </w:rPr>
        <w:t xml:space="preserve">N.1.1 </w:t>
      </w:r>
      <w:r>
        <w:rPr>
          <w:b/>
          <w:bCs/>
          <w:sz w:val="26"/>
          <w:szCs w:val="26"/>
          <w:lang w:val="en-GB"/>
        </w:rPr>
        <w:t>The life cycle and the open innovation perspective</w:t>
      </w:r>
    </w:p>
    <w:p w14:paraId="22CDA37D" w14:textId="77777777" w:rsidR="00454C34" w:rsidRDefault="00454C34">
      <w:pPr>
        <w:pStyle w:val="Abstract"/>
        <w:tabs>
          <w:tab w:val="left" w:pos="6379"/>
        </w:tabs>
        <w:spacing w:line="276" w:lineRule="auto"/>
        <w:ind w:left="0" w:right="-30"/>
        <w:rPr>
          <w:sz w:val="24"/>
          <w:szCs w:val="24"/>
        </w:rPr>
      </w:pPr>
    </w:p>
    <w:p w14:paraId="4605AE6D" w14:textId="77777777" w:rsidR="00454C34" w:rsidRDefault="00454C34">
      <w:pPr>
        <w:tabs>
          <w:tab w:val="left" w:pos="6379"/>
          <w:tab w:val="right" w:pos="6480"/>
        </w:tabs>
        <w:spacing w:line="100" w:lineRule="atLeast"/>
        <w:ind w:right="-30"/>
        <w:jc w:val="left"/>
        <w:rPr>
          <w:sz w:val="24"/>
          <w:szCs w:val="24"/>
          <w:lang w:val="en-GB"/>
        </w:rPr>
      </w:pPr>
      <w:r>
        <w:rPr>
          <w:sz w:val="24"/>
          <w:szCs w:val="24"/>
          <w:lang w:val="en-GB"/>
        </w:rPr>
        <w:t xml:space="preserve">A multidisciplinary approach to the latest life cycle literature allows the main schools of thought to be grouped into three categories: the marketing dimension (Dean, 1950; Levitt, 1965; </w:t>
      </w:r>
      <w:proofErr w:type="spellStart"/>
      <w:r>
        <w:rPr>
          <w:sz w:val="24"/>
          <w:szCs w:val="24"/>
          <w:lang w:val="en-GB"/>
        </w:rPr>
        <w:t>Tellis</w:t>
      </w:r>
      <w:proofErr w:type="spellEnd"/>
      <w:r>
        <w:rPr>
          <w:sz w:val="24"/>
          <w:szCs w:val="24"/>
          <w:lang w:val="en-GB"/>
        </w:rPr>
        <w:t xml:space="preserve"> &amp; Crawford, 1981), the managerial/engineering </w:t>
      </w:r>
      <w:proofErr w:type="gramStart"/>
      <w:r>
        <w:rPr>
          <w:sz w:val="24"/>
          <w:szCs w:val="24"/>
          <w:lang w:val="en-GB"/>
        </w:rPr>
        <w:t>dimension  (</w:t>
      </w:r>
      <w:proofErr w:type="gramEnd"/>
      <w:r>
        <w:rPr>
          <w:sz w:val="24"/>
          <w:szCs w:val="24"/>
          <w:lang w:val="en-GB"/>
        </w:rPr>
        <w:t xml:space="preserve">Day, 1981; Bennett &amp; Cooper, 1984; </w:t>
      </w:r>
      <w:proofErr w:type="spellStart"/>
      <w:r>
        <w:rPr>
          <w:sz w:val="24"/>
          <w:szCs w:val="24"/>
          <w:lang w:val="en-GB"/>
        </w:rPr>
        <w:t>Westkämper</w:t>
      </w:r>
      <w:proofErr w:type="spellEnd"/>
      <w:r>
        <w:rPr>
          <w:sz w:val="24"/>
          <w:szCs w:val="24"/>
          <w:lang w:val="en-GB"/>
        </w:rPr>
        <w:t xml:space="preserve">, 2001), and the technological dimension (Tarde, 1903; Rogers, 1962; Chesbrough, 2003). However, the case studies have revealed an overlap of these dimensions, especially the technological one. Hence, this dissertation aims to investigate the role of the technological dimension in an open innovation perspective within the food sector. The technological dimension is crucial: as stated by Schumpeter, economic development is fostered by the continuous emergence of new and more sustainable innovations (Schumpeter, 1934). Consequently, the firm's ability to innovate is fundamental to survive in such competitive environment. Under these circumstances, a system of cooperation between actors is </w:t>
      </w:r>
      <w:proofErr w:type="gramStart"/>
      <w:r>
        <w:rPr>
          <w:sz w:val="24"/>
          <w:szCs w:val="24"/>
          <w:lang w:val="en-GB"/>
        </w:rPr>
        <w:t>necessary, since</w:t>
      </w:r>
      <w:proofErr w:type="gramEnd"/>
      <w:r>
        <w:rPr>
          <w:sz w:val="24"/>
          <w:szCs w:val="24"/>
          <w:lang w:val="en-GB"/>
        </w:rPr>
        <w:t xml:space="preserve"> companies usually do not have sufficient resources to innovate. In other words, an open innovation approach may be a game changer.</w:t>
      </w:r>
    </w:p>
    <w:p w14:paraId="63017864" w14:textId="77777777" w:rsidR="00454C34" w:rsidRDefault="00454C34">
      <w:pPr>
        <w:tabs>
          <w:tab w:val="left" w:pos="6379"/>
          <w:tab w:val="right" w:pos="6480"/>
        </w:tabs>
        <w:spacing w:line="100" w:lineRule="atLeast"/>
        <w:ind w:right="-30"/>
        <w:jc w:val="left"/>
        <w:rPr>
          <w:sz w:val="24"/>
          <w:szCs w:val="24"/>
        </w:rPr>
      </w:pPr>
      <w:r>
        <w:rPr>
          <w:sz w:val="24"/>
          <w:szCs w:val="24"/>
          <w:lang w:val="en-GB"/>
        </w:rPr>
        <w:t>According to the original definition, in an open innovation (OI) process “</w:t>
      </w:r>
      <w:r>
        <w:rPr>
          <w:i/>
          <w:iCs/>
          <w:sz w:val="24"/>
          <w:szCs w:val="24"/>
          <w:lang w:val="en-GB"/>
        </w:rPr>
        <w:t>… valuable ideas can come from inside or outside the company and can go to market from inside or outside the company as well</w:t>
      </w:r>
      <w:r>
        <w:rPr>
          <w:sz w:val="24"/>
          <w:szCs w:val="24"/>
          <w:lang w:val="en-GB"/>
        </w:rPr>
        <w:t>” (Chesbrough, 2003). In more recent times the definition has been revisited: “</w:t>
      </w:r>
      <w:r>
        <w:rPr>
          <w:i/>
          <w:iCs/>
          <w:sz w:val="24"/>
          <w:szCs w:val="24"/>
          <w:lang w:val="en-GB"/>
        </w:rPr>
        <w:t>OI is defined as a distributed innovation process based on purposively managed knowledge flows across organisational boundaries, using pecuniary and non-pecuniary mechanism in line with the organization´s business model</w:t>
      </w:r>
      <w:r>
        <w:rPr>
          <w:sz w:val="24"/>
          <w:szCs w:val="24"/>
          <w:lang w:val="en-GB"/>
        </w:rPr>
        <w:t xml:space="preserve">” (Chesbrough e </w:t>
      </w:r>
      <w:proofErr w:type="spellStart"/>
      <w:r>
        <w:rPr>
          <w:sz w:val="24"/>
          <w:szCs w:val="24"/>
          <w:lang w:val="en-GB"/>
        </w:rPr>
        <w:t>Bogers</w:t>
      </w:r>
      <w:proofErr w:type="spellEnd"/>
      <w:r>
        <w:rPr>
          <w:sz w:val="24"/>
          <w:szCs w:val="24"/>
          <w:lang w:val="en-GB"/>
        </w:rPr>
        <w:t xml:space="preserve">, 2014). Examples of pecuniary and non-pecuniary mechanisms are the following: intellectual property rights, crowdsourcing, crowdfunding, hackathons, </w:t>
      </w:r>
      <w:proofErr w:type="spellStart"/>
      <w:r>
        <w:rPr>
          <w:sz w:val="24"/>
          <w:szCs w:val="24"/>
          <w:lang w:val="en-GB"/>
        </w:rPr>
        <w:t>collaborations.</w:t>
      </w:r>
      <w:r w:rsidR="009C12F8">
        <w:rPr>
          <w:rStyle w:val="Rimandonotaapidipagina"/>
          <w:sz w:val="24"/>
          <w:szCs w:val="24"/>
          <w:lang w:val="en-GB"/>
        </w:rPr>
        <w:footnoteReference w:customMarkFollows="1" w:id="1"/>
        <w:t>a</w:t>
      </w:r>
      <w:proofErr w:type="spellEnd"/>
      <w:r>
        <w:rPr>
          <w:sz w:val="24"/>
          <w:szCs w:val="24"/>
          <w:lang w:val="en-GB"/>
        </w:rPr>
        <w:t xml:space="preserve"> Concerning collaborations, the company's ability to build a network (with universities, spin-offs, start-ups, public and private institutions, etc.) allows then to manage a huge flow of information and skills and so to meet the needs of the moment (</w:t>
      </w:r>
      <w:proofErr w:type="spellStart"/>
      <w:r>
        <w:rPr>
          <w:sz w:val="24"/>
          <w:szCs w:val="24"/>
          <w:lang w:val="en-GB"/>
        </w:rPr>
        <w:t>Tarabella</w:t>
      </w:r>
      <w:proofErr w:type="spellEnd"/>
      <w:r>
        <w:rPr>
          <w:sz w:val="24"/>
          <w:szCs w:val="24"/>
          <w:lang w:val="en-GB"/>
        </w:rPr>
        <w:t xml:space="preserve">, 2019). In fact, thanks to cooperation, companies not only optimize the </w:t>
      </w:r>
      <w:r>
        <w:rPr>
          <w:sz w:val="24"/>
          <w:szCs w:val="24"/>
          <w:lang w:val="en-GB"/>
        </w:rPr>
        <w:lastRenderedPageBreak/>
        <w:t>flow of information but also increase their profits by ensuring a diversification of their resources (</w:t>
      </w:r>
      <w:proofErr w:type="spellStart"/>
      <w:r>
        <w:rPr>
          <w:sz w:val="24"/>
          <w:szCs w:val="24"/>
          <w:lang w:val="en-GB"/>
        </w:rPr>
        <w:t>Kranenburg</w:t>
      </w:r>
      <w:proofErr w:type="spellEnd"/>
      <w:r>
        <w:rPr>
          <w:sz w:val="24"/>
          <w:szCs w:val="24"/>
          <w:lang w:val="en-GB"/>
        </w:rPr>
        <w:t xml:space="preserve"> et al., 2004).</w:t>
      </w:r>
    </w:p>
    <w:p w14:paraId="4A748AA4" w14:textId="77777777" w:rsidR="00454C34" w:rsidRDefault="00454C34">
      <w:pPr>
        <w:pStyle w:val="Abstract"/>
        <w:tabs>
          <w:tab w:val="left" w:pos="6379"/>
        </w:tabs>
        <w:spacing w:line="276" w:lineRule="auto"/>
        <w:ind w:left="0" w:right="-30"/>
        <w:rPr>
          <w:sz w:val="24"/>
          <w:szCs w:val="24"/>
        </w:rPr>
      </w:pPr>
    </w:p>
    <w:p w14:paraId="73F78825" w14:textId="77777777" w:rsidR="00454C34" w:rsidRDefault="00454C34">
      <w:pPr>
        <w:pStyle w:val="Abstract"/>
        <w:tabs>
          <w:tab w:val="left" w:pos="6379"/>
        </w:tabs>
        <w:spacing w:line="276" w:lineRule="auto"/>
        <w:ind w:left="0" w:right="-30"/>
        <w:rPr>
          <w:sz w:val="24"/>
          <w:szCs w:val="24"/>
        </w:rPr>
      </w:pPr>
      <w:r>
        <w:rPr>
          <w:b/>
          <w:bCs/>
          <w:sz w:val="26"/>
          <w:szCs w:val="26"/>
          <w:lang w:val="en-GB"/>
        </w:rPr>
        <w:t>N.1.2 The open innovation approach in the globalized food industry: an essential need</w:t>
      </w:r>
    </w:p>
    <w:p w14:paraId="7A2EFA16" w14:textId="77777777" w:rsidR="00454C34" w:rsidRDefault="00454C34">
      <w:pPr>
        <w:pStyle w:val="Abstract"/>
        <w:tabs>
          <w:tab w:val="left" w:pos="6379"/>
        </w:tabs>
        <w:spacing w:line="276" w:lineRule="auto"/>
        <w:ind w:left="0" w:right="-30"/>
        <w:rPr>
          <w:sz w:val="24"/>
          <w:szCs w:val="24"/>
        </w:rPr>
      </w:pPr>
    </w:p>
    <w:p w14:paraId="773D0790" w14:textId="77777777" w:rsidR="00454C34" w:rsidRDefault="00454C34">
      <w:pPr>
        <w:spacing w:line="100" w:lineRule="atLeast"/>
        <w:jc w:val="left"/>
        <w:rPr>
          <w:sz w:val="24"/>
          <w:szCs w:val="24"/>
          <w:lang w:val="en-GB"/>
        </w:rPr>
      </w:pPr>
      <w:r>
        <w:rPr>
          <w:sz w:val="24"/>
          <w:szCs w:val="24"/>
          <w:lang w:val="en-GB"/>
        </w:rPr>
        <w:t>The food industry is a mature and conservative sector where its profit margins are extremely low and R&amp;D failure rate for new products is high (</w:t>
      </w:r>
      <w:proofErr w:type="spellStart"/>
      <w:r>
        <w:rPr>
          <w:sz w:val="24"/>
          <w:szCs w:val="24"/>
          <w:lang w:val="en-GB"/>
        </w:rPr>
        <w:t>Bigliardi</w:t>
      </w:r>
      <w:proofErr w:type="spellEnd"/>
      <w:r>
        <w:rPr>
          <w:sz w:val="24"/>
          <w:szCs w:val="24"/>
          <w:lang w:val="en-GB"/>
        </w:rPr>
        <w:t xml:space="preserve"> &amp; Galati, 2013; </w:t>
      </w:r>
      <w:proofErr w:type="spellStart"/>
      <w:r>
        <w:rPr>
          <w:sz w:val="24"/>
          <w:szCs w:val="24"/>
          <w:lang w:val="en-GB"/>
        </w:rPr>
        <w:t>Tsimiklis</w:t>
      </w:r>
      <w:proofErr w:type="spellEnd"/>
      <w:r>
        <w:rPr>
          <w:sz w:val="24"/>
          <w:szCs w:val="24"/>
          <w:lang w:val="en-GB"/>
        </w:rPr>
        <w:t xml:space="preserve"> &amp; </w:t>
      </w:r>
      <w:proofErr w:type="spellStart"/>
      <w:r>
        <w:rPr>
          <w:sz w:val="24"/>
          <w:szCs w:val="24"/>
          <w:lang w:val="en-GB"/>
        </w:rPr>
        <w:t>Makatsoris</w:t>
      </w:r>
      <w:proofErr w:type="spellEnd"/>
      <w:r>
        <w:rPr>
          <w:sz w:val="24"/>
          <w:szCs w:val="24"/>
          <w:lang w:val="en-GB"/>
        </w:rPr>
        <w:t xml:space="preserve">, </w:t>
      </w:r>
      <w:proofErr w:type="gramStart"/>
      <w:r>
        <w:rPr>
          <w:sz w:val="24"/>
          <w:szCs w:val="24"/>
          <w:lang w:val="en-GB"/>
        </w:rPr>
        <w:t>2015;  Manzini</w:t>
      </w:r>
      <w:proofErr w:type="gramEnd"/>
      <w:r>
        <w:rPr>
          <w:sz w:val="24"/>
          <w:szCs w:val="24"/>
          <w:lang w:val="en-GB"/>
        </w:rPr>
        <w:t xml:space="preserve"> et al., 2016). Furthermore, the food industry has historically given priority to the cost minimization, paying less attention to consumers desires and so to satisfy their needs (Lienhardt, 2004). This approach made the food industry unprepared for the dramatic changes happened during the XXI century. Nowadays, the market is </w:t>
      </w:r>
      <w:proofErr w:type="gramStart"/>
      <w:r>
        <w:rPr>
          <w:sz w:val="24"/>
          <w:szCs w:val="24"/>
          <w:lang w:val="en-GB"/>
        </w:rPr>
        <w:t>absolutely consumer-oriented</w:t>
      </w:r>
      <w:proofErr w:type="gramEnd"/>
      <w:r>
        <w:rPr>
          <w:sz w:val="24"/>
          <w:szCs w:val="24"/>
          <w:lang w:val="en-GB"/>
        </w:rPr>
        <w:t xml:space="preserve">, and so an open mindset is essential. These stylized facts show that the food sector can no longer rely on the traditional innovation method: an open innovation approach is needed. Not by chance, in the last decade more and more food companies are looking beyond their organizational boundaries for new opportunities </w:t>
      </w:r>
      <w:proofErr w:type="gramStart"/>
      <w:r>
        <w:rPr>
          <w:sz w:val="24"/>
          <w:szCs w:val="24"/>
          <w:lang w:val="en-GB"/>
        </w:rPr>
        <w:t>in order to</w:t>
      </w:r>
      <w:proofErr w:type="gramEnd"/>
      <w:r>
        <w:rPr>
          <w:sz w:val="24"/>
          <w:szCs w:val="24"/>
          <w:lang w:val="en-GB"/>
        </w:rPr>
        <w:t xml:space="preserve"> collaborate with potential partners in the supply chain (</w:t>
      </w:r>
      <w:proofErr w:type="spellStart"/>
      <w:r>
        <w:rPr>
          <w:sz w:val="24"/>
          <w:szCs w:val="24"/>
          <w:lang w:val="en-GB"/>
        </w:rPr>
        <w:t>Tsimiklis</w:t>
      </w:r>
      <w:proofErr w:type="spellEnd"/>
      <w:r>
        <w:rPr>
          <w:sz w:val="24"/>
          <w:szCs w:val="24"/>
          <w:lang w:val="en-GB"/>
        </w:rPr>
        <w:t xml:space="preserve"> &amp; </w:t>
      </w:r>
      <w:proofErr w:type="spellStart"/>
      <w:r>
        <w:rPr>
          <w:sz w:val="24"/>
          <w:szCs w:val="24"/>
          <w:lang w:val="en-GB"/>
        </w:rPr>
        <w:t>Makatsoris</w:t>
      </w:r>
      <w:proofErr w:type="spellEnd"/>
      <w:r>
        <w:rPr>
          <w:sz w:val="24"/>
          <w:szCs w:val="24"/>
          <w:lang w:val="en-GB"/>
        </w:rPr>
        <w:t>, 2015).</w:t>
      </w:r>
    </w:p>
    <w:p w14:paraId="7B581CF7" w14:textId="77777777" w:rsidR="00454C34" w:rsidRDefault="00454C34">
      <w:pPr>
        <w:spacing w:line="100" w:lineRule="atLeast"/>
        <w:jc w:val="left"/>
        <w:rPr>
          <w:sz w:val="24"/>
          <w:szCs w:val="24"/>
          <w:lang w:val="en-GB"/>
        </w:rPr>
      </w:pPr>
      <w:r>
        <w:rPr>
          <w:sz w:val="24"/>
          <w:szCs w:val="24"/>
          <w:lang w:val="en-GB"/>
        </w:rPr>
        <w:t>It follows that the open innovation strategy can and must also be pursued in the food sector. In fact, many studies have shown that innovation can become an effective tool, even for mature and traditional industries (</w:t>
      </w:r>
      <w:proofErr w:type="spellStart"/>
      <w:r>
        <w:rPr>
          <w:sz w:val="24"/>
          <w:szCs w:val="24"/>
          <w:lang w:val="en-GB"/>
        </w:rPr>
        <w:t>Arcese</w:t>
      </w:r>
      <w:proofErr w:type="spellEnd"/>
      <w:r>
        <w:rPr>
          <w:sz w:val="24"/>
          <w:szCs w:val="24"/>
          <w:lang w:val="en-GB"/>
        </w:rPr>
        <w:t xml:space="preserve"> et al., 2015). The main factors that lead food companies to innovate are the following (</w:t>
      </w:r>
      <w:proofErr w:type="spellStart"/>
      <w:r>
        <w:rPr>
          <w:sz w:val="24"/>
          <w:szCs w:val="24"/>
          <w:lang w:val="en-GB"/>
        </w:rPr>
        <w:t>Arcese</w:t>
      </w:r>
      <w:proofErr w:type="spellEnd"/>
      <w:r>
        <w:rPr>
          <w:sz w:val="24"/>
          <w:szCs w:val="24"/>
          <w:lang w:val="en-GB"/>
        </w:rPr>
        <w:t xml:space="preserve"> et al., 2015):</w:t>
      </w:r>
    </w:p>
    <w:p w14:paraId="7E5C2118" w14:textId="77777777" w:rsidR="00454C34" w:rsidRDefault="00454C34">
      <w:pPr>
        <w:numPr>
          <w:ilvl w:val="0"/>
          <w:numId w:val="2"/>
        </w:numPr>
        <w:spacing w:line="100" w:lineRule="atLeast"/>
        <w:jc w:val="left"/>
        <w:rPr>
          <w:sz w:val="24"/>
          <w:szCs w:val="24"/>
          <w:lang w:val="en-GB"/>
        </w:rPr>
      </w:pPr>
      <w:r>
        <w:rPr>
          <w:sz w:val="24"/>
          <w:szCs w:val="24"/>
          <w:lang w:val="en-GB"/>
        </w:rPr>
        <w:t xml:space="preserve">A different nature of food </w:t>
      </w:r>
      <w:proofErr w:type="gramStart"/>
      <w:r>
        <w:rPr>
          <w:sz w:val="24"/>
          <w:szCs w:val="24"/>
          <w:lang w:val="en-GB"/>
        </w:rPr>
        <w:t>demand;</w:t>
      </w:r>
      <w:proofErr w:type="gramEnd"/>
    </w:p>
    <w:p w14:paraId="2F6E8F2E" w14:textId="77777777" w:rsidR="00454C34" w:rsidRDefault="00454C34">
      <w:pPr>
        <w:numPr>
          <w:ilvl w:val="0"/>
          <w:numId w:val="2"/>
        </w:numPr>
        <w:spacing w:line="100" w:lineRule="atLeast"/>
        <w:jc w:val="left"/>
        <w:rPr>
          <w:sz w:val="24"/>
          <w:szCs w:val="24"/>
          <w:lang w:val="en-GB"/>
        </w:rPr>
      </w:pPr>
      <w:r>
        <w:rPr>
          <w:sz w:val="24"/>
          <w:szCs w:val="24"/>
          <w:lang w:val="en-GB"/>
        </w:rPr>
        <w:t xml:space="preserve">A different organization of food </w:t>
      </w:r>
      <w:proofErr w:type="gramStart"/>
      <w:r>
        <w:rPr>
          <w:sz w:val="24"/>
          <w:szCs w:val="24"/>
          <w:lang w:val="en-GB"/>
        </w:rPr>
        <w:t>supply;</w:t>
      </w:r>
      <w:proofErr w:type="gramEnd"/>
    </w:p>
    <w:p w14:paraId="3F779C1F" w14:textId="77777777" w:rsidR="00454C34" w:rsidRDefault="00454C34">
      <w:pPr>
        <w:numPr>
          <w:ilvl w:val="0"/>
          <w:numId w:val="2"/>
        </w:numPr>
        <w:spacing w:line="100" w:lineRule="atLeast"/>
        <w:jc w:val="left"/>
        <w:rPr>
          <w:sz w:val="24"/>
          <w:szCs w:val="24"/>
          <w:lang w:val="en-GB"/>
        </w:rPr>
      </w:pPr>
      <w:r>
        <w:rPr>
          <w:sz w:val="24"/>
          <w:szCs w:val="24"/>
          <w:lang w:val="en-GB"/>
        </w:rPr>
        <w:t xml:space="preserve">A more differentiated demand from consumers in terms of quality, variety and </w:t>
      </w:r>
      <w:proofErr w:type="gramStart"/>
      <w:r>
        <w:rPr>
          <w:sz w:val="24"/>
          <w:szCs w:val="24"/>
          <w:lang w:val="en-GB"/>
        </w:rPr>
        <w:t>convenience;</w:t>
      </w:r>
      <w:proofErr w:type="gramEnd"/>
    </w:p>
    <w:p w14:paraId="6AAD24E1" w14:textId="77777777" w:rsidR="00454C34" w:rsidRDefault="00454C34">
      <w:pPr>
        <w:numPr>
          <w:ilvl w:val="0"/>
          <w:numId w:val="2"/>
        </w:numPr>
        <w:spacing w:line="100" w:lineRule="atLeast"/>
        <w:jc w:val="left"/>
        <w:rPr>
          <w:sz w:val="24"/>
          <w:szCs w:val="24"/>
          <w:lang w:val="en-GB"/>
        </w:rPr>
      </w:pPr>
      <w:r>
        <w:rPr>
          <w:sz w:val="24"/>
          <w:szCs w:val="24"/>
          <w:lang w:val="en-GB"/>
        </w:rPr>
        <w:t xml:space="preserve">A different demand for healthy and eco-friendly </w:t>
      </w:r>
      <w:proofErr w:type="gramStart"/>
      <w:r>
        <w:rPr>
          <w:sz w:val="24"/>
          <w:szCs w:val="24"/>
          <w:lang w:val="en-GB"/>
        </w:rPr>
        <w:t>food;</w:t>
      </w:r>
      <w:proofErr w:type="gramEnd"/>
    </w:p>
    <w:p w14:paraId="0F6CC0DB" w14:textId="77777777" w:rsidR="00454C34" w:rsidRDefault="00454C34">
      <w:pPr>
        <w:numPr>
          <w:ilvl w:val="0"/>
          <w:numId w:val="2"/>
        </w:numPr>
        <w:spacing w:line="100" w:lineRule="atLeast"/>
        <w:jc w:val="left"/>
        <w:rPr>
          <w:sz w:val="24"/>
          <w:szCs w:val="24"/>
          <w:lang w:val="en-GB"/>
        </w:rPr>
      </w:pPr>
      <w:r>
        <w:rPr>
          <w:sz w:val="24"/>
          <w:szCs w:val="24"/>
          <w:lang w:val="en-GB"/>
        </w:rPr>
        <w:t>A different approach to food safety.</w:t>
      </w:r>
    </w:p>
    <w:p w14:paraId="5A2F415D" w14:textId="77777777" w:rsidR="00454C34" w:rsidRDefault="00454C34">
      <w:pPr>
        <w:spacing w:line="100" w:lineRule="atLeast"/>
        <w:jc w:val="left"/>
        <w:rPr>
          <w:sz w:val="24"/>
          <w:szCs w:val="24"/>
          <w:lang w:val="en-GB"/>
        </w:rPr>
      </w:pPr>
      <w:r>
        <w:rPr>
          <w:sz w:val="24"/>
          <w:szCs w:val="24"/>
          <w:lang w:val="en-GB"/>
        </w:rPr>
        <w:t>Thus, the consumer-oriented approach is fundamental to maintain the competitive advantage.</w:t>
      </w:r>
    </w:p>
    <w:p w14:paraId="61EB6247" w14:textId="77777777" w:rsidR="00454C34" w:rsidRDefault="00454C34">
      <w:pPr>
        <w:spacing w:line="100" w:lineRule="atLeast"/>
        <w:jc w:val="left"/>
        <w:rPr>
          <w:sz w:val="24"/>
          <w:szCs w:val="24"/>
          <w:lang w:val="en-GB"/>
        </w:rPr>
      </w:pPr>
      <w:r>
        <w:rPr>
          <w:sz w:val="24"/>
          <w:szCs w:val="24"/>
          <w:lang w:val="en-GB"/>
        </w:rPr>
        <w:t>Nevertheless, new millennium challenges not only concern the change of perspective towards consumers, but also climate emergency. The 2030 Agenda for Sustainable Development explains that innovations along with sustainable and safe solutions represent the main challenge for the agri-food sector (</w:t>
      </w:r>
      <w:proofErr w:type="spellStart"/>
      <w:r>
        <w:rPr>
          <w:sz w:val="24"/>
          <w:szCs w:val="24"/>
          <w:lang w:val="en-GB"/>
        </w:rPr>
        <w:t>Bigliardi</w:t>
      </w:r>
      <w:proofErr w:type="spellEnd"/>
      <w:r>
        <w:rPr>
          <w:sz w:val="24"/>
          <w:szCs w:val="24"/>
          <w:lang w:val="en-GB"/>
        </w:rPr>
        <w:t xml:space="preserve"> &amp; </w:t>
      </w:r>
      <w:proofErr w:type="spellStart"/>
      <w:r>
        <w:rPr>
          <w:sz w:val="24"/>
          <w:szCs w:val="24"/>
          <w:lang w:val="en-GB"/>
        </w:rPr>
        <w:t>Filippelli</w:t>
      </w:r>
      <w:proofErr w:type="spellEnd"/>
      <w:r>
        <w:rPr>
          <w:sz w:val="24"/>
          <w:szCs w:val="24"/>
          <w:lang w:val="en-GB"/>
        </w:rPr>
        <w:t xml:space="preserve">, 2022). After all, the technological dimension is crucial in the agri-food industry. Therefore, an open </w:t>
      </w:r>
      <w:r>
        <w:rPr>
          <w:sz w:val="24"/>
          <w:szCs w:val="24"/>
          <w:lang w:val="en-GB"/>
        </w:rPr>
        <w:lastRenderedPageBreak/>
        <w:t xml:space="preserve">innovation approach is needed to meet not only the increasing </w:t>
      </w:r>
      <w:proofErr w:type="spellStart"/>
      <w:r>
        <w:rPr>
          <w:sz w:val="24"/>
          <w:szCs w:val="24"/>
          <w:lang w:val="en-GB"/>
        </w:rPr>
        <w:t>customers</w:t>
      </w:r>
      <w:proofErr w:type="spellEnd"/>
      <w:r>
        <w:rPr>
          <w:sz w:val="24"/>
          <w:szCs w:val="24"/>
          <w:lang w:val="en-GB"/>
        </w:rPr>
        <w:t xml:space="preserve"> needs but also climate challenges. In this respect, the European Commission consider open innovation, </w:t>
      </w:r>
      <w:proofErr w:type="gramStart"/>
      <w:r>
        <w:rPr>
          <w:sz w:val="24"/>
          <w:szCs w:val="24"/>
          <w:lang w:val="en-GB"/>
        </w:rPr>
        <w:t>education</w:t>
      </w:r>
      <w:proofErr w:type="gramEnd"/>
      <w:r>
        <w:rPr>
          <w:sz w:val="24"/>
          <w:szCs w:val="24"/>
          <w:lang w:val="en-GB"/>
        </w:rPr>
        <w:t xml:space="preserve"> and skills essentials to overcome those challenges (European Commission, 2018).</w:t>
      </w:r>
    </w:p>
    <w:p w14:paraId="1E26214D" w14:textId="77777777" w:rsidR="00454C34" w:rsidRDefault="00454C34">
      <w:pPr>
        <w:spacing w:line="100" w:lineRule="atLeast"/>
        <w:jc w:val="left"/>
        <w:rPr>
          <w:sz w:val="24"/>
          <w:szCs w:val="24"/>
          <w:lang w:val="en-GB"/>
        </w:rPr>
      </w:pPr>
      <w:r>
        <w:rPr>
          <w:sz w:val="24"/>
          <w:szCs w:val="24"/>
          <w:lang w:val="en-GB"/>
        </w:rPr>
        <w:t xml:space="preserve">Concerning Europe, the food and drink industry represents the largest manufacturing sector in the EU. This sector is the main contributor to the European economy. </w:t>
      </w:r>
      <w:proofErr w:type="gramStart"/>
      <w:r>
        <w:rPr>
          <w:sz w:val="24"/>
          <w:szCs w:val="24"/>
          <w:lang w:val="en-GB"/>
        </w:rPr>
        <w:t>In particular, more</w:t>
      </w:r>
      <w:proofErr w:type="gramEnd"/>
      <w:r>
        <w:rPr>
          <w:sz w:val="24"/>
          <w:szCs w:val="24"/>
          <w:lang w:val="en-GB"/>
        </w:rPr>
        <w:t xml:space="preserve"> than 294,000 companies are involved, 99% of which are SMEs (</w:t>
      </w:r>
      <w:proofErr w:type="spellStart"/>
      <w:r>
        <w:rPr>
          <w:sz w:val="24"/>
          <w:szCs w:val="24"/>
          <w:lang w:val="en-GB"/>
        </w:rPr>
        <w:t>FoodDrinkEurope</w:t>
      </w:r>
      <w:proofErr w:type="spellEnd"/>
      <w:r>
        <w:rPr>
          <w:sz w:val="24"/>
          <w:szCs w:val="24"/>
          <w:lang w:val="en-GB"/>
        </w:rPr>
        <w:t>, 2018).</w:t>
      </w:r>
    </w:p>
    <w:p w14:paraId="37D842D7" w14:textId="77777777" w:rsidR="00454C34" w:rsidRDefault="00454C34">
      <w:pPr>
        <w:spacing w:line="100" w:lineRule="atLeast"/>
        <w:jc w:val="left"/>
        <w:rPr>
          <w:sz w:val="24"/>
          <w:szCs w:val="24"/>
          <w:lang w:val="en-GB"/>
        </w:rPr>
      </w:pPr>
      <w:r>
        <w:rPr>
          <w:sz w:val="24"/>
          <w:szCs w:val="24"/>
          <w:lang w:val="en-GB"/>
        </w:rPr>
        <w:t xml:space="preserve">However, SMEs actions are limited since they have few resources and capabilities (European Commission, 2009; Dima et al., 2022). In most cases, SMEs have difficulties with bank financing. Nonetheless, the recent sharing economy growth makes it easier to SMEs to receive credit financing. Anyway, many SMEs don't ask for FinTech financing (Najib et al., 2021). </w:t>
      </w:r>
    </w:p>
    <w:p w14:paraId="7E8910F6" w14:textId="77777777" w:rsidR="00454C34" w:rsidRDefault="00454C34">
      <w:pPr>
        <w:spacing w:line="100" w:lineRule="atLeast"/>
        <w:jc w:val="left"/>
        <w:rPr>
          <w:sz w:val="24"/>
          <w:szCs w:val="24"/>
          <w:lang w:val="en-GB"/>
        </w:rPr>
      </w:pPr>
      <w:r>
        <w:rPr>
          <w:sz w:val="24"/>
          <w:szCs w:val="24"/>
          <w:lang w:val="en-GB"/>
        </w:rPr>
        <w:t xml:space="preserve">Turning to other food industry challenges, companies </w:t>
      </w:r>
      <w:proofErr w:type="gramStart"/>
      <w:r>
        <w:rPr>
          <w:sz w:val="24"/>
          <w:szCs w:val="24"/>
          <w:lang w:val="en-GB"/>
        </w:rPr>
        <w:t>have to</w:t>
      </w:r>
      <w:proofErr w:type="gramEnd"/>
      <w:r>
        <w:rPr>
          <w:sz w:val="24"/>
          <w:szCs w:val="24"/>
          <w:lang w:val="en-GB"/>
        </w:rPr>
        <w:t xml:space="preserve"> face the shortened life product cycles, the competitive time-to-market race, and the cluttered retail shelf space (</w:t>
      </w:r>
      <w:proofErr w:type="spellStart"/>
      <w:r>
        <w:rPr>
          <w:sz w:val="24"/>
          <w:szCs w:val="24"/>
          <w:lang w:val="en-GB"/>
        </w:rPr>
        <w:t>Bellairs</w:t>
      </w:r>
      <w:proofErr w:type="spellEnd"/>
      <w:r>
        <w:rPr>
          <w:sz w:val="24"/>
          <w:szCs w:val="24"/>
          <w:lang w:val="en-GB"/>
        </w:rPr>
        <w:t>, 2010). This implies that digital technologies exploitation (</w:t>
      </w:r>
      <w:proofErr w:type="gramStart"/>
      <w:r>
        <w:rPr>
          <w:sz w:val="24"/>
          <w:szCs w:val="24"/>
          <w:lang w:val="en-GB"/>
        </w:rPr>
        <w:t>e.g.</w:t>
      </w:r>
      <w:proofErr w:type="gramEnd"/>
      <w:r>
        <w:rPr>
          <w:sz w:val="24"/>
          <w:szCs w:val="24"/>
          <w:lang w:val="en-GB"/>
        </w:rPr>
        <w:t xml:space="preserve"> IoT, big data, blockchain, artificial </w:t>
      </w:r>
      <w:proofErr w:type="spellStart"/>
      <w:r>
        <w:rPr>
          <w:sz w:val="24"/>
          <w:szCs w:val="24"/>
          <w:lang w:val="en-GB"/>
        </w:rPr>
        <w:t>intellinge</w:t>
      </w:r>
      <w:proofErr w:type="spellEnd"/>
      <w:r>
        <w:rPr>
          <w:sz w:val="24"/>
          <w:szCs w:val="24"/>
          <w:lang w:val="en-GB"/>
        </w:rPr>
        <w:t>) is unavoidable (</w:t>
      </w:r>
      <w:proofErr w:type="spellStart"/>
      <w:r>
        <w:rPr>
          <w:sz w:val="24"/>
          <w:szCs w:val="24"/>
          <w:lang w:val="en-GB"/>
        </w:rPr>
        <w:t>Saguy</w:t>
      </w:r>
      <w:proofErr w:type="spellEnd"/>
      <w:r>
        <w:rPr>
          <w:sz w:val="24"/>
          <w:szCs w:val="24"/>
          <w:lang w:val="en-GB"/>
        </w:rPr>
        <w:t>, 2016). To put it more simply, digital technologies not only connected the entire world, but also changed all sectors, including agri-food sector (</w:t>
      </w:r>
      <w:proofErr w:type="spellStart"/>
      <w:r>
        <w:rPr>
          <w:sz w:val="24"/>
          <w:szCs w:val="24"/>
          <w:lang w:val="en-GB"/>
        </w:rPr>
        <w:t>Tarabella</w:t>
      </w:r>
      <w:proofErr w:type="spellEnd"/>
      <w:r>
        <w:rPr>
          <w:sz w:val="24"/>
          <w:szCs w:val="24"/>
          <w:lang w:val="en-GB"/>
        </w:rPr>
        <w:t xml:space="preserve"> et al., 2021).</w:t>
      </w:r>
    </w:p>
    <w:p w14:paraId="6B5CABEB" w14:textId="77777777" w:rsidR="00454C34" w:rsidRDefault="00454C34">
      <w:pPr>
        <w:spacing w:line="100" w:lineRule="atLeast"/>
        <w:jc w:val="left"/>
        <w:rPr>
          <w:sz w:val="24"/>
          <w:szCs w:val="24"/>
          <w:lang w:val="en-GB"/>
        </w:rPr>
      </w:pPr>
      <w:r>
        <w:rPr>
          <w:sz w:val="24"/>
          <w:szCs w:val="24"/>
          <w:lang w:val="en-GB"/>
        </w:rPr>
        <w:t>Potential outcomes are enormous. Further examples relate to greenhouse monitoring, intelligent farm machines, drone-based crop, supply chain modernization, social media (for open innovation), food quality assessment (spectral methods and sensor fusion) and food safety through gene sequencing and blockchain digital traceability (</w:t>
      </w:r>
      <w:proofErr w:type="spellStart"/>
      <w:r>
        <w:rPr>
          <w:sz w:val="24"/>
          <w:szCs w:val="24"/>
          <w:lang w:val="en-GB"/>
        </w:rPr>
        <w:t>Misra</w:t>
      </w:r>
      <w:proofErr w:type="spellEnd"/>
      <w:r>
        <w:rPr>
          <w:sz w:val="24"/>
          <w:szCs w:val="24"/>
          <w:lang w:val="en-GB"/>
        </w:rPr>
        <w:t xml:space="preserve"> et al., 2022).</w:t>
      </w:r>
    </w:p>
    <w:p w14:paraId="5D3C4EA1" w14:textId="77777777" w:rsidR="00454C34" w:rsidRDefault="00454C34">
      <w:pPr>
        <w:spacing w:line="100" w:lineRule="atLeast"/>
        <w:jc w:val="left"/>
        <w:rPr>
          <w:sz w:val="24"/>
          <w:szCs w:val="24"/>
          <w:lang w:val="en-GB"/>
        </w:rPr>
      </w:pPr>
      <w:r>
        <w:rPr>
          <w:sz w:val="24"/>
          <w:szCs w:val="24"/>
          <w:lang w:val="en-GB"/>
        </w:rPr>
        <w:t xml:space="preserve">Nevertheless, changing mindset is difficult, since open </w:t>
      </w:r>
      <w:proofErr w:type="gramStart"/>
      <w:r>
        <w:rPr>
          <w:sz w:val="24"/>
          <w:szCs w:val="24"/>
          <w:lang w:val="en-GB"/>
        </w:rPr>
        <w:t>innovation oriented</w:t>
      </w:r>
      <w:proofErr w:type="gramEnd"/>
      <w:r>
        <w:rPr>
          <w:sz w:val="24"/>
          <w:szCs w:val="24"/>
          <w:lang w:val="en-GB"/>
        </w:rPr>
        <w:t xml:space="preserve"> SMEs experience several barriers such as low absorptive capacity (</w:t>
      </w:r>
      <w:proofErr w:type="spellStart"/>
      <w:r>
        <w:rPr>
          <w:sz w:val="24"/>
          <w:szCs w:val="24"/>
          <w:lang w:val="en-GB"/>
        </w:rPr>
        <w:t>Spithoven</w:t>
      </w:r>
      <w:proofErr w:type="spellEnd"/>
      <w:r>
        <w:rPr>
          <w:sz w:val="24"/>
          <w:szCs w:val="24"/>
          <w:lang w:val="en-GB"/>
        </w:rPr>
        <w:t xml:space="preserve"> et al., 2010), scarce financial resources for R&amp;D, limited human resources and competences</w:t>
      </w:r>
      <w:r w:rsidR="007557E2">
        <w:rPr>
          <w:sz w:val="24"/>
          <w:szCs w:val="24"/>
          <w:lang w:val="en-GB"/>
        </w:rPr>
        <w:t xml:space="preserve"> and</w:t>
      </w:r>
      <w:r>
        <w:rPr>
          <w:sz w:val="24"/>
          <w:szCs w:val="24"/>
          <w:lang w:val="en-GB"/>
        </w:rPr>
        <w:t xml:space="preserve"> small market power (</w:t>
      </w:r>
      <w:proofErr w:type="spellStart"/>
      <w:r>
        <w:rPr>
          <w:sz w:val="24"/>
          <w:szCs w:val="24"/>
          <w:lang w:val="en-GB"/>
        </w:rPr>
        <w:t>Saguy</w:t>
      </w:r>
      <w:proofErr w:type="spellEnd"/>
      <w:r>
        <w:rPr>
          <w:sz w:val="24"/>
          <w:szCs w:val="24"/>
          <w:lang w:val="en-GB"/>
        </w:rPr>
        <w:t xml:space="preserve"> &amp; </w:t>
      </w:r>
      <w:proofErr w:type="spellStart"/>
      <w:r>
        <w:rPr>
          <w:sz w:val="24"/>
          <w:szCs w:val="24"/>
          <w:lang w:val="en-GB"/>
        </w:rPr>
        <w:t>Sirotinskaya</w:t>
      </w:r>
      <w:proofErr w:type="spellEnd"/>
      <w:r>
        <w:rPr>
          <w:sz w:val="24"/>
          <w:szCs w:val="24"/>
          <w:lang w:val="en-GB"/>
        </w:rPr>
        <w:t xml:space="preserve">, 2014). Overcoming these internal barriers would allow agri-food companies to develop new open innovation models </w:t>
      </w:r>
      <w:proofErr w:type="gramStart"/>
      <w:r>
        <w:rPr>
          <w:sz w:val="24"/>
          <w:szCs w:val="24"/>
          <w:lang w:val="en-GB"/>
        </w:rPr>
        <w:t>in order to</w:t>
      </w:r>
      <w:proofErr w:type="gramEnd"/>
      <w:r>
        <w:rPr>
          <w:sz w:val="24"/>
          <w:szCs w:val="24"/>
          <w:lang w:val="en-GB"/>
        </w:rPr>
        <w:t xml:space="preserve"> exploit digital technologies potential.</w:t>
      </w:r>
    </w:p>
    <w:p w14:paraId="6DA164DB" w14:textId="77777777" w:rsidR="00454C34" w:rsidRDefault="00454C34">
      <w:pPr>
        <w:spacing w:line="100" w:lineRule="atLeast"/>
        <w:jc w:val="left"/>
        <w:rPr>
          <w:sz w:val="24"/>
          <w:szCs w:val="24"/>
          <w:lang w:val="en-GB"/>
        </w:rPr>
      </w:pPr>
      <w:r>
        <w:rPr>
          <w:sz w:val="24"/>
          <w:szCs w:val="24"/>
          <w:lang w:val="en-GB"/>
        </w:rPr>
        <w:t>In conclusion, the food industry contribute to global economy amounts to 4 trillion dollars every year (</w:t>
      </w:r>
      <w:proofErr w:type="spellStart"/>
      <w:r>
        <w:rPr>
          <w:sz w:val="24"/>
          <w:szCs w:val="24"/>
          <w:lang w:val="en-GB"/>
        </w:rPr>
        <w:t>Arcese</w:t>
      </w:r>
      <w:proofErr w:type="spellEnd"/>
      <w:r>
        <w:rPr>
          <w:sz w:val="24"/>
          <w:szCs w:val="24"/>
          <w:lang w:val="en-GB"/>
        </w:rPr>
        <w:t xml:space="preserve"> et al., 2015). It follows that the exploitation of open innovation practices can foster not only the entire sector but also global economy.</w:t>
      </w:r>
    </w:p>
    <w:p w14:paraId="63A714C0" w14:textId="77777777" w:rsidR="00454C34" w:rsidRDefault="00454C34">
      <w:pPr>
        <w:spacing w:line="100" w:lineRule="atLeast"/>
        <w:jc w:val="left"/>
        <w:rPr>
          <w:sz w:val="24"/>
          <w:szCs w:val="24"/>
          <w:lang w:val="en-GB"/>
        </w:rPr>
      </w:pPr>
    </w:p>
    <w:p w14:paraId="1BD3F8DF" w14:textId="77777777" w:rsidR="00454C34" w:rsidRDefault="00454C34">
      <w:pPr>
        <w:spacing w:line="100" w:lineRule="atLeast"/>
        <w:jc w:val="left"/>
        <w:rPr>
          <w:b/>
          <w:bCs/>
          <w:sz w:val="28"/>
          <w:szCs w:val="28"/>
          <w:lang w:val="en-GB"/>
        </w:rPr>
      </w:pPr>
    </w:p>
    <w:p w14:paraId="2DFF44CD" w14:textId="77777777" w:rsidR="00454C34" w:rsidRDefault="00454C34">
      <w:pPr>
        <w:spacing w:line="100" w:lineRule="atLeast"/>
        <w:jc w:val="left"/>
        <w:rPr>
          <w:sz w:val="24"/>
          <w:szCs w:val="24"/>
          <w:lang w:val="en-GB"/>
        </w:rPr>
      </w:pPr>
      <w:r>
        <w:rPr>
          <w:b/>
          <w:bCs/>
          <w:sz w:val="28"/>
          <w:szCs w:val="28"/>
          <w:lang w:val="en-GB"/>
        </w:rPr>
        <w:lastRenderedPageBreak/>
        <w:t>N.2 Methodology</w:t>
      </w:r>
    </w:p>
    <w:p w14:paraId="34FF3262" w14:textId="77777777" w:rsidR="00454C34" w:rsidRDefault="00454C34">
      <w:pPr>
        <w:spacing w:line="100" w:lineRule="atLeast"/>
        <w:jc w:val="left"/>
        <w:rPr>
          <w:sz w:val="24"/>
          <w:szCs w:val="24"/>
          <w:lang w:val="en-GB"/>
        </w:rPr>
      </w:pPr>
    </w:p>
    <w:p w14:paraId="3D3C9F23" w14:textId="77777777" w:rsidR="00454C34" w:rsidRDefault="00454C34">
      <w:pPr>
        <w:spacing w:line="100" w:lineRule="atLeast"/>
        <w:jc w:val="left"/>
        <w:rPr>
          <w:sz w:val="24"/>
          <w:szCs w:val="24"/>
          <w:lang w:val="en-GB"/>
        </w:rPr>
      </w:pPr>
      <w:r>
        <w:rPr>
          <w:sz w:val="24"/>
          <w:szCs w:val="24"/>
          <w:lang w:val="en-GB"/>
        </w:rPr>
        <w:t>The literature analysis started with the Scopus database. The following query has been entered: TITLE-ABS-LEY (“open innovation” and “food” or “</w:t>
      </w:r>
      <w:proofErr w:type="spellStart"/>
      <w:r>
        <w:rPr>
          <w:sz w:val="24"/>
          <w:szCs w:val="24"/>
          <w:lang w:val="en-GB"/>
        </w:rPr>
        <w:t>agrifood</w:t>
      </w:r>
      <w:proofErr w:type="spellEnd"/>
      <w:r>
        <w:rPr>
          <w:sz w:val="24"/>
          <w:szCs w:val="24"/>
          <w:lang w:val="en-GB"/>
        </w:rPr>
        <w:t xml:space="preserve">”). Thus, Scopus identified 682 articles. A careful reading of the abstracts made it possible to thoroughly examine the literature concerning food open innovation models. </w:t>
      </w:r>
      <w:proofErr w:type="gramStart"/>
      <w:r>
        <w:rPr>
          <w:sz w:val="24"/>
          <w:szCs w:val="24"/>
          <w:lang w:val="en-GB"/>
        </w:rPr>
        <w:t>In order to</w:t>
      </w:r>
      <w:proofErr w:type="gramEnd"/>
      <w:r>
        <w:rPr>
          <w:sz w:val="24"/>
          <w:szCs w:val="24"/>
          <w:lang w:val="en-GB"/>
        </w:rPr>
        <w:t xml:space="preserve"> observe further conceptual links, a bibliometric analysis was carried out using the </w:t>
      </w:r>
      <w:proofErr w:type="spellStart"/>
      <w:r>
        <w:rPr>
          <w:sz w:val="24"/>
          <w:szCs w:val="24"/>
          <w:lang w:val="en-GB"/>
        </w:rPr>
        <w:t>VOSviewer</w:t>
      </w:r>
      <w:proofErr w:type="spellEnd"/>
      <w:r>
        <w:rPr>
          <w:sz w:val="24"/>
          <w:szCs w:val="24"/>
          <w:lang w:val="en-GB"/>
        </w:rPr>
        <w:t xml:space="preserve"> software. This software creates two-dimensional maps. Those maps show the correlation of items through the number of frequencies they share. In this case, the </w:t>
      </w:r>
      <w:proofErr w:type="spellStart"/>
      <w:r>
        <w:rPr>
          <w:sz w:val="24"/>
          <w:szCs w:val="24"/>
          <w:lang w:val="en-GB"/>
        </w:rPr>
        <w:t>VOSviewer</w:t>
      </w:r>
      <w:proofErr w:type="spellEnd"/>
      <w:r>
        <w:rPr>
          <w:sz w:val="24"/>
          <w:szCs w:val="24"/>
          <w:lang w:val="en-GB"/>
        </w:rPr>
        <w:t xml:space="preserve"> map is based on the keywords provided by the authors.</w:t>
      </w:r>
    </w:p>
    <w:p w14:paraId="59B1CAC5" w14:textId="77777777" w:rsidR="00454C34" w:rsidRDefault="00454C34">
      <w:pPr>
        <w:spacing w:line="100" w:lineRule="atLeast"/>
        <w:jc w:val="left"/>
      </w:pPr>
      <w:r>
        <w:rPr>
          <w:sz w:val="24"/>
          <w:szCs w:val="24"/>
          <w:lang w:val="en-GB"/>
        </w:rPr>
        <w:t xml:space="preserve">The Figure 1 displays a co-occurrence map for author keywords on the topic of open innovation in food companies. The goal was to obtain an overview of the present literature </w:t>
      </w:r>
      <w:proofErr w:type="gramStart"/>
      <w:r>
        <w:rPr>
          <w:sz w:val="24"/>
          <w:szCs w:val="24"/>
          <w:lang w:val="en-GB"/>
        </w:rPr>
        <w:t>in order to</w:t>
      </w:r>
      <w:proofErr w:type="gramEnd"/>
      <w:r>
        <w:rPr>
          <w:sz w:val="24"/>
          <w:szCs w:val="24"/>
          <w:lang w:val="en-GB"/>
        </w:rPr>
        <w:t xml:space="preserve"> identify additional food open innovation models. The term “open innovation and food or </w:t>
      </w:r>
      <w:proofErr w:type="spellStart"/>
      <w:r>
        <w:rPr>
          <w:sz w:val="24"/>
          <w:szCs w:val="24"/>
          <w:lang w:val="en-GB"/>
        </w:rPr>
        <w:t>agrifood</w:t>
      </w:r>
      <w:proofErr w:type="spellEnd"/>
      <w:r>
        <w:rPr>
          <w:sz w:val="24"/>
          <w:szCs w:val="24"/>
          <w:lang w:val="en-GB"/>
        </w:rPr>
        <w:t>” had to appear in the title, abstract or keywords.</w:t>
      </w:r>
    </w:p>
    <w:p w14:paraId="14BCC53B" w14:textId="77777777" w:rsidR="00454C34" w:rsidRDefault="00000000">
      <w:pPr>
        <w:spacing w:line="100" w:lineRule="atLeast"/>
        <w:jc w:val="left"/>
        <w:rPr>
          <w:sz w:val="24"/>
          <w:szCs w:val="24"/>
          <w:lang w:val="en-GB"/>
        </w:rPr>
      </w:pPr>
      <w:r>
        <w:pict w14:anchorId="1EB88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85pt;margin-top:15.65pt;width:342.2pt;height:207.75pt;z-index:1;mso-wrap-distance-left:0;mso-wrap-distance-right:0" filled="t">
            <v:fill color2="black"/>
            <v:imagedata r:id="rId11" o:title=""/>
            <w10:wrap type="topAndBottom"/>
          </v:shape>
        </w:pict>
      </w:r>
    </w:p>
    <w:p w14:paraId="28E71DDC" w14:textId="77777777" w:rsidR="00454C34" w:rsidRDefault="00454C34">
      <w:pPr>
        <w:spacing w:line="100" w:lineRule="atLeast"/>
        <w:jc w:val="left"/>
        <w:rPr>
          <w:sz w:val="24"/>
          <w:szCs w:val="24"/>
          <w:lang w:val="en-GB"/>
        </w:rPr>
      </w:pPr>
    </w:p>
    <w:p w14:paraId="457147F4" w14:textId="77777777" w:rsidR="00454C34" w:rsidRDefault="00454C34">
      <w:pPr>
        <w:spacing w:line="100" w:lineRule="atLeast"/>
        <w:jc w:val="center"/>
        <w:rPr>
          <w:sz w:val="18"/>
          <w:szCs w:val="18"/>
          <w:lang w:val="en-GB"/>
        </w:rPr>
      </w:pPr>
      <w:r>
        <w:rPr>
          <w:sz w:val="18"/>
          <w:szCs w:val="18"/>
          <w:lang w:val="en-GB"/>
        </w:rPr>
        <w:t xml:space="preserve">Fig. 1. </w:t>
      </w:r>
      <w:proofErr w:type="spellStart"/>
      <w:r>
        <w:rPr>
          <w:sz w:val="18"/>
          <w:szCs w:val="18"/>
          <w:lang w:val="en-GB"/>
        </w:rPr>
        <w:t>VOSviewer</w:t>
      </w:r>
      <w:proofErr w:type="spellEnd"/>
      <w:r>
        <w:rPr>
          <w:sz w:val="18"/>
          <w:szCs w:val="18"/>
          <w:lang w:val="en-GB"/>
        </w:rPr>
        <w:t xml:space="preserve"> map visualization of the most frequent keywords.</w:t>
      </w:r>
    </w:p>
    <w:p w14:paraId="25E23CF9" w14:textId="77777777" w:rsidR="00454C34" w:rsidRDefault="00454C34">
      <w:pPr>
        <w:spacing w:line="100" w:lineRule="atLeast"/>
        <w:jc w:val="center"/>
        <w:rPr>
          <w:sz w:val="24"/>
          <w:szCs w:val="24"/>
          <w:lang w:val="en-GB"/>
        </w:rPr>
      </w:pPr>
      <w:r>
        <w:rPr>
          <w:sz w:val="18"/>
          <w:szCs w:val="18"/>
          <w:lang w:val="en-GB"/>
        </w:rPr>
        <w:t>Source: own elaboration.</w:t>
      </w:r>
    </w:p>
    <w:p w14:paraId="7349F46C" w14:textId="77777777" w:rsidR="00454C34" w:rsidRDefault="00454C34">
      <w:pPr>
        <w:spacing w:line="100" w:lineRule="atLeast"/>
        <w:jc w:val="left"/>
        <w:rPr>
          <w:sz w:val="24"/>
          <w:szCs w:val="24"/>
          <w:lang w:val="en-GB"/>
        </w:rPr>
      </w:pPr>
    </w:p>
    <w:p w14:paraId="7732B683" w14:textId="77777777" w:rsidR="00454C34" w:rsidRDefault="00454C34">
      <w:pPr>
        <w:spacing w:line="100" w:lineRule="atLeast"/>
        <w:jc w:val="left"/>
        <w:rPr>
          <w:sz w:val="24"/>
          <w:szCs w:val="24"/>
          <w:lang w:val="en-GB"/>
        </w:rPr>
      </w:pPr>
    </w:p>
    <w:p w14:paraId="6F90B35A" w14:textId="77777777" w:rsidR="00454C34" w:rsidRDefault="00454C34">
      <w:pPr>
        <w:spacing w:line="100" w:lineRule="atLeast"/>
        <w:jc w:val="left"/>
        <w:rPr>
          <w:sz w:val="24"/>
          <w:szCs w:val="24"/>
          <w:lang w:val="en-GB"/>
        </w:rPr>
      </w:pPr>
      <w:r>
        <w:rPr>
          <w:sz w:val="24"/>
          <w:szCs w:val="24"/>
          <w:lang w:val="en-GB"/>
        </w:rPr>
        <w:lastRenderedPageBreak/>
        <w:t xml:space="preserve">21192 terms were observed by </w:t>
      </w:r>
      <w:proofErr w:type="spellStart"/>
      <w:r>
        <w:rPr>
          <w:sz w:val="24"/>
          <w:szCs w:val="24"/>
          <w:lang w:val="en-GB"/>
        </w:rPr>
        <w:t>VOSviewer</w:t>
      </w:r>
      <w:proofErr w:type="spellEnd"/>
      <w:r>
        <w:rPr>
          <w:sz w:val="24"/>
          <w:szCs w:val="24"/>
          <w:lang w:val="en-GB"/>
        </w:rPr>
        <w:t xml:space="preserve"> and a threshold of 10 occurrences has been </w:t>
      </w:r>
      <w:proofErr w:type="spellStart"/>
      <w:r>
        <w:rPr>
          <w:sz w:val="24"/>
          <w:szCs w:val="24"/>
          <w:lang w:val="en-GB"/>
        </w:rPr>
        <w:t>selected.</w:t>
      </w:r>
      <w:r w:rsidR="008726CA">
        <w:rPr>
          <w:rStyle w:val="Rimandonotaapidipagina"/>
          <w:sz w:val="24"/>
          <w:szCs w:val="24"/>
          <w:lang w:val="en-GB"/>
        </w:rPr>
        <w:footnoteReference w:customMarkFollows="1" w:id="2"/>
        <w:t>b</w:t>
      </w:r>
      <w:proofErr w:type="spellEnd"/>
    </w:p>
    <w:p w14:paraId="1D3D75F7" w14:textId="77777777" w:rsidR="00454C34" w:rsidRDefault="00454C34">
      <w:pPr>
        <w:spacing w:line="100" w:lineRule="atLeast"/>
        <w:jc w:val="left"/>
        <w:rPr>
          <w:sz w:val="24"/>
          <w:szCs w:val="24"/>
          <w:lang w:val="en-GB"/>
        </w:rPr>
      </w:pPr>
      <w:r>
        <w:rPr>
          <w:sz w:val="24"/>
          <w:szCs w:val="24"/>
          <w:lang w:val="en-GB"/>
        </w:rPr>
        <w:t xml:space="preserve">Thus, 454 keywords meet the threshold. For each of the 454 terms, the </w:t>
      </w:r>
      <w:proofErr w:type="spellStart"/>
      <w:r>
        <w:rPr>
          <w:sz w:val="24"/>
          <w:szCs w:val="24"/>
          <w:lang w:val="en-GB"/>
        </w:rPr>
        <w:t>VOSviewer</w:t>
      </w:r>
      <w:proofErr w:type="spellEnd"/>
      <w:r>
        <w:rPr>
          <w:sz w:val="24"/>
          <w:szCs w:val="24"/>
          <w:lang w:val="en-GB"/>
        </w:rPr>
        <w:t xml:space="preserve"> default suggestion to select the 60% most relevant terms has been followed. At the end of the process, </w:t>
      </w:r>
      <w:proofErr w:type="spellStart"/>
      <w:r>
        <w:rPr>
          <w:sz w:val="24"/>
          <w:szCs w:val="24"/>
          <w:lang w:val="en-GB"/>
        </w:rPr>
        <w:t>VOSviewer</w:t>
      </w:r>
      <w:proofErr w:type="spellEnd"/>
      <w:r>
        <w:rPr>
          <w:sz w:val="24"/>
          <w:szCs w:val="24"/>
          <w:lang w:val="en-GB"/>
        </w:rPr>
        <w:t xml:space="preserve"> created a map related to 272 keywords </w:t>
      </w:r>
      <w:proofErr w:type="gramStart"/>
      <w:r>
        <w:rPr>
          <w:sz w:val="24"/>
          <w:szCs w:val="24"/>
          <w:lang w:val="en-GB"/>
        </w:rPr>
        <w:t>gathered together</w:t>
      </w:r>
      <w:proofErr w:type="gramEnd"/>
      <w:r>
        <w:rPr>
          <w:sz w:val="24"/>
          <w:szCs w:val="24"/>
          <w:lang w:val="en-GB"/>
        </w:rPr>
        <w:t xml:space="preserve"> into 4 clusters.</w:t>
      </w:r>
    </w:p>
    <w:p w14:paraId="59E3385B" w14:textId="77777777" w:rsidR="00454C34" w:rsidRDefault="00454C34">
      <w:pPr>
        <w:spacing w:line="100" w:lineRule="atLeast"/>
        <w:jc w:val="left"/>
        <w:rPr>
          <w:sz w:val="24"/>
          <w:szCs w:val="24"/>
          <w:lang w:val="en-GB"/>
        </w:rPr>
      </w:pPr>
      <w:r>
        <w:rPr>
          <w:sz w:val="24"/>
          <w:szCs w:val="24"/>
          <w:lang w:val="en-GB"/>
        </w:rPr>
        <w:t>Each circle represents a keyword. Circle's size reveals how many publications present that precise keyword in the title or abstract. Moreover, keywords that co-occur a lot are placed closed together on the map.</w:t>
      </w:r>
    </w:p>
    <w:p w14:paraId="7CF5DAAA" w14:textId="77777777" w:rsidR="00454C34" w:rsidRDefault="00454C34">
      <w:pPr>
        <w:spacing w:line="100" w:lineRule="atLeast"/>
        <w:jc w:val="left"/>
        <w:rPr>
          <w:sz w:val="24"/>
          <w:szCs w:val="24"/>
          <w:lang w:val="en-GB"/>
        </w:rPr>
      </w:pPr>
      <w:r>
        <w:rPr>
          <w:sz w:val="24"/>
          <w:szCs w:val="24"/>
          <w:lang w:val="en-GB"/>
        </w:rPr>
        <w:t xml:space="preserve">This map revealed some subtopics related to the food open innovation theme. The blue cluster, located on the left, consists of terms related to production agriculture. The red cluster, placed at the top, covers terms that go beyond the interests of this research. On the other hand, the green cluster is the most interesting one: most frequent keywords are “open innovation” and “company”, located close enough to “case study” and “food industry”. It is interesting to note the presence of SME keyword: this should not be surprising since 99% of European food companies are SMEs. In addition, keywords “restaurant” and “interview” are very close. It follows that case studies concerning restaurants are likely to be examined </w:t>
      </w:r>
      <w:proofErr w:type="gramStart"/>
      <w:r>
        <w:rPr>
          <w:sz w:val="24"/>
          <w:szCs w:val="24"/>
          <w:lang w:val="en-GB"/>
        </w:rPr>
        <w:t>through the use of</w:t>
      </w:r>
      <w:proofErr w:type="gramEnd"/>
      <w:r>
        <w:rPr>
          <w:sz w:val="24"/>
          <w:szCs w:val="24"/>
          <w:lang w:val="en-GB"/>
        </w:rPr>
        <w:t xml:space="preserve"> interviews. Lastly, the pandemic keyword is observed in the green cluster.</w:t>
      </w:r>
    </w:p>
    <w:p w14:paraId="7ED2A344" w14:textId="77777777" w:rsidR="00454C34" w:rsidRDefault="00454C34">
      <w:pPr>
        <w:spacing w:line="100" w:lineRule="atLeast"/>
        <w:jc w:val="left"/>
        <w:rPr>
          <w:sz w:val="24"/>
          <w:szCs w:val="24"/>
          <w:lang w:val="en-GB"/>
        </w:rPr>
      </w:pPr>
    </w:p>
    <w:p w14:paraId="71CE5D1D" w14:textId="77777777" w:rsidR="00454C34" w:rsidRDefault="00454C34">
      <w:pPr>
        <w:spacing w:line="100" w:lineRule="atLeast"/>
        <w:jc w:val="left"/>
        <w:rPr>
          <w:sz w:val="24"/>
          <w:szCs w:val="24"/>
          <w:lang w:val="en-GB"/>
        </w:rPr>
      </w:pPr>
      <w:r>
        <w:rPr>
          <w:b/>
          <w:bCs/>
          <w:sz w:val="28"/>
          <w:szCs w:val="28"/>
          <w:lang w:val="en-GB"/>
        </w:rPr>
        <w:t>N.3 Literature review</w:t>
      </w:r>
    </w:p>
    <w:p w14:paraId="14D713A7" w14:textId="77777777" w:rsidR="00454C34" w:rsidRDefault="00454C34">
      <w:pPr>
        <w:spacing w:line="100" w:lineRule="atLeast"/>
        <w:jc w:val="left"/>
        <w:rPr>
          <w:sz w:val="24"/>
          <w:szCs w:val="24"/>
          <w:lang w:val="en-GB"/>
        </w:rPr>
      </w:pPr>
    </w:p>
    <w:p w14:paraId="1A19B9B9" w14:textId="77777777" w:rsidR="00454C34" w:rsidRDefault="00454C34">
      <w:pPr>
        <w:spacing w:line="100" w:lineRule="atLeast"/>
        <w:jc w:val="left"/>
        <w:rPr>
          <w:sz w:val="24"/>
          <w:szCs w:val="24"/>
          <w:lang w:val="en-GB"/>
        </w:rPr>
      </w:pPr>
      <w:r>
        <w:rPr>
          <w:sz w:val="24"/>
          <w:szCs w:val="24"/>
          <w:lang w:val="en-GB"/>
        </w:rPr>
        <w:t>At the beginning of the XXI century some researcher already highlighted that innovation was the only way to escape from the “spiral of death”. However, most of food companies preferred the cost minimization approach (</w:t>
      </w:r>
      <w:proofErr w:type="spellStart"/>
      <w:r>
        <w:rPr>
          <w:sz w:val="24"/>
          <w:szCs w:val="24"/>
          <w:lang w:val="en-GB"/>
        </w:rPr>
        <w:t>Juriaanse</w:t>
      </w:r>
      <w:proofErr w:type="spellEnd"/>
      <w:r>
        <w:rPr>
          <w:sz w:val="24"/>
          <w:szCs w:val="24"/>
          <w:lang w:val="en-GB"/>
        </w:rPr>
        <w:t>, 2006). Fortunately, in the last decade open innovation has started to be mainstream in the European food industry: companies such as Cargill, Nestlé, IFF or Mars approached open innovation models (</w:t>
      </w:r>
      <w:proofErr w:type="spellStart"/>
      <w:r>
        <w:rPr>
          <w:sz w:val="24"/>
          <w:szCs w:val="24"/>
          <w:lang w:val="en-GB"/>
        </w:rPr>
        <w:t>Bigliardi</w:t>
      </w:r>
      <w:proofErr w:type="spellEnd"/>
      <w:r>
        <w:rPr>
          <w:sz w:val="24"/>
          <w:szCs w:val="24"/>
          <w:lang w:val="en-GB"/>
        </w:rPr>
        <w:t xml:space="preserve"> &amp; Galati, 2013). Nevertheless, such improvement is still slow: the switch from closed to open innovation is spreading but at a slow pace. This issue has been already evoked in the literature: nowadays, few research on the food open innovation approach </w:t>
      </w:r>
      <w:r>
        <w:rPr>
          <w:sz w:val="24"/>
          <w:szCs w:val="24"/>
          <w:lang w:val="en-GB"/>
        </w:rPr>
        <w:lastRenderedPageBreak/>
        <w:t xml:space="preserve">are developed (De Medeiros et al., 2016; </w:t>
      </w:r>
      <w:proofErr w:type="spellStart"/>
      <w:r>
        <w:rPr>
          <w:sz w:val="24"/>
          <w:szCs w:val="24"/>
          <w:lang w:val="en-GB"/>
        </w:rPr>
        <w:t>Cillo</w:t>
      </w:r>
      <w:proofErr w:type="spellEnd"/>
      <w:r>
        <w:rPr>
          <w:sz w:val="24"/>
          <w:szCs w:val="24"/>
          <w:lang w:val="en-GB"/>
        </w:rPr>
        <w:t xml:space="preserve"> et al., 2019; Sadat &amp; </w:t>
      </w:r>
      <w:proofErr w:type="spellStart"/>
      <w:r>
        <w:rPr>
          <w:sz w:val="24"/>
          <w:szCs w:val="24"/>
          <w:lang w:val="en-GB"/>
        </w:rPr>
        <w:t>Nasrat</w:t>
      </w:r>
      <w:proofErr w:type="spellEnd"/>
      <w:r>
        <w:rPr>
          <w:sz w:val="24"/>
          <w:szCs w:val="24"/>
          <w:lang w:val="en-GB"/>
        </w:rPr>
        <w:t xml:space="preserve">, 2020). </w:t>
      </w:r>
    </w:p>
    <w:p w14:paraId="67F6AFB1" w14:textId="77777777" w:rsidR="00454C34" w:rsidRDefault="00454C34">
      <w:pPr>
        <w:spacing w:line="100" w:lineRule="atLeast"/>
        <w:jc w:val="left"/>
        <w:rPr>
          <w:sz w:val="24"/>
          <w:szCs w:val="24"/>
          <w:lang w:val="en-GB"/>
        </w:rPr>
      </w:pPr>
      <w:proofErr w:type="gramStart"/>
      <w:r>
        <w:rPr>
          <w:sz w:val="24"/>
          <w:szCs w:val="24"/>
          <w:lang w:val="en-GB"/>
        </w:rPr>
        <w:t>On the whole</w:t>
      </w:r>
      <w:proofErr w:type="gramEnd"/>
      <w:r>
        <w:rPr>
          <w:sz w:val="24"/>
          <w:szCs w:val="24"/>
          <w:lang w:val="en-GB"/>
        </w:rPr>
        <w:t>, the diffusion of theoretical food open innovation models is still limited. Table 1 provides a summary.</w:t>
      </w:r>
    </w:p>
    <w:p w14:paraId="7DBF100F" w14:textId="77777777" w:rsidR="00454C34" w:rsidRDefault="00454C34">
      <w:pPr>
        <w:spacing w:line="100" w:lineRule="atLeast"/>
        <w:jc w:val="left"/>
        <w:rPr>
          <w:sz w:val="24"/>
          <w:szCs w:val="24"/>
          <w:lang w:val="en-GB"/>
        </w:rPr>
      </w:pPr>
      <w:r>
        <w:rPr>
          <w:sz w:val="24"/>
          <w:szCs w:val="24"/>
          <w:lang w:val="en-GB"/>
        </w:rPr>
        <w:t xml:space="preserve">Table 1 may foster numerous study opportunities for academic researcher. For instance, recent events related to COVID-19 pandemic highlighted global supply chain vulnerability. Moreover, those events put pressure on firms to look for collaborative and more flexible innovation approaches (Chesbrough, 2020; FAO, 2020; Walker et al., 2021). Concerning the pandemic, the social food open innovation model developed by </w:t>
      </w:r>
      <w:proofErr w:type="spellStart"/>
      <w:r>
        <w:rPr>
          <w:sz w:val="24"/>
          <w:szCs w:val="24"/>
          <w:lang w:val="en-GB"/>
        </w:rPr>
        <w:t>Penco</w:t>
      </w:r>
      <w:proofErr w:type="spellEnd"/>
      <w:r>
        <w:rPr>
          <w:sz w:val="24"/>
          <w:szCs w:val="24"/>
          <w:lang w:val="en-GB"/>
        </w:rPr>
        <w:t xml:space="preserve"> et al. (2021) evaluate the impact of Open Social Innovation (OSI) on the capability of an Italian food bank to overcome the crisis. The study shows</w:t>
      </w:r>
    </w:p>
    <w:p w14:paraId="25D80BD5" w14:textId="77777777" w:rsidR="00454C34" w:rsidRDefault="00454C34">
      <w:pPr>
        <w:spacing w:line="100" w:lineRule="atLeast"/>
        <w:jc w:val="left"/>
        <w:rPr>
          <w:sz w:val="24"/>
          <w:szCs w:val="24"/>
          <w:lang w:val="en-GB"/>
        </w:rPr>
      </w:pPr>
      <w:r>
        <w:rPr>
          <w:sz w:val="24"/>
          <w:szCs w:val="24"/>
          <w:lang w:val="en-GB"/>
        </w:rPr>
        <w:t xml:space="preserve">that Covid-19 stimulated the adoption of OSI practices </w:t>
      </w:r>
      <w:proofErr w:type="gramStart"/>
      <w:r>
        <w:rPr>
          <w:sz w:val="24"/>
          <w:szCs w:val="24"/>
          <w:lang w:val="en-GB"/>
        </w:rPr>
        <w:t>in order to</w:t>
      </w:r>
      <w:proofErr w:type="gramEnd"/>
      <w:r>
        <w:rPr>
          <w:sz w:val="24"/>
          <w:szCs w:val="24"/>
          <w:lang w:val="en-GB"/>
        </w:rPr>
        <w:t xml:space="preserve"> </w:t>
      </w:r>
      <w:proofErr w:type="spellStart"/>
      <w:r>
        <w:rPr>
          <w:sz w:val="24"/>
          <w:szCs w:val="24"/>
          <w:lang w:val="en-GB"/>
        </w:rPr>
        <w:t>fulfill</w:t>
      </w:r>
      <w:proofErr w:type="spellEnd"/>
      <w:r>
        <w:rPr>
          <w:sz w:val="24"/>
          <w:szCs w:val="24"/>
          <w:lang w:val="en-GB"/>
        </w:rPr>
        <w:t xml:space="preserve"> the food bank social mission. In the matter in question, this case study underlines the role of inbound (acquiring and sourcing) and outbound (selling and revealing) practices to meet food banks </w:t>
      </w:r>
      <w:proofErr w:type="spellStart"/>
      <w:r>
        <w:rPr>
          <w:sz w:val="24"/>
          <w:szCs w:val="24"/>
          <w:lang w:val="en-GB"/>
        </w:rPr>
        <w:t>goals.</w:t>
      </w:r>
      <w:r w:rsidR="008726CA">
        <w:rPr>
          <w:rStyle w:val="Rimandonotaapidipagina"/>
          <w:sz w:val="24"/>
          <w:szCs w:val="24"/>
          <w:lang w:val="en-GB"/>
        </w:rPr>
        <w:footnoteReference w:customMarkFollows="1" w:id="3"/>
        <w:t>c</w:t>
      </w:r>
      <w:proofErr w:type="spellEnd"/>
    </w:p>
    <w:p w14:paraId="6C4AB1EF" w14:textId="77777777" w:rsidR="00454C34" w:rsidRDefault="00454C34">
      <w:pPr>
        <w:spacing w:line="100" w:lineRule="atLeast"/>
        <w:jc w:val="left"/>
        <w:rPr>
          <w:sz w:val="24"/>
          <w:szCs w:val="24"/>
          <w:lang w:val="en-GB"/>
        </w:rPr>
        <w:sectPr w:rsidR="00454C34">
          <w:headerReference w:type="even" r:id="rId12"/>
          <w:headerReference w:type="default" r:id="rId13"/>
          <w:footerReference w:type="even" r:id="rId14"/>
          <w:footerReference w:type="default" r:id="rId15"/>
          <w:headerReference w:type="first" r:id="rId16"/>
          <w:footerReference w:type="first" r:id="rId17"/>
          <w:pgSz w:w="11906" w:h="16838"/>
          <w:pgMar w:top="2563" w:right="2362" w:bottom="2808" w:left="2347" w:header="2506" w:footer="720" w:gutter="0"/>
          <w:cols w:space="720"/>
          <w:docGrid w:linePitch="360" w:charSpace="-2049"/>
        </w:sectPr>
      </w:pPr>
      <w:r>
        <w:rPr>
          <w:sz w:val="24"/>
          <w:szCs w:val="24"/>
          <w:lang w:val="en-GB"/>
        </w:rPr>
        <w:t xml:space="preserve">In conclusion, a further development of food open innovation models is expected in the coming years. In fact, consumers </w:t>
      </w:r>
      <w:proofErr w:type="gramStart"/>
      <w:r>
        <w:rPr>
          <w:sz w:val="24"/>
          <w:szCs w:val="24"/>
          <w:lang w:val="en-GB"/>
        </w:rPr>
        <w:t>needs</w:t>
      </w:r>
      <w:proofErr w:type="gramEnd"/>
      <w:r>
        <w:rPr>
          <w:sz w:val="24"/>
          <w:szCs w:val="24"/>
          <w:lang w:val="en-GB"/>
        </w:rPr>
        <w:t xml:space="preserve"> related to food are spreading enormously: nowadays consumers choose customized diets that address their desires to eat low-fat foods or to remove ingredients that affect their allergies or personal beliefs (</w:t>
      </w:r>
      <w:proofErr w:type="spellStart"/>
      <w:r>
        <w:rPr>
          <w:sz w:val="24"/>
          <w:szCs w:val="24"/>
          <w:lang w:val="en-GB"/>
        </w:rPr>
        <w:t>Cillo</w:t>
      </w:r>
      <w:proofErr w:type="spellEnd"/>
      <w:r>
        <w:rPr>
          <w:sz w:val="24"/>
          <w:szCs w:val="24"/>
          <w:lang w:val="en-GB"/>
        </w:rPr>
        <w:t xml:space="preserve"> et al., 2019).</w:t>
      </w:r>
    </w:p>
    <w:p w14:paraId="08990993" w14:textId="77777777" w:rsidR="00454C34" w:rsidRDefault="00454C34">
      <w:pPr>
        <w:spacing w:line="100" w:lineRule="atLeast"/>
        <w:jc w:val="left"/>
        <w:rPr>
          <w:sz w:val="24"/>
          <w:szCs w:val="24"/>
          <w:lang w:val="en-GB"/>
        </w:rPr>
      </w:pPr>
    </w:p>
    <w:p w14:paraId="721107AB" w14:textId="77777777" w:rsidR="00454C34" w:rsidRDefault="00454C34">
      <w:pPr>
        <w:spacing w:line="276" w:lineRule="auto"/>
        <w:rPr>
          <w:b/>
          <w:bCs/>
          <w:sz w:val="24"/>
          <w:szCs w:val="24"/>
          <w:lang w:val="en-GB"/>
        </w:rPr>
      </w:pPr>
    </w:p>
    <w:p w14:paraId="12601EF7" w14:textId="77777777" w:rsidR="00454C34" w:rsidRDefault="00454C34">
      <w:pPr>
        <w:spacing w:line="100" w:lineRule="atLeast"/>
        <w:jc w:val="center"/>
        <w:rPr>
          <w:sz w:val="24"/>
          <w:szCs w:val="24"/>
          <w:lang w:val="en-GB"/>
        </w:rPr>
      </w:pPr>
      <w:r>
        <w:rPr>
          <w:sz w:val="18"/>
          <w:szCs w:val="18"/>
          <w:lang w:val="en-GB"/>
        </w:rPr>
        <w:t>Table 1. Food OI models: a literature review</w:t>
      </w:r>
    </w:p>
    <w:p w14:paraId="0C909651" w14:textId="77777777" w:rsidR="00454C34" w:rsidRDefault="00454C34">
      <w:pPr>
        <w:spacing w:line="100" w:lineRule="atLeast"/>
        <w:jc w:val="left"/>
        <w:rPr>
          <w:sz w:val="24"/>
          <w:szCs w:val="24"/>
          <w:lang w:val="en-G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73"/>
        <w:gridCol w:w="1630"/>
        <w:gridCol w:w="498"/>
        <w:gridCol w:w="1230"/>
        <w:gridCol w:w="1291"/>
        <w:gridCol w:w="3077"/>
        <w:gridCol w:w="1039"/>
        <w:gridCol w:w="1081"/>
        <w:gridCol w:w="1029"/>
        <w:gridCol w:w="2422"/>
      </w:tblGrid>
      <w:tr w:rsidR="00454C34" w14:paraId="17C960B8" w14:textId="77777777">
        <w:tc>
          <w:tcPr>
            <w:tcW w:w="1273" w:type="dxa"/>
            <w:tcBorders>
              <w:top w:val="single" w:sz="1" w:space="0" w:color="000000"/>
              <w:left w:val="single" w:sz="1" w:space="0" w:color="000000"/>
              <w:bottom w:val="single" w:sz="1" w:space="0" w:color="000000"/>
            </w:tcBorders>
            <w:shd w:val="clear" w:color="auto" w:fill="auto"/>
          </w:tcPr>
          <w:p w14:paraId="21E357D3" w14:textId="77777777" w:rsidR="00454C34" w:rsidRDefault="00454C34">
            <w:pPr>
              <w:pStyle w:val="Contenutotabella"/>
              <w:jc w:val="left"/>
              <w:rPr>
                <w:b/>
                <w:bCs/>
                <w:sz w:val="18"/>
                <w:szCs w:val="18"/>
                <w:lang w:val="en-GB"/>
              </w:rPr>
            </w:pPr>
            <w:r>
              <w:rPr>
                <w:b/>
                <w:bCs/>
                <w:sz w:val="18"/>
                <w:szCs w:val="18"/>
                <w:lang w:val="en-GB"/>
              </w:rPr>
              <w:t>Food OI model</w:t>
            </w:r>
          </w:p>
        </w:tc>
        <w:tc>
          <w:tcPr>
            <w:tcW w:w="1630" w:type="dxa"/>
            <w:tcBorders>
              <w:top w:val="single" w:sz="1" w:space="0" w:color="000000"/>
              <w:left w:val="single" w:sz="1" w:space="0" w:color="000000"/>
              <w:bottom w:val="single" w:sz="1" w:space="0" w:color="000000"/>
            </w:tcBorders>
            <w:shd w:val="clear" w:color="auto" w:fill="auto"/>
          </w:tcPr>
          <w:p w14:paraId="29AD0E8C" w14:textId="77777777" w:rsidR="00454C34" w:rsidRDefault="00454C34">
            <w:pPr>
              <w:pStyle w:val="Contenutotabella"/>
              <w:jc w:val="left"/>
              <w:rPr>
                <w:b/>
                <w:bCs/>
                <w:sz w:val="18"/>
                <w:szCs w:val="18"/>
                <w:lang w:val="en-GB"/>
              </w:rPr>
            </w:pPr>
            <w:r>
              <w:rPr>
                <w:b/>
                <w:bCs/>
                <w:sz w:val="18"/>
                <w:szCs w:val="18"/>
                <w:lang w:val="en-GB"/>
              </w:rPr>
              <w:t>Article</w:t>
            </w:r>
          </w:p>
        </w:tc>
        <w:tc>
          <w:tcPr>
            <w:tcW w:w="498" w:type="dxa"/>
            <w:tcBorders>
              <w:top w:val="single" w:sz="1" w:space="0" w:color="000000"/>
              <w:left w:val="single" w:sz="1" w:space="0" w:color="000000"/>
              <w:bottom w:val="single" w:sz="1" w:space="0" w:color="000000"/>
            </w:tcBorders>
            <w:shd w:val="clear" w:color="auto" w:fill="auto"/>
          </w:tcPr>
          <w:p w14:paraId="6F13E2FA" w14:textId="77777777" w:rsidR="00454C34" w:rsidRDefault="00454C34">
            <w:pPr>
              <w:pStyle w:val="Contenutotabella"/>
              <w:jc w:val="left"/>
              <w:rPr>
                <w:b/>
                <w:bCs/>
                <w:sz w:val="18"/>
                <w:szCs w:val="18"/>
                <w:lang w:val="en-GB"/>
              </w:rPr>
            </w:pPr>
            <w:r>
              <w:rPr>
                <w:b/>
                <w:bCs/>
                <w:sz w:val="18"/>
                <w:szCs w:val="18"/>
                <w:lang w:val="en-GB"/>
              </w:rPr>
              <w:t>Year</w:t>
            </w:r>
          </w:p>
        </w:tc>
        <w:tc>
          <w:tcPr>
            <w:tcW w:w="1230" w:type="dxa"/>
            <w:tcBorders>
              <w:top w:val="single" w:sz="1" w:space="0" w:color="000000"/>
              <w:left w:val="single" w:sz="1" w:space="0" w:color="000000"/>
              <w:bottom w:val="single" w:sz="1" w:space="0" w:color="000000"/>
            </w:tcBorders>
            <w:shd w:val="clear" w:color="auto" w:fill="auto"/>
          </w:tcPr>
          <w:p w14:paraId="68F79405" w14:textId="77777777" w:rsidR="00454C34" w:rsidRDefault="00454C34">
            <w:pPr>
              <w:pStyle w:val="Contenutotabella"/>
              <w:jc w:val="left"/>
              <w:rPr>
                <w:b/>
                <w:bCs/>
                <w:sz w:val="18"/>
                <w:szCs w:val="18"/>
                <w:lang w:val="en-GB"/>
              </w:rPr>
            </w:pPr>
            <w:r>
              <w:rPr>
                <w:b/>
                <w:bCs/>
                <w:sz w:val="18"/>
                <w:szCs w:val="18"/>
                <w:lang w:val="en-GB"/>
              </w:rPr>
              <w:t>Authors</w:t>
            </w:r>
          </w:p>
        </w:tc>
        <w:tc>
          <w:tcPr>
            <w:tcW w:w="1291" w:type="dxa"/>
            <w:tcBorders>
              <w:top w:val="single" w:sz="1" w:space="0" w:color="000000"/>
              <w:left w:val="single" w:sz="1" w:space="0" w:color="000000"/>
              <w:bottom w:val="single" w:sz="1" w:space="0" w:color="000000"/>
            </w:tcBorders>
            <w:shd w:val="clear" w:color="auto" w:fill="auto"/>
          </w:tcPr>
          <w:p w14:paraId="7CF65FC0" w14:textId="77777777" w:rsidR="00454C34" w:rsidRDefault="00454C34">
            <w:pPr>
              <w:pStyle w:val="Contenutotabella"/>
              <w:jc w:val="left"/>
              <w:rPr>
                <w:b/>
                <w:bCs/>
                <w:sz w:val="18"/>
                <w:szCs w:val="18"/>
                <w:lang w:val="en-GB"/>
              </w:rPr>
            </w:pPr>
            <w:r>
              <w:rPr>
                <w:b/>
                <w:bCs/>
                <w:sz w:val="18"/>
                <w:szCs w:val="18"/>
                <w:lang w:val="en-GB"/>
              </w:rPr>
              <w:t>Methodology</w:t>
            </w:r>
          </w:p>
        </w:tc>
        <w:tc>
          <w:tcPr>
            <w:tcW w:w="3077" w:type="dxa"/>
            <w:tcBorders>
              <w:top w:val="single" w:sz="1" w:space="0" w:color="000000"/>
              <w:left w:val="single" w:sz="1" w:space="0" w:color="000000"/>
              <w:bottom w:val="single" w:sz="1" w:space="0" w:color="000000"/>
            </w:tcBorders>
            <w:shd w:val="clear" w:color="auto" w:fill="auto"/>
          </w:tcPr>
          <w:p w14:paraId="12C44416" w14:textId="77777777" w:rsidR="00454C34" w:rsidRDefault="00454C34">
            <w:pPr>
              <w:pStyle w:val="Contenutotabella"/>
              <w:jc w:val="left"/>
              <w:rPr>
                <w:b/>
                <w:bCs/>
                <w:sz w:val="18"/>
                <w:szCs w:val="18"/>
                <w:lang w:val="en-GB"/>
              </w:rPr>
            </w:pPr>
            <w:r>
              <w:rPr>
                <w:b/>
                <w:bCs/>
                <w:sz w:val="18"/>
                <w:szCs w:val="18"/>
                <w:lang w:val="en-GB"/>
              </w:rPr>
              <w:t>Goals</w:t>
            </w:r>
          </w:p>
        </w:tc>
        <w:tc>
          <w:tcPr>
            <w:tcW w:w="1039" w:type="dxa"/>
            <w:tcBorders>
              <w:top w:val="single" w:sz="1" w:space="0" w:color="000000"/>
              <w:left w:val="single" w:sz="1" w:space="0" w:color="000000"/>
              <w:bottom w:val="single" w:sz="1" w:space="0" w:color="000000"/>
            </w:tcBorders>
            <w:shd w:val="clear" w:color="auto" w:fill="auto"/>
          </w:tcPr>
          <w:p w14:paraId="0E74B2DF" w14:textId="77777777" w:rsidR="00454C34" w:rsidRDefault="00454C34">
            <w:pPr>
              <w:pStyle w:val="Contenutotabella"/>
              <w:jc w:val="left"/>
              <w:rPr>
                <w:b/>
                <w:bCs/>
                <w:sz w:val="18"/>
                <w:szCs w:val="18"/>
                <w:lang w:val="en-GB"/>
              </w:rPr>
            </w:pPr>
            <w:r>
              <w:rPr>
                <w:b/>
                <w:bCs/>
                <w:sz w:val="18"/>
                <w:szCs w:val="18"/>
                <w:lang w:val="en-GB"/>
              </w:rPr>
              <w:t>Field of application</w:t>
            </w:r>
          </w:p>
        </w:tc>
        <w:tc>
          <w:tcPr>
            <w:tcW w:w="1081" w:type="dxa"/>
            <w:tcBorders>
              <w:top w:val="single" w:sz="1" w:space="0" w:color="000000"/>
              <w:left w:val="single" w:sz="1" w:space="0" w:color="000000"/>
              <w:bottom w:val="single" w:sz="1" w:space="0" w:color="000000"/>
            </w:tcBorders>
            <w:shd w:val="clear" w:color="auto" w:fill="auto"/>
          </w:tcPr>
          <w:p w14:paraId="2DFED54D" w14:textId="77777777" w:rsidR="00454C34" w:rsidRDefault="00454C34">
            <w:pPr>
              <w:pStyle w:val="Contenutotabella"/>
              <w:jc w:val="left"/>
              <w:rPr>
                <w:b/>
                <w:bCs/>
                <w:sz w:val="18"/>
                <w:szCs w:val="18"/>
                <w:lang w:val="en-GB"/>
              </w:rPr>
            </w:pPr>
            <w:r>
              <w:rPr>
                <w:b/>
                <w:bCs/>
                <w:sz w:val="18"/>
                <w:szCs w:val="18"/>
                <w:lang w:val="en-GB"/>
              </w:rPr>
              <w:t>Features</w:t>
            </w:r>
          </w:p>
        </w:tc>
        <w:tc>
          <w:tcPr>
            <w:tcW w:w="1029" w:type="dxa"/>
            <w:tcBorders>
              <w:top w:val="single" w:sz="1" w:space="0" w:color="000000"/>
              <w:left w:val="single" w:sz="1" w:space="0" w:color="000000"/>
              <w:bottom w:val="single" w:sz="1" w:space="0" w:color="000000"/>
            </w:tcBorders>
            <w:shd w:val="clear" w:color="auto" w:fill="auto"/>
          </w:tcPr>
          <w:p w14:paraId="2449BEF8" w14:textId="77777777" w:rsidR="00454C34" w:rsidRDefault="00454C34">
            <w:pPr>
              <w:pStyle w:val="Contenutotabella"/>
              <w:jc w:val="left"/>
              <w:rPr>
                <w:b/>
                <w:bCs/>
                <w:sz w:val="18"/>
                <w:szCs w:val="18"/>
                <w:lang w:val="en-GB"/>
              </w:rPr>
            </w:pPr>
            <w:r>
              <w:rPr>
                <w:b/>
                <w:bCs/>
                <w:sz w:val="18"/>
                <w:szCs w:val="18"/>
                <w:lang w:val="en-GB"/>
              </w:rPr>
              <w:t>Business unit involved</w:t>
            </w:r>
          </w:p>
        </w:tc>
        <w:tc>
          <w:tcPr>
            <w:tcW w:w="2422" w:type="dxa"/>
            <w:tcBorders>
              <w:top w:val="single" w:sz="1" w:space="0" w:color="000000"/>
              <w:left w:val="single" w:sz="1" w:space="0" w:color="000000"/>
              <w:bottom w:val="single" w:sz="1" w:space="0" w:color="000000"/>
              <w:right w:val="single" w:sz="1" w:space="0" w:color="000000"/>
            </w:tcBorders>
            <w:shd w:val="clear" w:color="auto" w:fill="auto"/>
          </w:tcPr>
          <w:p w14:paraId="3C2FFB53" w14:textId="77777777" w:rsidR="00454C34" w:rsidRDefault="00454C34">
            <w:pPr>
              <w:pStyle w:val="Contenutotabella"/>
              <w:jc w:val="left"/>
            </w:pPr>
            <w:r>
              <w:rPr>
                <w:b/>
                <w:bCs/>
                <w:sz w:val="18"/>
                <w:szCs w:val="18"/>
                <w:lang w:val="en-GB"/>
              </w:rPr>
              <w:t>Results</w:t>
            </w:r>
          </w:p>
        </w:tc>
      </w:tr>
      <w:tr w:rsidR="00454C34" w14:paraId="1ED536CA" w14:textId="77777777">
        <w:tc>
          <w:tcPr>
            <w:tcW w:w="1273" w:type="dxa"/>
            <w:tcBorders>
              <w:left w:val="single" w:sz="1" w:space="0" w:color="000000"/>
              <w:bottom w:val="single" w:sz="1" w:space="0" w:color="000000"/>
            </w:tcBorders>
            <w:shd w:val="clear" w:color="auto" w:fill="auto"/>
          </w:tcPr>
          <w:p w14:paraId="239023D9" w14:textId="77777777" w:rsidR="00454C34" w:rsidRDefault="00454C34">
            <w:pPr>
              <w:pStyle w:val="Contenutotabella"/>
              <w:jc w:val="left"/>
              <w:rPr>
                <w:i/>
                <w:iCs/>
                <w:sz w:val="18"/>
                <w:szCs w:val="18"/>
                <w:lang w:val="en-GB"/>
              </w:rPr>
            </w:pPr>
            <w:r>
              <w:rPr>
                <w:b/>
                <w:bCs/>
                <w:sz w:val="18"/>
                <w:szCs w:val="18"/>
                <w:lang w:val="en-GB"/>
              </w:rPr>
              <w:t xml:space="preserve">Connect &amp; </w:t>
            </w:r>
            <w:proofErr w:type="gramStart"/>
            <w:r>
              <w:rPr>
                <w:b/>
                <w:bCs/>
                <w:sz w:val="18"/>
                <w:szCs w:val="18"/>
                <w:lang w:val="en-GB"/>
              </w:rPr>
              <w:t>Develop</w:t>
            </w:r>
            <w:proofErr w:type="gramEnd"/>
          </w:p>
        </w:tc>
        <w:tc>
          <w:tcPr>
            <w:tcW w:w="1630" w:type="dxa"/>
            <w:tcBorders>
              <w:left w:val="single" w:sz="1" w:space="0" w:color="000000"/>
              <w:bottom w:val="single" w:sz="1" w:space="0" w:color="000000"/>
            </w:tcBorders>
            <w:shd w:val="clear" w:color="auto" w:fill="auto"/>
          </w:tcPr>
          <w:p w14:paraId="6BBC0DBA" w14:textId="77777777" w:rsidR="00454C34" w:rsidRDefault="00454C34">
            <w:pPr>
              <w:pStyle w:val="Contenutotabella"/>
              <w:jc w:val="left"/>
              <w:rPr>
                <w:sz w:val="18"/>
                <w:szCs w:val="18"/>
                <w:lang w:val="en-GB"/>
              </w:rPr>
            </w:pPr>
            <w:r>
              <w:rPr>
                <w:i/>
                <w:iCs/>
                <w:sz w:val="18"/>
                <w:szCs w:val="18"/>
                <w:lang w:val="en-GB"/>
              </w:rPr>
              <w:t>“Connect and Develop: Inside Procter &amp; Gamble’s New Model for Innovation”</w:t>
            </w:r>
            <w:r>
              <w:rPr>
                <w:sz w:val="18"/>
                <w:szCs w:val="18"/>
                <w:lang w:val="en-GB"/>
              </w:rPr>
              <w:t xml:space="preserve"> </w:t>
            </w:r>
          </w:p>
        </w:tc>
        <w:tc>
          <w:tcPr>
            <w:tcW w:w="498" w:type="dxa"/>
            <w:tcBorders>
              <w:left w:val="single" w:sz="1" w:space="0" w:color="000000"/>
              <w:bottom w:val="single" w:sz="1" w:space="0" w:color="000000"/>
            </w:tcBorders>
            <w:shd w:val="clear" w:color="auto" w:fill="auto"/>
          </w:tcPr>
          <w:p w14:paraId="286786DE" w14:textId="77777777" w:rsidR="00454C34" w:rsidRDefault="00454C34">
            <w:pPr>
              <w:pStyle w:val="Contenutotabella"/>
              <w:jc w:val="left"/>
              <w:rPr>
                <w:sz w:val="18"/>
                <w:szCs w:val="18"/>
                <w:lang w:val="en-GB"/>
              </w:rPr>
            </w:pPr>
            <w:r>
              <w:rPr>
                <w:sz w:val="18"/>
                <w:szCs w:val="18"/>
                <w:lang w:val="en-GB"/>
              </w:rPr>
              <w:t>2006</w:t>
            </w:r>
          </w:p>
        </w:tc>
        <w:tc>
          <w:tcPr>
            <w:tcW w:w="1230" w:type="dxa"/>
            <w:tcBorders>
              <w:left w:val="single" w:sz="1" w:space="0" w:color="000000"/>
              <w:bottom w:val="single" w:sz="1" w:space="0" w:color="000000"/>
            </w:tcBorders>
            <w:shd w:val="clear" w:color="auto" w:fill="auto"/>
          </w:tcPr>
          <w:p w14:paraId="26ADB483" w14:textId="77777777" w:rsidR="00454C34" w:rsidRDefault="00454C34">
            <w:pPr>
              <w:pStyle w:val="Contenutotabella"/>
              <w:jc w:val="left"/>
              <w:rPr>
                <w:sz w:val="18"/>
                <w:szCs w:val="18"/>
                <w:lang w:val="en-GB"/>
              </w:rPr>
            </w:pPr>
            <w:r>
              <w:rPr>
                <w:sz w:val="18"/>
                <w:szCs w:val="18"/>
                <w:lang w:val="en-GB"/>
              </w:rPr>
              <w:t xml:space="preserve">Huston and </w:t>
            </w:r>
            <w:proofErr w:type="spellStart"/>
            <w:r>
              <w:rPr>
                <w:sz w:val="18"/>
                <w:szCs w:val="18"/>
                <w:lang w:val="en-GB"/>
              </w:rPr>
              <w:t>Sakkab</w:t>
            </w:r>
            <w:proofErr w:type="spellEnd"/>
            <w:r>
              <w:rPr>
                <w:sz w:val="18"/>
                <w:szCs w:val="18"/>
                <w:lang w:val="en-GB"/>
              </w:rPr>
              <w:t xml:space="preserve"> </w:t>
            </w:r>
          </w:p>
        </w:tc>
        <w:tc>
          <w:tcPr>
            <w:tcW w:w="1291" w:type="dxa"/>
            <w:tcBorders>
              <w:left w:val="single" w:sz="1" w:space="0" w:color="000000"/>
              <w:bottom w:val="single" w:sz="1" w:space="0" w:color="000000"/>
            </w:tcBorders>
            <w:shd w:val="clear" w:color="auto" w:fill="auto"/>
          </w:tcPr>
          <w:p w14:paraId="70F2D277" w14:textId="77777777" w:rsidR="00454C34" w:rsidRDefault="00454C34">
            <w:pPr>
              <w:pStyle w:val="Contenutotabella"/>
              <w:jc w:val="left"/>
              <w:rPr>
                <w:sz w:val="18"/>
                <w:szCs w:val="18"/>
                <w:lang w:val="en-GB"/>
              </w:rPr>
            </w:pPr>
            <w:r>
              <w:rPr>
                <w:sz w:val="18"/>
                <w:szCs w:val="18"/>
                <w:lang w:val="en-GB"/>
              </w:rPr>
              <w:t>IT platforms, meetings</w:t>
            </w:r>
          </w:p>
        </w:tc>
        <w:tc>
          <w:tcPr>
            <w:tcW w:w="3077" w:type="dxa"/>
            <w:tcBorders>
              <w:left w:val="single" w:sz="1" w:space="0" w:color="000000"/>
              <w:bottom w:val="single" w:sz="1" w:space="0" w:color="000000"/>
            </w:tcBorders>
            <w:shd w:val="clear" w:color="auto" w:fill="auto"/>
          </w:tcPr>
          <w:p w14:paraId="2E810702" w14:textId="77777777" w:rsidR="00454C34" w:rsidRDefault="00454C34">
            <w:pPr>
              <w:pStyle w:val="Contenutotabella"/>
              <w:jc w:val="left"/>
              <w:rPr>
                <w:sz w:val="18"/>
                <w:szCs w:val="18"/>
                <w:lang w:val="en-GB"/>
              </w:rPr>
            </w:pPr>
            <w:r>
              <w:rPr>
                <w:sz w:val="18"/>
                <w:szCs w:val="18"/>
                <w:lang w:val="en-GB"/>
              </w:rPr>
              <w:t>First, creating a model that defines problems to be solved; second, let the problems circulate in individual global networks and institutions to find out if anyone in the world has already a solution.</w:t>
            </w:r>
          </w:p>
        </w:tc>
        <w:tc>
          <w:tcPr>
            <w:tcW w:w="1039" w:type="dxa"/>
            <w:tcBorders>
              <w:left w:val="single" w:sz="1" w:space="0" w:color="000000"/>
              <w:bottom w:val="single" w:sz="1" w:space="0" w:color="000000"/>
            </w:tcBorders>
            <w:shd w:val="clear" w:color="auto" w:fill="auto"/>
          </w:tcPr>
          <w:p w14:paraId="26F6A13C" w14:textId="77777777" w:rsidR="00454C34" w:rsidRDefault="00454C34">
            <w:pPr>
              <w:pStyle w:val="Contenutotabella"/>
              <w:jc w:val="left"/>
              <w:rPr>
                <w:sz w:val="18"/>
                <w:szCs w:val="18"/>
                <w:lang w:val="en-GB"/>
              </w:rPr>
            </w:pPr>
            <w:r>
              <w:rPr>
                <w:sz w:val="18"/>
                <w:szCs w:val="18"/>
                <w:lang w:val="en-GB"/>
              </w:rPr>
              <w:t xml:space="preserve">P&amp;G </w:t>
            </w:r>
          </w:p>
        </w:tc>
        <w:tc>
          <w:tcPr>
            <w:tcW w:w="1081" w:type="dxa"/>
            <w:tcBorders>
              <w:left w:val="single" w:sz="1" w:space="0" w:color="000000"/>
              <w:bottom w:val="single" w:sz="1" w:space="0" w:color="000000"/>
            </w:tcBorders>
            <w:shd w:val="clear" w:color="auto" w:fill="auto"/>
          </w:tcPr>
          <w:p w14:paraId="5E94358A" w14:textId="77777777" w:rsidR="00454C34" w:rsidRDefault="00454C34">
            <w:pPr>
              <w:pStyle w:val="Contenutotabella"/>
              <w:jc w:val="left"/>
              <w:rPr>
                <w:sz w:val="18"/>
                <w:szCs w:val="18"/>
                <w:lang w:val="en-GB"/>
              </w:rPr>
            </w:pPr>
            <w:r>
              <w:rPr>
                <w:sz w:val="18"/>
                <w:szCs w:val="18"/>
                <w:lang w:val="en-GB"/>
              </w:rPr>
              <w:t>Technology, radical innovation</w:t>
            </w:r>
          </w:p>
        </w:tc>
        <w:tc>
          <w:tcPr>
            <w:tcW w:w="1029" w:type="dxa"/>
            <w:tcBorders>
              <w:left w:val="single" w:sz="1" w:space="0" w:color="000000"/>
              <w:bottom w:val="single" w:sz="1" w:space="0" w:color="000000"/>
            </w:tcBorders>
            <w:shd w:val="clear" w:color="auto" w:fill="auto"/>
          </w:tcPr>
          <w:p w14:paraId="76D6D88E" w14:textId="77777777" w:rsidR="00454C34" w:rsidRDefault="00454C34">
            <w:pPr>
              <w:pStyle w:val="Contenutotabella"/>
              <w:jc w:val="left"/>
              <w:rPr>
                <w:sz w:val="18"/>
                <w:szCs w:val="18"/>
                <w:lang w:val="en-GB"/>
              </w:rPr>
            </w:pPr>
            <w:r>
              <w:rPr>
                <w:sz w:val="18"/>
                <w:szCs w:val="18"/>
                <w:lang w:val="en-GB"/>
              </w:rPr>
              <w:t>R&amp;D unit, production, marketing, purchasing</w:t>
            </w:r>
          </w:p>
        </w:tc>
        <w:tc>
          <w:tcPr>
            <w:tcW w:w="2422" w:type="dxa"/>
            <w:tcBorders>
              <w:left w:val="single" w:sz="1" w:space="0" w:color="000000"/>
              <w:bottom w:val="single" w:sz="1" w:space="0" w:color="000000"/>
              <w:right w:val="single" w:sz="1" w:space="0" w:color="000000"/>
            </w:tcBorders>
            <w:shd w:val="clear" w:color="auto" w:fill="auto"/>
          </w:tcPr>
          <w:p w14:paraId="2B3EAF3B" w14:textId="77777777" w:rsidR="00454C34" w:rsidRDefault="00454C34">
            <w:pPr>
              <w:pStyle w:val="Contenutotabella"/>
              <w:jc w:val="left"/>
            </w:pPr>
            <w:r>
              <w:rPr>
                <w:sz w:val="18"/>
                <w:szCs w:val="18"/>
                <w:lang w:val="en-GB"/>
              </w:rPr>
              <w:t>The C&amp;D model, if seen only as a R&amp;D strategy or as an experiment, is doomed to fail. Hence, it must be guided by the top management.</w:t>
            </w:r>
          </w:p>
        </w:tc>
      </w:tr>
      <w:tr w:rsidR="00454C34" w14:paraId="1D593C29" w14:textId="77777777">
        <w:tc>
          <w:tcPr>
            <w:tcW w:w="1273" w:type="dxa"/>
            <w:tcBorders>
              <w:left w:val="single" w:sz="1" w:space="0" w:color="000000"/>
              <w:bottom w:val="single" w:sz="1" w:space="0" w:color="000000"/>
            </w:tcBorders>
            <w:shd w:val="clear" w:color="auto" w:fill="auto"/>
          </w:tcPr>
          <w:p w14:paraId="74A39A61" w14:textId="77777777" w:rsidR="00454C34" w:rsidRDefault="00454C34">
            <w:pPr>
              <w:pStyle w:val="Contenutotabella"/>
              <w:jc w:val="left"/>
              <w:rPr>
                <w:i/>
                <w:iCs/>
                <w:sz w:val="18"/>
                <w:szCs w:val="18"/>
                <w:lang w:val="en-GB"/>
              </w:rPr>
            </w:pPr>
            <w:r>
              <w:rPr>
                <w:b/>
                <w:bCs/>
                <w:sz w:val="18"/>
                <w:szCs w:val="18"/>
                <w:lang w:val="en-GB"/>
              </w:rPr>
              <w:t>Share is Winning (</w:t>
            </w:r>
            <w:proofErr w:type="spellStart"/>
            <w:r>
              <w:rPr>
                <w:b/>
                <w:bCs/>
                <w:sz w:val="18"/>
                <w:szCs w:val="18"/>
                <w:lang w:val="en-GB"/>
              </w:rPr>
              <w:t>SiW</w:t>
            </w:r>
            <w:proofErr w:type="spellEnd"/>
            <w:r>
              <w:rPr>
                <w:b/>
                <w:bCs/>
                <w:sz w:val="18"/>
                <w:szCs w:val="18"/>
                <w:lang w:val="en-GB"/>
              </w:rPr>
              <w:t>)</w:t>
            </w:r>
          </w:p>
        </w:tc>
        <w:tc>
          <w:tcPr>
            <w:tcW w:w="1630" w:type="dxa"/>
            <w:tcBorders>
              <w:left w:val="single" w:sz="1" w:space="0" w:color="000000"/>
              <w:bottom w:val="single" w:sz="1" w:space="0" w:color="000000"/>
            </w:tcBorders>
            <w:shd w:val="clear" w:color="auto" w:fill="auto"/>
          </w:tcPr>
          <w:p w14:paraId="43666184" w14:textId="77777777" w:rsidR="00454C34" w:rsidRDefault="00454C34">
            <w:pPr>
              <w:pStyle w:val="Contenutotabella"/>
              <w:jc w:val="left"/>
              <w:rPr>
                <w:sz w:val="18"/>
                <w:szCs w:val="18"/>
                <w:lang w:val="en-GB"/>
              </w:rPr>
            </w:pPr>
            <w:r>
              <w:rPr>
                <w:i/>
                <w:iCs/>
                <w:sz w:val="18"/>
                <w:szCs w:val="18"/>
                <w:lang w:val="en-GB"/>
              </w:rPr>
              <w:t xml:space="preserve">“Creating successful innovation partnerships” </w:t>
            </w:r>
          </w:p>
        </w:tc>
        <w:tc>
          <w:tcPr>
            <w:tcW w:w="498" w:type="dxa"/>
            <w:tcBorders>
              <w:left w:val="single" w:sz="1" w:space="0" w:color="000000"/>
              <w:bottom w:val="single" w:sz="1" w:space="0" w:color="000000"/>
            </w:tcBorders>
            <w:shd w:val="clear" w:color="auto" w:fill="auto"/>
          </w:tcPr>
          <w:p w14:paraId="49B7DC8B" w14:textId="77777777" w:rsidR="00454C34" w:rsidRDefault="00454C34">
            <w:pPr>
              <w:pStyle w:val="Contenutotabella"/>
              <w:jc w:val="left"/>
              <w:rPr>
                <w:sz w:val="18"/>
                <w:szCs w:val="18"/>
                <w:lang w:val="en-GB"/>
              </w:rPr>
            </w:pPr>
            <w:r>
              <w:rPr>
                <w:sz w:val="18"/>
                <w:szCs w:val="18"/>
                <w:lang w:val="en-GB"/>
              </w:rPr>
              <w:t>2009</w:t>
            </w:r>
          </w:p>
        </w:tc>
        <w:tc>
          <w:tcPr>
            <w:tcW w:w="1230" w:type="dxa"/>
            <w:tcBorders>
              <w:left w:val="single" w:sz="1" w:space="0" w:color="000000"/>
              <w:bottom w:val="single" w:sz="1" w:space="0" w:color="000000"/>
            </w:tcBorders>
            <w:shd w:val="clear" w:color="auto" w:fill="auto"/>
          </w:tcPr>
          <w:p w14:paraId="2D94A74D" w14:textId="77777777" w:rsidR="00454C34" w:rsidRDefault="00454C34">
            <w:pPr>
              <w:pStyle w:val="Contenutotabella"/>
              <w:jc w:val="left"/>
              <w:rPr>
                <w:sz w:val="18"/>
                <w:szCs w:val="18"/>
                <w:lang w:val="en-GB"/>
              </w:rPr>
            </w:pPr>
            <w:proofErr w:type="spellStart"/>
            <w:r>
              <w:rPr>
                <w:sz w:val="18"/>
                <w:szCs w:val="18"/>
                <w:lang w:val="en-GB"/>
              </w:rPr>
              <w:t>Traitler</w:t>
            </w:r>
            <w:proofErr w:type="spellEnd"/>
            <w:r>
              <w:rPr>
                <w:sz w:val="18"/>
                <w:szCs w:val="18"/>
                <w:lang w:val="en-GB"/>
              </w:rPr>
              <w:t xml:space="preserve"> and </w:t>
            </w:r>
            <w:proofErr w:type="spellStart"/>
            <w:r>
              <w:rPr>
                <w:sz w:val="18"/>
                <w:szCs w:val="18"/>
                <w:lang w:val="en-GB"/>
              </w:rPr>
              <w:t>Saguy</w:t>
            </w:r>
            <w:proofErr w:type="spellEnd"/>
            <w:r>
              <w:rPr>
                <w:sz w:val="18"/>
                <w:szCs w:val="18"/>
                <w:lang w:val="en-GB"/>
              </w:rPr>
              <w:t xml:space="preserve"> </w:t>
            </w:r>
          </w:p>
        </w:tc>
        <w:tc>
          <w:tcPr>
            <w:tcW w:w="1291" w:type="dxa"/>
            <w:tcBorders>
              <w:left w:val="single" w:sz="1" w:space="0" w:color="000000"/>
              <w:bottom w:val="single" w:sz="1" w:space="0" w:color="000000"/>
            </w:tcBorders>
            <w:shd w:val="clear" w:color="auto" w:fill="auto"/>
          </w:tcPr>
          <w:p w14:paraId="3AE2F08B" w14:textId="77777777" w:rsidR="00454C34" w:rsidRDefault="00454C34">
            <w:pPr>
              <w:pStyle w:val="Contenutotabella"/>
              <w:jc w:val="left"/>
              <w:rPr>
                <w:sz w:val="18"/>
                <w:szCs w:val="18"/>
                <w:lang w:val="en-GB"/>
              </w:rPr>
            </w:pPr>
            <w:r>
              <w:rPr>
                <w:sz w:val="18"/>
                <w:szCs w:val="18"/>
                <w:lang w:val="en-GB"/>
              </w:rPr>
              <w:t xml:space="preserve">Data from R&amp;D, universities, companies involved </w:t>
            </w:r>
          </w:p>
        </w:tc>
        <w:tc>
          <w:tcPr>
            <w:tcW w:w="3077" w:type="dxa"/>
            <w:tcBorders>
              <w:left w:val="single" w:sz="1" w:space="0" w:color="000000"/>
              <w:bottom w:val="single" w:sz="1" w:space="0" w:color="000000"/>
            </w:tcBorders>
            <w:shd w:val="clear" w:color="auto" w:fill="auto"/>
          </w:tcPr>
          <w:p w14:paraId="2F32C77C" w14:textId="77777777" w:rsidR="00454C34" w:rsidRDefault="00454C34">
            <w:pPr>
              <w:pStyle w:val="Contenutotabella"/>
              <w:jc w:val="left"/>
              <w:rPr>
                <w:sz w:val="18"/>
                <w:szCs w:val="18"/>
                <w:lang w:val="en-GB"/>
              </w:rPr>
            </w:pPr>
            <w:r>
              <w:rPr>
                <w:sz w:val="18"/>
                <w:szCs w:val="18"/>
                <w:lang w:val="en-GB"/>
              </w:rPr>
              <w:t xml:space="preserve">Co-create value and innovation through partnerships. </w:t>
            </w:r>
          </w:p>
        </w:tc>
        <w:tc>
          <w:tcPr>
            <w:tcW w:w="1039" w:type="dxa"/>
            <w:tcBorders>
              <w:left w:val="single" w:sz="1" w:space="0" w:color="000000"/>
              <w:bottom w:val="single" w:sz="1" w:space="0" w:color="000000"/>
            </w:tcBorders>
            <w:shd w:val="clear" w:color="auto" w:fill="auto"/>
          </w:tcPr>
          <w:p w14:paraId="4A1BA25C" w14:textId="77777777" w:rsidR="00454C34" w:rsidRDefault="00454C34">
            <w:pPr>
              <w:pStyle w:val="Contenutotabella"/>
              <w:jc w:val="left"/>
              <w:rPr>
                <w:sz w:val="18"/>
                <w:szCs w:val="18"/>
                <w:lang w:val="en-GB"/>
              </w:rPr>
            </w:pPr>
            <w:r>
              <w:rPr>
                <w:sz w:val="18"/>
                <w:szCs w:val="18"/>
                <w:lang w:val="en-GB"/>
              </w:rPr>
              <w:t>Nestlé</w:t>
            </w:r>
          </w:p>
        </w:tc>
        <w:tc>
          <w:tcPr>
            <w:tcW w:w="1081" w:type="dxa"/>
            <w:tcBorders>
              <w:left w:val="single" w:sz="1" w:space="0" w:color="000000"/>
              <w:bottom w:val="single" w:sz="1" w:space="0" w:color="000000"/>
            </w:tcBorders>
            <w:shd w:val="clear" w:color="auto" w:fill="auto"/>
          </w:tcPr>
          <w:p w14:paraId="213073BF" w14:textId="77777777" w:rsidR="00454C34" w:rsidRDefault="00454C34">
            <w:pPr>
              <w:pStyle w:val="Contenutotabella"/>
              <w:jc w:val="left"/>
              <w:rPr>
                <w:sz w:val="18"/>
                <w:szCs w:val="18"/>
                <w:lang w:val="en-GB"/>
              </w:rPr>
            </w:pPr>
            <w:r>
              <w:rPr>
                <w:sz w:val="18"/>
                <w:szCs w:val="18"/>
                <w:lang w:val="en-GB"/>
              </w:rPr>
              <w:t xml:space="preserve">Innovation process </w:t>
            </w:r>
          </w:p>
        </w:tc>
        <w:tc>
          <w:tcPr>
            <w:tcW w:w="1029" w:type="dxa"/>
            <w:tcBorders>
              <w:left w:val="single" w:sz="1" w:space="0" w:color="000000"/>
              <w:bottom w:val="single" w:sz="1" w:space="0" w:color="000000"/>
            </w:tcBorders>
            <w:shd w:val="clear" w:color="auto" w:fill="auto"/>
          </w:tcPr>
          <w:p w14:paraId="5AD5356F" w14:textId="77777777" w:rsidR="00454C34" w:rsidRDefault="00454C34">
            <w:pPr>
              <w:pStyle w:val="Contenutotabella"/>
              <w:jc w:val="left"/>
              <w:rPr>
                <w:sz w:val="18"/>
                <w:szCs w:val="18"/>
                <w:lang w:val="en-GB"/>
              </w:rPr>
            </w:pPr>
            <w:r>
              <w:rPr>
                <w:sz w:val="18"/>
                <w:szCs w:val="18"/>
                <w:lang w:val="en-GB"/>
              </w:rPr>
              <w:t xml:space="preserve">R&amp;D unit, clients </w:t>
            </w:r>
          </w:p>
        </w:tc>
        <w:tc>
          <w:tcPr>
            <w:tcW w:w="2422" w:type="dxa"/>
            <w:tcBorders>
              <w:left w:val="single" w:sz="1" w:space="0" w:color="000000"/>
              <w:bottom w:val="single" w:sz="1" w:space="0" w:color="000000"/>
              <w:right w:val="single" w:sz="1" w:space="0" w:color="000000"/>
            </w:tcBorders>
            <w:shd w:val="clear" w:color="auto" w:fill="auto"/>
          </w:tcPr>
          <w:p w14:paraId="406FD55E" w14:textId="77777777" w:rsidR="00454C34" w:rsidRDefault="00454C34">
            <w:pPr>
              <w:pStyle w:val="Contenutotabella"/>
              <w:jc w:val="left"/>
            </w:pPr>
            <w:r>
              <w:rPr>
                <w:sz w:val="18"/>
                <w:szCs w:val="18"/>
                <w:lang w:val="en-GB"/>
              </w:rPr>
              <w:t xml:space="preserve">Development of the “Innovation Partnerships” strategy and the </w:t>
            </w:r>
            <w:proofErr w:type="spellStart"/>
            <w:r>
              <w:rPr>
                <w:sz w:val="18"/>
                <w:szCs w:val="18"/>
                <w:lang w:val="en-GB"/>
              </w:rPr>
              <w:t>SiW</w:t>
            </w:r>
            <w:proofErr w:type="spellEnd"/>
            <w:r>
              <w:rPr>
                <w:sz w:val="18"/>
                <w:szCs w:val="18"/>
                <w:lang w:val="en-GB"/>
              </w:rPr>
              <w:t xml:space="preserve"> model.</w:t>
            </w:r>
          </w:p>
        </w:tc>
      </w:tr>
      <w:tr w:rsidR="00454C34" w14:paraId="24C40A91" w14:textId="77777777">
        <w:tc>
          <w:tcPr>
            <w:tcW w:w="1273" w:type="dxa"/>
            <w:tcBorders>
              <w:left w:val="single" w:sz="1" w:space="0" w:color="000000"/>
              <w:bottom w:val="single" w:sz="1" w:space="0" w:color="000000"/>
            </w:tcBorders>
            <w:shd w:val="clear" w:color="auto" w:fill="auto"/>
          </w:tcPr>
          <w:p w14:paraId="0365AF8A" w14:textId="77777777" w:rsidR="00454C34" w:rsidRDefault="00454C34">
            <w:pPr>
              <w:pStyle w:val="Contenutotabella"/>
              <w:jc w:val="left"/>
              <w:rPr>
                <w:i/>
                <w:iCs/>
                <w:sz w:val="18"/>
                <w:szCs w:val="18"/>
                <w:lang w:val="en-GB"/>
              </w:rPr>
            </w:pPr>
            <w:r>
              <w:rPr>
                <w:b/>
                <w:bCs/>
                <w:sz w:val="18"/>
                <w:szCs w:val="18"/>
                <w:lang w:val="en-GB"/>
              </w:rPr>
              <w:t>Food Machinery Framework</w:t>
            </w:r>
          </w:p>
        </w:tc>
        <w:tc>
          <w:tcPr>
            <w:tcW w:w="1630" w:type="dxa"/>
            <w:tcBorders>
              <w:left w:val="single" w:sz="1" w:space="0" w:color="000000"/>
              <w:bottom w:val="single" w:sz="1" w:space="0" w:color="000000"/>
            </w:tcBorders>
            <w:shd w:val="clear" w:color="auto" w:fill="auto"/>
          </w:tcPr>
          <w:p w14:paraId="6F0BEEE9" w14:textId="77777777" w:rsidR="00454C34" w:rsidRDefault="00454C34">
            <w:pPr>
              <w:pStyle w:val="Contenutotabella"/>
              <w:jc w:val="left"/>
              <w:rPr>
                <w:sz w:val="18"/>
                <w:szCs w:val="18"/>
                <w:lang w:val="en-GB"/>
              </w:rPr>
            </w:pPr>
            <w:r>
              <w:rPr>
                <w:i/>
                <w:iCs/>
                <w:sz w:val="18"/>
                <w:szCs w:val="18"/>
                <w:lang w:val="en-GB"/>
              </w:rPr>
              <w:t xml:space="preserve">“Open innovation and supply chain management in food machinery supply chain: a case study” </w:t>
            </w:r>
          </w:p>
        </w:tc>
        <w:tc>
          <w:tcPr>
            <w:tcW w:w="498" w:type="dxa"/>
            <w:tcBorders>
              <w:left w:val="single" w:sz="1" w:space="0" w:color="000000"/>
              <w:bottom w:val="single" w:sz="1" w:space="0" w:color="000000"/>
            </w:tcBorders>
            <w:shd w:val="clear" w:color="auto" w:fill="auto"/>
          </w:tcPr>
          <w:p w14:paraId="37D9602C" w14:textId="77777777" w:rsidR="00454C34" w:rsidRDefault="00454C34">
            <w:pPr>
              <w:pStyle w:val="Contenutotabella"/>
              <w:jc w:val="left"/>
              <w:rPr>
                <w:sz w:val="18"/>
                <w:szCs w:val="18"/>
                <w:lang w:val="en-GB"/>
              </w:rPr>
            </w:pPr>
            <w:r>
              <w:rPr>
                <w:sz w:val="18"/>
                <w:szCs w:val="18"/>
                <w:lang w:val="en-GB"/>
              </w:rPr>
              <w:t>2010</w:t>
            </w:r>
          </w:p>
        </w:tc>
        <w:tc>
          <w:tcPr>
            <w:tcW w:w="1230" w:type="dxa"/>
            <w:tcBorders>
              <w:left w:val="single" w:sz="1" w:space="0" w:color="000000"/>
              <w:bottom w:val="single" w:sz="1" w:space="0" w:color="000000"/>
            </w:tcBorders>
            <w:shd w:val="clear" w:color="auto" w:fill="auto"/>
          </w:tcPr>
          <w:p w14:paraId="294B57D2" w14:textId="77777777" w:rsidR="00454C34" w:rsidRDefault="00454C34">
            <w:pPr>
              <w:pStyle w:val="Contenutotabella"/>
              <w:jc w:val="left"/>
              <w:rPr>
                <w:sz w:val="18"/>
                <w:szCs w:val="18"/>
                <w:lang w:val="en-GB"/>
              </w:rPr>
            </w:pPr>
            <w:proofErr w:type="spellStart"/>
            <w:r>
              <w:rPr>
                <w:sz w:val="18"/>
                <w:szCs w:val="18"/>
                <w:lang w:val="en-GB"/>
              </w:rPr>
              <w:t>Bigliardi</w:t>
            </w:r>
            <w:proofErr w:type="spellEnd"/>
            <w:r>
              <w:rPr>
                <w:sz w:val="18"/>
                <w:szCs w:val="18"/>
                <w:lang w:val="en-GB"/>
              </w:rPr>
              <w:t xml:space="preserve"> et al. </w:t>
            </w:r>
          </w:p>
        </w:tc>
        <w:tc>
          <w:tcPr>
            <w:tcW w:w="1291" w:type="dxa"/>
            <w:tcBorders>
              <w:left w:val="single" w:sz="1" w:space="0" w:color="000000"/>
              <w:bottom w:val="single" w:sz="1" w:space="0" w:color="000000"/>
            </w:tcBorders>
            <w:shd w:val="clear" w:color="auto" w:fill="auto"/>
          </w:tcPr>
          <w:p w14:paraId="4A74D2FA" w14:textId="77777777" w:rsidR="00454C34" w:rsidRDefault="00454C34">
            <w:pPr>
              <w:pStyle w:val="Contenutotabella"/>
              <w:jc w:val="left"/>
              <w:rPr>
                <w:sz w:val="18"/>
                <w:szCs w:val="18"/>
                <w:lang w:val="en-GB"/>
              </w:rPr>
            </w:pPr>
            <w:r>
              <w:rPr>
                <w:sz w:val="18"/>
                <w:szCs w:val="18"/>
                <w:lang w:val="en-GB"/>
              </w:rPr>
              <w:t>Case study with bibliographic review and questionnaire</w:t>
            </w:r>
          </w:p>
        </w:tc>
        <w:tc>
          <w:tcPr>
            <w:tcW w:w="3077" w:type="dxa"/>
            <w:tcBorders>
              <w:left w:val="single" w:sz="1" w:space="0" w:color="000000"/>
              <w:bottom w:val="single" w:sz="1" w:space="0" w:color="000000"/>
            </w:tcBorders>
            <w:shd w:val="clear" w:color="auto" w:fill="auto"/>
          </w:tcPr>
          <w:p w14:paraId="7ECEA9CB" w14:textId="77777777" w:rsidR="00454C34" w:rsidRDefault="00454C34">
            <w:pPr>
              <w:pStyle w:val="Contenutotabella"/>
              <w:jc w:val="left"/>
              <w:rPr>
                <w:sz w:val="18"/>
                <w:szCs w:val="18"/>
                <w:lang w:val="en-GB"/>
              </w:rPr>
            </w:pPr>
            <w:r>
              <w:rPr>
                <w:sz w:val="18"/>
                <w:szCs w:val="18"/>
                <w:lang w:val="en-GB"/>
              </w:rPr>
              <w:t>Evaluate the determining factors (and their extent) for the adoption of the OI paradigm in the food machinery industry.</w:t>
            </w:r>
          </w:p>
        </w:tc>
        <w:tc>
          <w:tcPr>
            <w:tcW w:w="1039" w:type="dxa"/>
            <w:tcBorders>
              <w:left w:val="single" w:sz="1" w:space="0" w:color="000000"/>
              <w:bottom w:val="single" w:sz="1" w:space="0" w:color="000000"/>
            </w:tcBorders>
            <w:shd w:val="clear" w:color="auto" w:fill="auto"/>
          </w:tcPr>
          <w:p w14:paraId="5954BCF1" w14:textId="77777777" w:rsidR="00454C34" w:rsidRDefault="00454C34">
            <w:pPr>
              <w:pStyle w:val="Contenutotabella"/>
              <w:jc w:val="left"/>
              <w:rPr>
                <w:sz w:val="18"/>
                <w:szCs w:val="18"/>
                <w:lang w:val="en-GB"/>
              </w:rPr>
            </w:pPr>
            <w:r>
              <w:rPr>
                <w:sz w:val="18"/>
                <w:szCs w:val="18"/>
                <w:lang w:val="en-GB"/>
              </w:rPr>
              <w:t>Companies involved classified</w:t>
            </w:r>
          </w:p>
        </w:tc>
        <w:tc>
          <w:tcPr>
            <w:tcW w:w="1081" w:type="dxa"/>
            <w:tcBorders>
              <w:left w:val="single" w:sz="1" w:space="0" w:color="000000"/>
              <w:bottom w:val="single" w:sz="1" w:space="0" w:color="000000"/>
            </w:tcBorders>
            <w:shd w:val="clear" w:color="auto" w:fill="auto"/>
          </w:tcPr>
          <w:p w14:paraId="22E14E7B" w14:textId="77777777" w:rsidR="00454C34" w:rsidRDefault="00454C34">
            <w:pPr>
              <w:pStyle w:val="Contenutotabella"/>
              <w:jc w:val="left"/>
              <w:rPr>
                <w:sz w:val="18"/>
                <w:szCs w:val="18"/>
                <w:lang w:val="en-GB"/>
              </w:rPr>
            </w:pPr>
            <w:r>
              <w:rPr>
                <w:sz w:val="18"/>
                <w:szCs w:val="18"/>
                <w:lang w:val="en-GB"/>
              </w:rPr>
              <w:t xml:space="preserve">Radical and incremental product innovations </w:t>
            </w:r>
          </w:p>
        </w:tc>
        <w:tc>
          <w:tcPr>
            <w:tcW w:w="1029" w:type="dxa"/>
            <w:tcBorders>
              <w:left w:val="single" w:sz="1" w:space="0" w:color="000000"/>
              <w:bottom w:val="single" w:sz="1" w:space="0" w:color="000000"/>
            </w:tcBorders>
            <w:shd w:val="clear" w:color="auto" w:fill="auto"/>
          </w:tcPr>
          <w:p w14:paraId="388C91DC" w14:textId="77777777" w:rsidR="00454C34" w:rsidRDefault="00454C34">
            <w:pPr>
              <w:pStyle w:val="Contenutotabella"/>
              <w:jc w:val="left"/>
              <w:rPr>
                <w:sz w:val="18"/>
                <w:szCs w:val="18"/>
                <w:lang w:val="en-GB"/>
              </w:rPr>
            </w:pPr>
            <w:r>
              <w:rPr>
                <w:sz w:val="18"/>
                <w:szCs w:val="18"/>
                <w:lang w:val="en-GB"/>
              </w:rPr>
              <w:t xml:space="preserve">R&amp;D unit, </w:t>
            </w:r>
            <w:proofErr w:type="gramStart"/>
            <w:r>
              <w:rPr>
                <w:sz w:val="18"/>
                <w:szCs w:val="18"/>
                <w:lang w:val="en-GB"/>
              </w:rPr>
              <w:t>suppliers</w:t>
            </w:r>
            <w:proofErr w:type="gramEnd"/>
            <w:r>
              <w:rPr>
                <w:sz w:val="18"/>
                <w:szCs w:val="18"/>
                <w:lang w:val="en-GB"/>
              </w:rPr>
              <w:t xml:space="preserve"> and clients</w:t>
            </w:r>
          </w:p>
        </w:tc>
        <w:tc>
          <w:tcPr>
            <w:tcW w:w="2422" w:type="dxa"/>
            <w:tcBorders>
              <w:left w:val="single" w:sz="1" w:space="0" w:color="000000"/>
              <w:bottom w:val="single" w:sz="1" w:space="0" w:color="000000"/>
              <w:right w:val="single" w:sz="1" w:space="0" w:color="000000"/>
            </w:tcBorders>
            <w:shd w:val="clear" w:color="auto" w:fill="auto"/>
          </w:tcPr>
          <w:p w14:paraId="03C48236" w14:textId="77777777" w:rsidR="00454C34" w:rsidRDefault="00454C34">
            <w:pPr>
              <w:pStyle w:val="Contenutotabella"/>
              <w:jc w:val="left"/>
            </w:pPr>
            <w:r>
              <w:rPr>
                <w:sz w:val="18"/>
                <w:szCs w:val="18"/>
                <w:lang w:val="en-GB"/>
              </w:rPr>
              <w:t>Each player in the supply chain perceives innovation as a key factor for surviving in current highly competitive markets. Therefore, he actively participates in the OI.</w:t>
            </w:r>
          </w:p>
        </w:tc>
      </w:tr>
      <w:tr w:rsidR="00454C34" w14:paraId="31BD47FB" w14:textId="77777777">
        <w:tc>
          <w:tcPr>
            <w:tcW w:w="1273" w:type="dxa"/>
            <w:tcBorders>
              <w:left w:val="single" w:sz="1" w:space="0" w:color="000000"/>
              <w:bottom w:val="single" w:sz="1" w:space="0" w:color="000000"/>
            </w:tcBorders>
            <w:shd w:val="clear" w:color="auto" w:fill="auto"/>
          </w:tcPr>
          <w:p w14:paraId="0FD611F4" w14:textId="77777777" w:rsidR="00454C34" w:rsidRDefault="00454C34">
            <w:pPr>
              <w:pStyle w:val="Contenutotabella"/>
              <w:jc w:val="left"/>
              <w:rPr>
                <w:i/>
                <w:iCs/>
                <w:sz w:val="18"/>
                <w:szCs w:val="18"/>
                <w:lang w:val="en-GB"/>
              </w:rPr>
            </w:pPr>
            <w:r>
              <w:rPr>
                <w:b/>
                <w:bCs/>
                <w:sz w:val="18"/>
                <w:szCs w:val="18"/>
                <w:lang w:val="en-GB"/>
              </w:rPr>
              <w:t>Living Lab</w:t>
            </w:r>
          </w:p>
        </w:tc>
        <w:tc>
          <w:tcPr>
            <w:tcW w:w="1630" w:type="dxa"/>
            <w:tcBorders>
              <w:left w:val="single" w:sz="1" w:space="0" w:color="000000"/>
              <w:bottom w:val="single" w:sz="1" w:space="0" w:color="000000"/>
            </w:tcBorders>
            <w:shd w:val="clear" w:color="auto" w:fill="auto"/>
          </w:tcPr>
          <w:p w14:paraId="227B76BD" w14:textId="77777777" w:rsidR="00454C34" w:rsidRDefault="00454C34">
            <w:pPr>
              <w:pStyle w:val="Contenutotabella"/>
              <w:jc w:val="left"/>
              <w:rPr>
                <w:sz w:val="18"/>
                <w:szCs w:val="18"/>
                <w:lang w:val="en-GB"/>
              </w:rPr>
            </w:pPr>
            <w:r>
              <w:rPr>
                <w:i/>
                <w:iCs/>
                <w:sz w:val="18"/>
                <w:szCs w:val="18"/>
                <w:lang w:val="en-GB"/>
              </w:rPr>
              <w:t xml:space="preserve">“Organizing information integration in </w:t>
            </w:r>
            <w:proofErr w:type="spellStart"/>
            <w:r>
              <w:rPr>
                <w:i/>
                <w:iCs/>
                <w:sz w:val="18"/>
                <w:szCs w:val="18"/>
                <w:lang w:val="en-GB"/>
              </w:rPr>
              <w:t>agrifood</w:t>
            </w:r>
            <w:proofErr w:type="spellEnd"/>
            <w:r>
              <w:rPr>
                <w:i/>
                <w:iCs/>
                <w:sz w:val="18"/>
                <w:szCs w:val="18"/>
                <w:lang w:val="en-GB"/>
              </w:rPr>
              <w:t xml:space="preserve">. A method based on a service-oriented architecture and living lab approach” </w:t>
            </w:r>
          </w:p>
        </w:tc>
        <w:tc>
          <w:tcPr>
            <w:tcW w:w="498" w:type="dxa"/>
            <w:tcBorders>
              <w:left w:val="single" w:sz="1" w:space="0" w:color="000000"/>
              <w:bottom w:val="single" w:sz="1" w:space="0" w:color="000000"/>
            </w:tcBorders>
            <w:shd w:val="clear" w:color="auto" w:fill="auto"/>
          </w:tcPr>
          <w:p w14:paraId="7586F3DE" w14:textId="77777777" w:rsidR="00454C34" w:rsidRDefault="00454C34">
            <w:pPr>
              <w:pStyle w:val="Contenutotabella"/>
              <w:jc w:val="left"/>
              <w:rPr>
                <w:sz w:val="18"/>
                <w:szCs w:val="18"/>
                <w:lang w:val="en-GB"/>
              </w:rPr>
            </w:pPr>
            <w:r>
              <w:rPr>
                <w:sz w:val="18"/>
                <w:szCs w:val="18"/>
                <w:lang w:val="en-GB"/>
              </w:rPr>
              <w:t>2010</w:t>
            </w:r>
          </w:p>
        </w:tc>
        <w:tc>
          <w:tcPr>
            <w:tcW w:w="1230" w:type="dxa"/>
            <w:tcBorders>
              <w:left w:val="single" w:sz="1" w:space="0" w:color="000000"/>
              <w:bottom w:val="single" w:sz="1" w:space="0" w:color="000000"/>
            </w:tcBorders>
            <w:shd w:val="clear" w:color="auto" w:fill="auto"/>
          </w:tcPr>
          <w:p w14:paraId="5546893A" w14:textId="77777777" w:rsidR="00454C34" w:rsidRDefault="00454C34">
            <w:pPr>
              <w:pStyle w:val="Contenutotabella"/>
              <w:jc w:val="left"/>
              <w:rPr>
                <w:sz w:val="18"/>
                <w:szCs w:val="18"/>
                <w:lang w:val="en-GB"/>
              </w:rPr>
            </w:pPr>
            <w:proofErr w:type="spellStart"/>
            <w:r>
              <w:rPr>
                <w:sz w:val="18"/>
                <w:szCs w:val="18"/>
                <w:lang w:val="en-GB"/>
              </w:rPr>
              <w:t>Wolfert</w:t>
            </w:r>
            <w:proofErr w:type="spellEnd"/>
            <w:r>
              <w:rPr>
                <w:sz w:val="18"/>
                <w:szCs w:val="18"/>
                <w:lang w:val="en-GB"/>
              </w:rPr>
              <w:t xml:space="preserve"> et al. </w:t>
            </w:r>
          </w:p>
        </w:tc>
        <w:tc>
          <w:tcPr>
            <w:tcW w:w="1291" w:type="dxa"/>
            <w:tcBorders>
              <w:left w:val="single" w:sz="1" w:space="0" w:color="000000"/>
              <w:bottom w:val="single" w:sz="1" w:space="0" w:color="000000"/>
            </w:tcBorders>
            <w:shd w:val="clear" w:color="auto" w:fill="auto"/>
          </w:tcPr>
          <w:p w14:paraId="0E0B6066" w14:textId="77777777" w:rsidR="00454C34" w:rsidRDefault="00454C34">
            <w:pPr>
              <w:pStyle w:val="Contenutotabella"/>
              <w:jc w:val="left"/>
              <w:rPr>
                <w:sz w:val="18"/>
                <w:szCs w:val="18"/>
                <w:lang w:val="en-GB"/>
              </w:rPr>
            </w:pPr>
            <w:r>
              <w:rPr>
                <w:sz w:val="18"/>
                <w:szCs w:val="18"/>
                <w:lang w:val="en-GB"/>
              </w:rPr>
              <w:t xml:space="preserve">Design-oriented case study </w:t>
            </w:r>
          </w:p>
        </w:tc>
        <w:tc>
          <w:tcPr>
            <w:tcW w:w="3077" w:type="dxa"/>
            <w:tcBorders>
              <w:left w:val="single" w:sz="1" w:space="0" w:color="000000"/>
              <w:bottom w:val="single" w:sz="1" w:space="0" w:color="000000"/>
            </w:tcBorders>
            <w:shd w:val="clear" w:color="auto" w:fill="auto"/>
          </w:tcPr>
          <w:p w14:paraId="657DD2DD" w14:textId="77777777" w:rsidR="00454C34" w:rsidRDefault="00454C34">
            <w:pPr>
              <w:pStyle w:val="Contenutotabella"/>
              <w:jc w:val="left"/>
              <w:rPr>
                <w:sz w:val="18"/>
                <w:szCs w:val="18"/>
                <w:lang w:val="en-GB"/>
              </w:rPr>
            </w:pPr>
            <w:r>
              <w:rPr>
                <w:sz w:val="18"/>
                <w:szCs w:val="18"/>
                <w:lang w:val="en-GB"/>
              </w:rPr>
              <w:t xml:space="preserve">Develop a new method </w:t>
            </w:r>
            <w:proofErr w:type="gramStart"/>
            <w:r>
              <w:rPr>
                <w:sz w:val="18"/>
                <w:szCs w:val="18"/>
                <w:lang w:val="en-GB"/>
              </w:rPr>
              <w:t>in order to</w:t>
            </w:r>
            <w:proofErr w:type="gramEnd"/>
            <w:r>
              <w:rPr>
                <w:sz w:val="18"/>
                <w:szCs w:val="18"/>
                <w:lang w:val="en-GB"/>
              </w:rPr>
              <w:t xml:space="preserve"> organize information integration in the agri-food sector. This will happen through a structure that drives the project towards implementation. </w:t>
            </w:r>
          </w:p>
        </w:tc>
        <w:tc>
          <w:tcPr>
            <w:tcW w:w="1039" w:type="dxa"/>
            <w:tcBorders>
              <w:left w:val="single" w:sz="1" w:space="0" w:color="000000"/>
              <w:bottom w:val="single" w:sz="1" w:space="0" w:color="000000"/>
            </w:tcBorders>
            <w:shd w:val="clear" w:color="auto" w:fill="auto"/>
          </w:tcPr>
          <w:p w14:paraId="270F4FC3" w14:textId="77777777" w:rsidR="00454C34" w:rsidRDefault="00454C34">
            <w:pPr>
              <w:pStyle w:val="Contenutotabella"/>
              <w:jc w:val="left"/>
              <w:rPr>
                <w:sz w:val="18"/>
                <w:szCs w:val="18"/>
                <w:lang w:val="en-GB"/>
              </w:rPr>
            </w:pPr>
            <w:r>
              <w:rPr>
                <w:sz w:val="18"/>
                <w:szCs w:val="18"/>
                <w:lang w:val="en-GB"/>
              </w:rPr>
              <w:t>12 large agricultural Dutch farms</w:t>
            </w:r>
          </w:p>
        </w:tc>
        <w:tc>
          <w:tcPr>
            <w:tcW w:w="1081" w:type="dxa"/>
            <w:tcBorders>
              <w:left w:val="single" w:sz="1" w:space="0" w:color="000000"/>
              <w:bottom w:val="single" w:sz="1" w:space="0" w:color="000000"/>
            </w:tcBorders>
            <w:shd w:val="clear" w:color="auto" w:fill="auto"/>
          </w:tcPr>
          <w:p w14:paraId="1173BFC3" w14:textId="77777777" w:rsidR="00454C34" w:rsidRDefault="00454C34">
            <w:pPr>
              <w:pStyle w:val="Contenutotabella"/>
              <w:jc w:val="left"/>
              <w:rPr>
                <w:sz w:val="18"/>
                <w:szCs w:val="18"/>
                <w:lang w:val="en-GB"/>
              </w:rPr>
            </w:pPr>
            <w:r>
              <w:rPr>
                <w:sz w:val="18"/>
                <w:szCs w:val="18"/>
                <w:lang w:val="en-GB"/>
              </w:rPr>
              <w:t xml:space="preserve">Innovation process </w:t>
            </w:r>
          </w:p>
        </w:tc>
        <w:tc>
          <w:tcPr>
            <w:tcW w:w="1029" w:type="dxa"/>
            <w:tcBorders>
              <w:left w:val="single" w:sz="1" w:space="0" w:color="000000"/>
              <w:bottom w:val="single" w:sz="1" w:space="0" w:color="000000"/>
            </w:tcBorders>
            <w:shd w:val="clear" w:color="auto" w:fill="auto"/>
          </w:tcPr>
          <w:p w14:paraId="2090601A" w14:textId="77777777" w:rsidR="00454C34" w:rsidRDefault="00454C34">
            <w:pPr>
              <w:pStyle w:val="Contenutotabella"/>
              <w:jc w:val="left"/>
              <w:rPr>
                <w:sz w:val="18"/>
                <w:szCs w:val="18"/>
                <w:lang w:val="en-GB"/>
              </w:rPr>
            </w:pPr>
            <w:r>
              <w:rPr>
                <w:sz w:val="18"/>
                <w:szCs w:val="18"/>
                <w:lang w:val="en-GB"/>
              </w:rPr>
              <w:t>Farmer, supplier, retailer, customer</w:t>
            </w:r>
          </w:p>
        </w:tc>
        <w:tc>
          <w:tcPr>
            <w:tcW w:w="2422" w:type="dxa"/>
            <w:tcBorders>
              <w:left w:val="single" w:sz="1" w:space="0" w:color="000000"/>
              <w:bottom w:val="single" w:sz="1" w:space="0" w:color="000000"/>
              <w:right w:val="single" w:sz="1" w:space="0" w:color="000000"/>
            </w:tcBorders>
            <w:shd w:val="clear" w:color="auto" w:fill="auto"/>
          </w:tcPr>
          <w:p w14:paraId="5DC38B21" w14:textId="77777777" w:rsidR="00454C34" w:rsidRDefault="00454C34">
            <w:pPr>
              <w:pStyle w:val="Contenutotabella"/>
              <w:jc w:val="left"/>
            </w:pPr>
            <w:r>
              <w:rPr>
                <w:sz w:val="18"/>
                <w:szCs w:val="18"/>
                <w:lang w:val="en-GB"/>
              </w:rPr>
              <w:t>Important success factors are incremental growth approaches and service-oriented approaches towards processes rather than software</w:t>
            </w:r>
            <w:r w:rsidR="00BB4ED4">
              <w:rPr>
                <w:sz w:val="18"/>
                <w:szCs w:val="18"/>
                <w:lang w:val="en-GB"/>
              </w:rPr>
              <w:t>.</w:t>
            </w:r>
          </w:p>
        </w:tc>
      </w:tr>
      <w:tr w:rsidR="00454C34" w14:paraId="6DC0F27F" w14:textId="77777777">
        <w:tc>
          <w:tcPr>
            <w:tcW w:w="1273" w:type="dxa"/>
            <w:tcBorders>
              <w:left w:val="single" w:sz="1" w:space="0" w:color="000000"/>
              <w:bottom w:val="single" w:sz="1" w:space="0" w:color="000000"/>
            </w:tcBorders>
            <w:shd w:val="clear" w:color="auto" w:fill="auto"/>
          </w:tcPr>
          <w:p w14:paraId="457F3D9A" w14:textId="77777777" w:rsidR="00454C34" w:rsidRDefault="00454C34">
            <w:pPr>
              <w:pStyle w:val="Contenutotabella"/>
              <w:jc w:val="left"/>
              <w:rPr>
                <w:i/>
                <w:iCs/>
                <w:sz w:val="18"/>
                <w:szCs w:val="18"/>
                <w:lang w:val="en-GB"/>
              </w:rPr>
            </w:pPr>
            <w:r>
              <w:rPr>
                <w:b/>
                <w:bCs/>
                <w:sz w:val="18"/>
                <w:szCs w:val="18"/>
                <w:lang w:val="en-GB"/>
              </w:rPr>
              <w:lastRenderedPageBreak/>
              <w:t>Want Find Get Manage (WFGM)</w:t>
            </w:r>
          </w:p>
        </w:tc>
        <w:tc>
          <w:tcPr>
            <w:tcW w:w="1630" w:type="dxa"/>
            <w:tcBorders>
              <w:left w:val="single" w:sz="1" w:space="0" w:color="000000"/>
              <w:bottom w:val="single" w:sz="1" w:space="0" w:color="000000"/>
            </w:tcBorders>
            <w:shd w:val="clear" w:color="auto" w:fill="auto"/>
          </w:tcPr>
          <w:p w14:paraId="3D6B197B" w14:textId="77777777" w:rsidR="00454C34" w:rsidRDefault="00454C34">
            <w:pPr>
              <w:pStyle w:val="Contenutotabella"/>
              <w:jc w:val="left"/>
              <w:rPr>
                <w:i/>
                <w:iCs/>
                <w:sz w:val="18"/>
                <w:szCs w:val="18"/>
                <w:lang w:val="en-GB"/>
              </w:rPr>
            </w:pPr>
            <w:r>
              <w:rPr>
                <w:i/>
                <w:iCs/>
                <w:sz w:val="18"/>
                <w:szCs w:val="18"/>
                <w:lang w:val="en-GB"/>
              </w:rPr>
              <w:t xml:space="preserve">“The ‘want </w:t>
            </w:r>
            <w:proofErr w:type="gramStart"/>
            <w:r>
              <w:rPr>
                <w:i/>
                <w:iCs/>
                <w:sz w:val="18"/>
                <w:szCs w:val="18"/>
                <w:lang w:val="en-GB"/>
              </w:rPr>
              <w:t>find</w:t>
            </w:r>
            <w:proofErr w:type="gramEnd"/>
            <w:r>
              <w:rPr>
                <w:i/>
                <w:iCs/>
                <w:sz w:val="18"/>
                <w:szCs w:val="18"/>
                <w:lang w:val="en-GB"/>
              </w:rPr>
              <w:t xml:space="preserve"> get manage’ (WFGM) framework for open-innovation</w:t>
            </w:r>
          </w:p>
          <w:p w14:paraId="50BD6A09" w14:textId="77777777" w:rsidR="00454C34" w:rsidRDefault="00454C34">
            <w:pPr>
              <w:pStyle w:val="Contenutotabella"/>
              <w:jc w:val="left"/>
              <w:rPr>
                <w:sz w:val="18"/>
                <w:szCs w:val="18"/>
                <w:lang w:val="en-GB"/>
              </w:rPr>
            </w:pPr>
            <w:r>
              <w:rPr>
                <w:i/>
                <w:iCs/>
                <w:sz w:val="18"/>
                <w:szCs w:val="18"/>
                <w:lang w:val="en-GB"/>
              </w:rPr>
              <w:t>management and its use by Mars, Incorporated”</w:t>
            </w:r>
          </w:p>
        </w:tc>
        <w:tc>
          <w:tcPr>
            <w:tcW w:w="498" w:type="dxa"/>
            <w:tcBorders>
              <w:left w:val="single" w:sz="1" w:space="0" w:color="000000"/>
              <w:bottom w:val="single" w:sz="1" w:space="0" w:color="000000"/>
            </w:tcBorders>
            <w:shd w:val="clear" w:color="auto" w:fill="auto"/>
          </w:tcPr>
          <w:p w14:paraId="0D99B9C2" w14:textId="77777777" w:rsidR="00454C34" w:rsidRDefault="00454C34">
            <w:pPr>
              <w:pStyle w:val="Contenutotabella"/>
              <w:jc w:val="left"/>
              <w:rPr>
                <w:sz w:val="18"/>
                <w:szCs w:val="18"/>
                <w:lang w:val="en-GB"/>
              </w:rPr>
            </w:pPr>
            <w:r>
              <w:rPr>
                <w:sz w:val="18"/>
                <w:szCs w:val="18"/>
                <w:lang w:val="en-GB"/>
              </w:rPr>
              <w:t>2013</w:t>
            </w:r>
          </w:p>
        </w:tc>
        <w:tc>
          <w:tcPr>
            <w:tcW w:w="1230" w:type="dxa"/>
            <w:tcBorders>
              <w:left w:val="single" w:sz="1" w:space="0" w:color="000000"/>
              <w:bottom w:val="single" w:sz="1" w:space="0" w:color="000000"/>
            </w:tcBorders>
            <w:shd w:val="clear" w:color="auto" w:fill="auto"/>
          </w:tcPr>
          <w:p w14:paraId="5D77FCD3" w14:textId="77777777" w:rsidR="00454C34" w:rsidRDefault="00454C34">
            <w:pPr>
              <w:pStyle w:val="Contenutotabella"/>
              <w:jc w:val="left"/>
              <w:rPr>
                <w:sz w:val="18"/>
                <w:szCs w:val="18"/>
                <w:lang w:val="en-GB"/>
              </w:rPr>
            </w:pPr>
            <w:r>
              <w:rPr>
                <w:sz w:val="18"/>
                <w:szCs w:val="18"/>
                <w:lang w:val="en-GB"/>
              </w:rPr>
              <w:t>Garcia Martinez</w:t>
            </w:r>
          </w:p>
        </w:tc>
        <w:tc>
          <w:tcPr>
            <w:tcW w:w="1291" w:type="dxa"/>
            <w:tcBorders>
              <w:left w:val="single" w:sz="1" w:space="0" w:color="000000"/>
              <w:bottom w:val="single" w:sz="1" w:space="0" w:color="000000"/>
            </w:tcBorders>
            <w:shd w:val="clear" w:color="auto" w:fill="auto"/>
          </w:tcPr>
          <w:p w14:paraId="5F2B1114" w14:textId="77777777" w:rsidR="00454C34" w:rsidRDefault="00454C34">
            <w:pPr>
              <w:pStyle w:val="Contenutotabella"/>
              <w:jc w:val="left"/>
              <w:rPr>
                <w:sz w:val="18"/>
                <w:szCs w:val="18"/>
                <w:lang w:val="en-GB"/>
              </w:rPr>
            </w:pPr>
            <w:r>
              <w:rPr>
                <w:sz w:val="18"/>
                <w:szCs w:val="18"/>
                <w:lang w:val="en-GB"/>
              </w:rPr>
              <w:t xml:space="preserve">Application of </w:t>
            </w:r>
            <w:proofErr w:type="spellStart"/>
            <w:r>
              <w:rPr>
                <w:sz w:val="18"/>
                <w:szCs w:val="18"/>
                <w:lang w:val="en-GB"/>
              </w:rPr>
              <w:t>Slowinski's</w:t>
            </w:r>
            <w:proofErr w:type="spellEnd"/>
            <w:r>
              <w:rPr>
                <w:sz w:val="18"/>
                <w:szCs w:val="18"/>
                <w:lang w:val="en-GB"/>
              </w:rPr>
              <w:t xml:space="preserve"> general model (2004).</w:t>
            </w:r>
          </w:p>
        </w:tc>
        <w:tc>
          <w:tcPr>
            <w:tcW w:w="3077" w:type="dxa"/>
            <w:tcBorders>
              <w:left w:val="single" w:sz="1" w:space="0" w:color="000000"/>
              <w:bottom w:val="single" w:sz="1" w:space="0" w:color="000000"/>
            </w:tcBorders>
            <w:shd w:val="clear" w:color="auto" w:fill="auto"/>
          </w:tcPr>
          <w:p w14:paraId="123B11B9" w14:textId="77777777" w:rsidR="00454C34" w:rsidRDefault="00454C34">
            <w:pPr>
              <w:pStyle w:val="Contenutotabella"/>
              <w:jc w:val="left"/>
              <w:rPr>
                <w:sz w:val="18"/>
                <w:szCs w:val="18"/>
                <w:lang w:val="en-GB"/>
              </w:rPr>
            </w:pPr>
            <w:r>
              <w:rPr>
                <w:sz w:val="18"/>
                <w:szCs w:val="18"/>
                <w:lang w:val="en-GB"/>
              </w:rPr>
              <w:t xml:space="preserve">Helping companies to effectively implement open innovation strategies. Specifically, the model helps the company to find the best existing technology. If that technology is external to the firm, the model </w:t>
            </w:r>
            <w:proofErr w:type="gramStart"/>
            <w:r>
              <w:rPr>
                <w:sz w:val="18"/>
                <w:szCs w:val="18"/>
                <w:lang w:val="en-GB"/>
              </w:rPr>
              <w:t>suggest</w:t>
            </w:r>
            <w:proofErr w:type="gramEnd"/>
            <w:r>
              <w:rPr>
                <w:sz w:val="18"/>
                <w:szCs w:val="18"/>
                <w:lang w:val="en-GB"/>
              </w:rPr>
              <w:t xml:space="preserve"> to internalize it.</w:t>
            </w:r>
          </w:p>
        </w:tc>
        <w:tc>
          <w:tcPr>
            <w:tcW w:w="1039" w:type="dxa"/>
            <w:tcBorders>
              <w:left w:val="single" w:sz="1" w:space="0" w:color="000000"/>
              <w:bottom w:val="single" w:sz="1" w:space="0" w:color="000000"/>
            </w:tcBorders>
            <w:shd w:val="clear" w:color="auto" w:fill="auto"/>
          </w:tcPr>
          <w:p w14:paraId="7F23976E" w14:textId="77777777" w:rsidR="00454C34" w:rsidRDefault="00454C34">
            <w:pPr>
              <w:pStyle w:val="Contenutotabella"/>
              <w:jc w:val="left"/>
              <w:rPr>
                <w:sz w:val="18"/>
                <w:szCs w:val="18"/>
                <w:lang w:val="en-GB"/>
              </w:rPr>
            </w:pPr>
            <w:r>
              <w:rPr>
                <w:sz w:val="18"/>
                <w:szCs w:val="18"/>
                <w:lang w:val="en-GB"/>
              </w:rPr>
              <w:t>Mars, Incorporated</w:t>
            </w:r>
          </w:p>
        </w:tc>
        <w:tc>
          <w:tcPr>
            <w:tcW w:w="1081" w:type="dxa"/>
            <w:tcBorders>
              <w:left w:val="single" w:sz="1" w:space="0" w:color="000000"/>
              <w:bottom w:val="single" w:sz="1" w:space="0" w:color="000000"/>
            </w:tcBorders>
            <w:shd w:val="clear" w:color="auto" w:fill="auto"/>
          </w:tcPr>
          <w:p w14:paraId="13756421" w14:textId="77777777" w:rsidR="00454C34" w:rsidRDefault="00454C34">
            <w:pPr>
              <w:pStyle w:val="Contenutotabella"/>
              <w:jc w:val="left"/>
              <w:rPr>
                <w:sz w:val="18"/>
                <w:szCs w:val="18"/>
                <w:lang w:val="en-GB"/>
              </w:rPr>
            </w:pPr>
            <w:r>
              <w:rPr>
                <w:sz w:val="18"/>
                <w:szCs w:val="18"/>
                <w:lang w:val="en-GB"/>
              </w:rPr>
              <w:t>Technology</w:t>
            </w:r>
          </w:p>
        </w:tc>
        <w:tc>
          <w:tcPr>
            <w:tcW w:w="1029" w:type="dxa"/>
            <w:tcBorders>
              <w:left w:val="single" w:sz="1" w:space="0" w:color="000000"/>
              <w:bottom w:val="single" w:sz="1" w:space="0" w:color="000000"/>
            </w:tcBorders>
            <w:shd w:val="clear" w:color="auto" w:fill="auto"/>
          </w:tcPr>
          <w:p w14:paraId="198F018F" w14:textId="77777777" w:rsidR="00454C34" w:rsidRDefault="00454C34">
            <w:pPr>
              <w:pStyle w:val="Contenutotabella"/>
              <w:jc w:val="left"/>
              <w:rPr>
                <w:sz w:val="18"/>
                <w:szCs w:val="18"/>
                <w:lang w:val="en-GB"/>
              </w:rPr>
            </w:pPr>
            <w:r>
              <w:rPr>
                <w:sz w:val="18"/>
                <w:szCs w:val="18"/>
                <w:lang w:val="en-GB"/>
              </w:rPr>
              <w:t>Open innovation team</w:t>
            </w:r>
          </w:p>
        </w:tc>
        <w:tc>
          <w:tcPr>
            <w:tcW w:w="2422" w:type="dxa"/>
            <w:tcBorders>
              <w:left w:val="single" w:sz="1" w:space="0" w:color="000000"/>
              <w:bottom w:val="single" w:sz="1" w:space="0" w:color="000000"/>
              <w:right w:val="single" w:sz="1" w:space="0" w:color="000000"/>
            </w:tcBorders>
            <w:shd w:val="clear" w:color="auto" w:fill="auto"/>
          </w:tcPr>
          <w:p w14:paraId="1E3B8DF0" w14:textId="77777777" w:rsidR="00454C34" w:rsidRDefault="00454C34">
            <w:pPr>
              <w:pStyle w:val="Contenutotabella"/>
              <w:jc w:val="left"/>
            </w:pPr>
            <w:r>
              <w:rPr>
                <w:sz w:val="18"/>
                <w:szCs w:val="18"/>
                <w:lang w:val="en-GB"/>
              </w:rPr>
              <w:t>The model increased the collaborative projects successful rate. It happened because the teams respected the following process: defining the necessary resources, finding them outside the company, looking for potential partners to make a deal, managing the consequences of this agreement.</w:t>
            </w:r>
          </w:p>
        </w:tc>
      </w:tr>
      <w:tr w:rsidR="00454C34" w14:paraId="0E99191E" w14:textId="77777777">
        <w:tc>
          <w:tcPr>
            <w:tcW w:w="1273" w:type="dxa"/>
            <w:tcBorders>
              <w:left w:val="single" w:sz="1" w:space="0" w:color="000000"/>
              <w:bottom w:val="single" w:sz="1" w:space="0" w:color="000000"/>
            </w:tcBorders>
            <w:shd w:val="clear" w:color="auto" w:fill="auto"/>
          </w:tcPr>
          <w:p w14:paraId="1E23E8D3" w14:textId="77777777" w:rsidR="00454C34" w:rsidRDefault="00454C34">
            <w:pPr>
              <w:pStyle w:val="Contenutotabella"/>
              <w:jc w:val="left"/>
              <w:rPr>
                <w:i/>
                <w:iCs/>
                <w:sz w:val="18"/>
                <w:szCs w:val="18"/>
                <w:lang w:val="en-GB"/>
              </w:rPr>
            </w:pPr>
            <w:r>
              <w:rPr>
                <w:b/>
                <w:bCs/>
                <w:sz w:val="18"/>
                <w:szCs w:val="18"/>
                <w:lang w:val="en-GB"/>
              </w:rPr>
              <w:t>Controlled OI approach</w:t>
            </w:r>
          </w:p>
        </w:tc>
        <w:tc>
          <w:tcPr>
            <w:tcW w:w="1630" w:type="dxa"/>
            <w:tcBorders>
              <w:left w:val="single" w:sz="1" w:space="0" w:color="000000"/>
              <w:bottom w:val="single" w:sz="1" w:space="0" w:color="000000"/>
            </w:tcBorders>
            <w:shd w:val="clear" w:color="auto" w:fill="auto"/>
          </w:tcPr>
          <w:p w14:paraId="62A7B5B3" w14:textId="77777777" w:rsidR="00454C34" w:rsidRDefault="00454C34">
            <w:pPr>
              <w:pStyle w:val="Contenutotabella"/>
              <w:jc w:val="left"/>
              <w:rPr>
                <w:sz w:val="18"/>
                <w:szCs w:val="18"/>
                <w:lang w:val="en-GB"/>
              </w:rPr>
            </w:pPr>
            <w:r>
              <w:rPr>
                <w:i/>
                <w:iCs/>
                <w:sz w:val="18"/>
                <w:szCs w:val="18"/>
                <w:lang w:val="en-GB"/>
              </w:rPr>
              <w:t>“The tension between traditional innovation strategies and openness: Lindt’s controlled open innovation approach”</w:t>
            </w:r>
          </w:p>
        </w:tc>
        <w:tc>
          <w:tcPr>
            <w:tcW w:w="498" w:type="dxa"/>
            <w:tcBorders>
              <w:left w:val="single" w:sz="1" w:space="0" w:color="000000"/>
              <w:bottom w:val="single" w:sz="1" w:space="0" w:color="000000"/>
            </w:tcBorders>
            <w:shd w:val="clear" w:color="auto" w:fill="auto"/>
          </w:tcPr>
          <w:p w14:paraId="56F28611" w14:textId="77777777" w:rsidR="00454C34" w:rsidRDefault="00454C34">
            <w:pPr>
              <w:pStyle w:val="Contenutotabella"/>
              <w:jc w:val="left"/>
              <w:rPr>
                <w:sz w:val="18"/>
                <w:szCs w:val="18"/>
                <w:lang w:val="en-GB"/>
              </w:rPr>
            </w:pPr>
            <w:r>
              <w:rPr>
                <w:sz w:val="18"/>
                <w:szCs w:val="18"/>
                <w:lang w:val="en-GB"/>
              </w:rPr>
              <w:t>2013</w:t>
            </w:r>
          </w:p>
        </w:tc>
        <w:tc>
          <w:tcPr>
            <w:tcW w:w="1230" w:type="dxa"/>
            <w:tcBorders>
              <w:left w:val="single" w:sz="1" w:space="0" w:color="000000"/>
              <w:bottom w:val="single" w:sz="1" w:space="0" w:color="000000"/>
            </w:tcBorders>
            <w:shd w:val="clear" w:color="auto" w:fill="auto"/>
          </w:tcPr>
          <w:p w14:paraId="310E258D" w14:textId="77777777" w:rsidR="00454C34" w:rsidRDefault="00454C34">
            <w:pPr>
              <w:pStyle w:val="Contenutotabella"/>
              <w:jc w:val="left"/>
              <w:rPr>
                <w:sz w:val="18"/>
                <w:szCs w:val="18"/>
                <w:lang w:val="en-GB"/>
              </w:rPr>
            </w:pPr>
            <w:proofErr w:type="spellStart"/>
            <w:r>
              <w:rPr>
                <w:sz w:val="18"/>
                <w:szCs w:val="18"/>
                <w:lang w:val="en-GB"/>
              </w:rPr>
              <w:t>Lazzarotti</w:t>
            </w:r>
            <w:proofErr w:type="spellEnd"/>
            <w:r>
              <w:rPr>
                <w:sz w:val="18"/>
                <w:szCs w:val="18"/>
                <w:lang w:val="en-GB"/>
              </w:rPr>
              <w:t xml:space="preserve"> and Manzini </w:t>
            </w:r>
          </w:p>
        </w:tc>
        <w:tc>
          <w:tcPr>
            <w:tcW w:w="1291" w:type="dxa"/>
            <w:tcBorders>
              <w:left w:val="single" w:sz="1" w:space="0" w:color="000000"/>
              <w:bottom w:val="single" w:sz="1" w:space="0" w:color="000000"/>
            </w:tcBorders>
            <w:shd w:val="clear" w:color="auto" w:fill="auto"/>
          </w:tcPr>
          <w:p w14:paraId="06C350DE" w14:textId="77777777" w:rsidR="00454C34" w:rsidRDefault="00454C34">
            <w:pPr>
              <w:pStyle w:val="Contenutotabella"/>
              <w:jc w:val="left"/>
              <w:rPr>
                <w:sz w:val="18"/>
                <w:szCs w:val="18"/>
                <w:lang w:val="en-GB"/>
              </w:rPr>
            </w:pPr>
            <w:r>
              <w:rPr>
                <w:sz w:val="18"/>
                <w:szCs w:val="18"/>
                <w:lang w:val="en-GB"/>
              </w:rPr>
              <w:t>Case study with top management interviewed</w:t>
            </w:r>
          </w:p>
        </w:tc>
        <w:tc>
          <w:tcPr>
            <w:tcW w:w="3077" w:type="dxa"/>
            <w:tcBorders>
              <w:left w:val="single" w:sz="1" w:space="0" w:color="000000"/>
              <w:bottom w:val="single" w:sz="1" w:space="0" w:color="000000"/>
            </w:tcBorders>
            <w:shd w:val="clear" w:color="auto" w:fill="auto"/>
          </w:tcPr>
          <w:p w14:paraId="0E02026F" w14:textId="77777777" w:rsidR="00454C34" w:rsidRDefault="00454C34">
            <w:pPr>
              <w:pStyle w:val="Contenutotabella"/>
              <w:jc w:val="left"/>
              <w:rPr>
                <w:sz w:val="18"/>
                <w:szCs w:val="18"/>
                <w:lang w:val="en-GB"/>
              </w:rPr>
            </w:pPr>
            <w:r>
              <w:rPr>
                <w:sz w:val="18"/>
                <w:szCs w:val="18"/>
                <w:lang w:val="en-GB"/>
              </w:rPr>
              <w:t xml:space="preserve">Identify the phases where the risk linked to the opening is low, and so exploiting the potential benefits through a technological </w:t>
            </w:r>
            <w:proofErr w:type="gramStart"/>
            <w:r>
              <w:rPr>
                <w:sz w:val="18"/>
                <w:szCs w:val="18"/>
                <w:lang w:val="en-GB"/>
              </w:rPr>
              <w:t>collaboration;</w:t>
            </w:r>
            <w:proofErr w:type="gramEnd"/>
          </w:p>
          <w:p w14:paraId="7E240F1F" w14:textId="77777777" w:rsidR="00454C34" w:rsidRDefault="00454C34">
            <w:pPr>
              <w:pStyle w:val="Contenutotabella"/>
              <w:jc w:val="left"/>
              <w:rPr>
                <w:sz w:val="18"/>
                <w:szCs w:val="18"/>
                <w:lang w:val="en-GB"/>
              </w:rPr>
            </w:pPr>
            <w:r>
              <w:rPr>
                <w:sz w:val="18"/>
                <w:szCs w:val="18"/>
                <w:lang w:val="en-GB"/>
              </w:rPr>
              <w:t>Identify potential partners, limiting openness only to those with whom it is possible to maintain a long-lasting relationship of trust.</w:t>
            </w:r>
          </w:p>
        </w:tc>
        <w:tc>
          <w:tcPr>
            <w:tcW w:w="1039" w:type="dxa"/>
            <w:tcBorders>
              <w:left w:val="single" w:sz="1" w:space="0" w:color="000000"/>
              <w:bottom w:val="single" w:sz="1" w:space="0" w:color="000000"/>
            </w:tcBorders>
            <w:shd w:val="clear" w:color="auto" w:fill="auto"/>
          </w:tcPr>
          <w:p w14:paraId="48651E4F" w14:textId="77777777" w:rsidR="00454C34" w:rsidRDefault="00454C34">
            <w:pPr>
              <w:pStyle w:val="Contenutotabella"/>
              <w:jc w:val="left"/>
              <w:rPr>
                <w:sz w:val="18"/>
                <w:szCs w:val="18"/>
                <w:lang w:val="en-GB"/>
              </w:rPr>
            </w:pPr>
            <w:r>
              <w:rPr>
                <w:sz w:val="18"/>
                <w:szCs w:val="18"/>
                <w:lang w:val="en-GB"/>
              </w:rPr>
              <w:t xml:space="preserve">Lindt &amp; </w:t>
            </w:r>
            <w:proofErr w:type="spellStart"/>
            <w:r>
              <w:rPr>
                <w:sz w:val="18"/>
                <w:szCs w:val="18"/>
                <w:lang w:val="en-GB"/>
              </w:rPr>
              <w:t>Sprüngli</w:t>
            </w:r>
            <w:proofErr w:type="spellEnd"/>
            <w:r>
              <w:rPr>
                <w:sz w:val="18"/>
                <w:szCs w:val="18"/>
                <w:lang w:val="en-GB"/>
              </w:rPr>
              <w:t xml:space="preserve"> </w:t>
            </w:r>
          </w:p>
          <w:p w14:paraId="6A4894E3" w14:textId="77777777" w:rsidR="00454C34" w:rsidRDefault="00454C34">
            <w:pPr>
              <w:pStyle w:val="Contenutotabella"/>
              <w:jc w:val="left"/>
              <w:rPr>
                <w:sz w:val="18"/>
                <w:szCs w:val="18"/>
                <w:lang w:val="en-GB"/>
              </w:rPr>
            </w:pPr>
            <w:proofErr w:type="spellStart"/>
            <w:r>
              <w:rPr>
                <w:sz w:val="18"/>
                <w:szCs w:val="18"/>
                <w:lang w:val="en-GB"/>
              </w:rPr>
              <w:t>Maitre</w:t>
            </w:r>
            <w:proofErr w:type="spellEnd"/>
            <w:r>
              <w:rPr>
                <w:sz w:val="18"/>
                <w:szCs w:val="18"/>
                <w:lang w:val="en-GB"/>
              </w:rPr>
              <w:t xml:space="preserve"> Chocolatier</w:t>
            </w:r>
          </w:p>
        </w:tc>
        <w:tc>
          <w:tcPr>
            <w:tcW w:w="1081" w:type="dxa"/>
            <w:tcBorders>
              <w:left w:val="single" w:sz="1" w:space="0" w:color="000000"/>
              <w:bottom w:val="single" w:sz="1" w:space="0" w:color="000000"/>
            </w:tcBorders>
            <w:shd w:val="clear" w:color="auto" w:fill="auto"/>
          </w:tcPr>
          <w:p w14:paraId="7D84C0A5" w14:textId="77777777" w:rsidR="00454C34" w:rsidRDefault="00454C34">
            <w:pPr>
              <w:pStyle w:val="Contenutotabella"/>
              <w:jc w:val="left"/>
              <w:rPr>
                <w:sz w:val="18"/>
                <w:szCs w:val="18"/>
                <w:lang w:val="en-GB"/>
              </w:rPr>
            </w:pPr>
            <w:r>
              <w:rPr>
                <w:sz w:val="18"/>
                <w:szCs w:val="18"/>
                <w:lang w:val="en-GB"/>
              </w:rPr>
              <w:t>Incremental innovation</w:t>
            </w:r>
          </w:p>
        </w:tc>
        <w:tc>
          <w:tcPr>
            <w:tcW w:w="1029" w:type="dxa"/>
            <w:tcBorders>
              <w:left w:val="single" w:sz="1" w:space="0" w:color="000000"/>
              <w:bottom w:val="single" w:sz="1" w:space="0" w:color="000000"/>
            </w:tcBorders>
            <w:shd w:val="clear" w:color="auto" w:fill="auto"/>
          </w:tcPr>
          <w:p w14:paraId="68DF87A1" w14:textId="77777777" w:rsidR="00454C34" w:rsidRDefault="00454C34">
            <w:pPr>
              <w:pStyle w:val="Contenutotabella"/>
              <w:jc w:val="left"/>
              <w:rPr>
                <w:sz w:val="18"/>
                <w:szCs w:val="18"/>
                <w:lang w:val="en-GB"/>
              </w:rPr>
            </w:pPr>
            <w:r>
              <w:rPr>
                <w:sz w:val="18"/>
                <w:szCs w:val="18"/>
                <w:lang w:val="en-GB"/>
              </w:rPr>
              <w:t>Marketing unit, R&amp;S, production, expert consumers</w:t>
            </w:r>
          </w:p>
        </w:tc>
        <w:tc>
          <w:tcPr>
            <w:tcW w:w="2422" w:type="dxa"/>
            <w:tcBorders>
              <w:left w:val="single" w:sz="1" w:space="0" w:color="000000"/>
              <w:bottom w:val="single" w:sz="1" w:space="0" w:color="000000"/>
              <w:right w:val="single" w:sz="1" w:space="0" w:color="000000"/>
            </w:tcBorders>
            <w:shd w:val="clear" w:color="auto" w:fill="auto"/>
          </w:tcPr>
          <w:p w14:paraId="626317E8" w14:textId="77777777" w:rsidR="00454C34" w:rsidRDefault="00454C34">
            <w:pPr>
              <w:pStyle w:val="Contenutotabella"/>
              <w:jc w:val="left"/>
            </w:pPr>
            <w:r>
              <w:rPr>
                <w:sz w:val="18"/>
                <w:szCs w:val="18"/>
                <w:lang w:val="en-GB"/>
              </w:rPr>
              <w:t>Model's adoption allows closed companies to exploit the potential advantages of open innovation without radically changing their business model.</w:t>
            </w:r>
          </w:p>
        </w:tc>
      </w:tr>
      <w:tr w:rsidR="00454C34" w14:paraId="215BEF1B" w14:textId="77777777">
        <w:tc>
          <w:tcPr>
            <w:tcW w:w="1273" w:type="dxa"/>
            <w:tcBorders>
              <w:left w:val="single" w:sz="1" w:space="0" w:color="000000"/>
              <w:bottom w:val="single" w:sz="1" w:space="0" w:color="000000"/>
            </w:tcBorders>
            <w:shd w:val="clear" w:color="auto" w:fill="auto"/>
          </w:tcPr>
          <w:p w14:paraId="226554B7" w14:textId="77777777" w:rsidR="00454C34" w:rsidRDefault="00454C34">
            <w:pPr>
              <w:pStyle w:val="Contenutotabella"/>
              <w:jc w:val="left"/>
              <w:rPr>
                <w:i/>
                <w:iCs/>
                <w:sz w:val="18"/>
                <w:szCs w:val="18"/>
                <w:lang w:val="en-GB"/>
              </w:rPr>
            </w:pPr>
            <w:r>
              <w:rPr>
                <w:b/>
                <w:bCs/>
                <w:sz w:val="18"/>
                <w:szCs w:val="18"/>
                <w:lang w:val="en-GB"/>
              </w:rPr>
              <w:t>Co-creation of value</w:t>
            </w:r>
          </w:p>
        </w:tc>
        <w:tc>
          <w:tcPr>
            <w:tcW w:w="1630" w:type="dxa"/>
            <w:tcBorders>
              <w:left w:val="single" w:sz="1" w:space="0" w:color="000000"/>
              <w:bottom w:val="single" w:sz="1" w:space="0" w:color="000000"/>
            </w:tcBorders>
            <w:shd w:val="clear" w:color="auto" w:fill="auto"/>
          </w:tcPr>
          <w:p w14:paraId="246FA887" w14:textId="77777777" w:rsidR="00454C34" w:rsidRDefault="00454C34">
            <w:pPr>
              <w:pStyle w:val="Contenutotabella"/>
              <w:jc w:val="left"/>
              <w:rPr>
                <w:sz w:val="18"/>
                <w:szCs w:val="18"/>
                <w:lang w:val="en-GB"/>
              </w:rPr>
            </w:pPr>
            <w:r>
              <w:rPr>
                <w:i/>
                <w:iCs/>
                <w:sz w:val="18"/>
                <w:szCs w:val="18"/>
                <w:lang w:val="en-GB"/>
              </w:rPr>
              <w:t>“Co-creation of value by open innovation: unlocking new sources of competitive advantage”</w:t>
            </w:r>
          </w:p>
        </w:tc>
        <w:tc>
          <w:tcPr>
            <w:tcW w:w="498" w:type="dxa"/>
            <w:tcBorders>
              <w:left w:val="single" w:sz="1" w:space="0" w:color="000000"/>
              <w:bottom w:val="single" w:sz="1" w:space="0" w:color="000000"/>
            </w:tcBorders>
            <w:shd w:val="clear" w:color="auto" w:fill="auto"/>
          </w:tcPr>
          <w:p w14:paraId="6AA117C9" w14:textId="77777777" w:rsidR="00454C34" w:rsidRDefault="00454C34">
            <w:pPr>
              <w:pStyle w:val="Contenutotabella"/>
              <w:jc w:val="left"/>
              <w:rPr>
                <w:sz w:val="18"/>
                <w:szCs w:val="18"/>
                <w:lang w:val="en-GB"/>
              </w:rPr>
            </w:pPr>
            <w:r>
              <w:rPr>
                <w:sz w:val="18"/>
                <w:szCs w:val="18"/>
                <w:lang w:val="en-GB"/>
              </w:rPr>
              <w:t>2014</w:t>
            </w:r>
          </w:p>
        </w:tc>
        <w:tc>
          <w:tcPr>
            <w:tcW w:w="1230" w:type="dxa"/>
            <w:tcBorders>
              <w:left w:val="single" w:sz="1" w:space="0" w:color="000000"/>
              <w:bottom w:val="single" w:sz="1" w:space="0" w:color="000000"/>
            </w:tcBorders>
            <w:shd w:val="clear" w:color="auto" w:fill="auto"/>
          </w:tcPr>
          <w:p w14:paraId="411A6491" w14:textId="77777777" w:rsidR="00454C34" w:rsidRDefault="00454C34">
            <w:pPr>
              <w:pStyle w:val="Contenutotabella"/>
              <w:jc w:val="left"/>
              <w:rPr>
                <w:sz w:val="18"/>
                <w:szCs w:val="18"/>
                <w:lang w:val="en-GB"/>
              </w:rPr>
            </w:pPr>
            <w:r>
              <w:rPr>
                <w:sz w:val="18"/>
                <w:szCs w:val="18"/>
                <w:lang w:val="en-GB"/>
              </w:rPr>
              <w:t xml:space="preserve">Garcia Martinez </w:t>
            </w:r>
          </w:p>
        </w:tc>
        <w:tc>
          <w:tcPr>
            <w:tcW w:w="1291" w:type="dxa"/>
            <w:tcBorders>
              <w:left w:val="single" w:sz="1" w:space="0" w:color="000000"/>
              <w:bottom w:val="single" w:sz="1" w:space="0" w:color="000000"/>
            </w:tcBorders>
            <w:shd w:val="clear" w:color="auto" w:fill="auto"/>
          </w:tcPr>
          <w:p w14:paraId="2C90F3C1" w14:textId="77777777" w:rsidR="00454C34" w:rsidRDefault="00454C34">
            <w:pPr>
              <w:pStyle w:val="Contenutotabella"/>
              <w:jc w:val="left"/>
              <w:rPr>
                <w:sz w:val="18"/>
                <w:szCs w:val="18"/>
                <w:lang w:val="en-GB"/>
              </w:rPr>
            </w:pPr>
            <w:r>
              <w:rPr>
                <w:sz w:val="18"/>
                <w:szCs w:val="18"/>
                <w:lang w:val="en-GB"/>
              </w:rPr>
              <w:t xml:space="preserve">Case study with interviews </w:t>
            </w:r>
          </w:p>
        </w:tc>
        <w:tc>
          <w:tcPr>
            <w:tcW w:w="3077" w:type="dxa"/>
            <w:tcBorders>
              <w:left w:val="single" w:sz="1" w:space="0" w:color="000000"/>
              <w:bottom w:val="single" w:sz="1" w:space="0" w:color="000000"/>
            </w:tcBorders>
            <w:shd w:val="clear" w:color="auto" w:fill="auto"/>
          </w:tcPr>
          <w:p w14:paraId="4FE40E3A" w14:textId="77777777" w:rsidR="00454C34" w:rsidRDefault="00454C34">
            <w:pPr>
              <w:pStyle w:val="Contenutotabella"/>
              <w:jc w:val="left"/>
              <w:rPr>
                <w:sz w:val="18"/>
                <w:szCs w:val="18"/>
                <w:lang w:val="en-GB"/>
              </w:rPr>
            </w:pPr>
            <w:r>
              <w:rPr>
                <w:sz w:val="18"/>
                <w:szCs w:val="18"/>
                <w:lang w:val="en-GB"/>
              </w:rPr>
              <w:t>Examine the joint process of co-creation. In this process consumers play an active role within an OI-oriented corporate strategy.</w:t>
            </w:r>
          </w:p>
        </w:tc>
        <w:tc>
          <w:tcPr>
            <w:tcW w:w="1039" w:type="dxa"/>
            <w:tcBorders>
              <w:left w:val="single" w:sz="1" w:space="0" w:color="000000"/>
              <w:bottom w:val="single" w:sz="1" w:space="0" w:color="000000"/>
            </w:tcBorders>
            <w:shd w:val="clear" w:color="auto" w:fill="auto"/>
          </w:tcPr>
          <w:p w14:paraId="7B029C1C" w14:textId="77777777" w:rsidR="00454C34" w:rsidRDefault="00454C34">
            <w:pPr>
              <w:pStyle w:val="Contenutotabella"/>
              <w:jc w:val="left"/>
              <w:rPr>
                <w:sz w:val="18"/>
                <w:szCs w:val="18"/>
                <w:lang w:val="en-GB"/>
              </w:rPr>
            </w:pPr>
            <w:r>
              <w:rPr>
                <w:sz w:val="18"/>
                <w:szCs w:val="18"/>
                <w:lang w:val="en-GB"/>
              </w:rPr>
              <w:t>Molson Coors, UK brewing company</w:t>
            </w:r>
          </w:p>
        </w:tc>
        <w:tc>
          <w:tcPr>
            <w:tcW w:w="1081" w:type="dxa"/>
            <w:tcBorders>
              <w:left w:val="single" w:sz="1" w:space="0" w:color="000000"/>
              <w:bottom w:val="single" w:sz="1" w:space="0" w:color="000000"/>
            </w:tcBorders>
            <w:shd w:val="clear" w:color="auto" w:fill="auto"/>
          </w:tcPr>
          <w:p w14:paraId="2E2BE498" w14:textId="77777777" w:rsidR="00454C34" w:rsidRDefault="00454C34">
            <w:pPr>
              <w:pStyle w:val="Contenutotabella"/>
              <w:jc w:val="left"/>
              <w:rPr>
                <w:sz w:val="18"/>
                <w:szCs w:val="18"/>
                <w:lang w:val="en-GB"/>
              </w:rPr>
            </w:pPr>
            <w:r>
              <w:rPr>
                <w:sz w:val="18"/>
                <w:szCs w:val="18"/>
                <w:lang w:val="en-GB"/>
              </w:rPr>
              <w:t>Innovation process</w:t>
            </w:r>
          </w:p>
        </w:tc>
        <w:tc>
          <w:tcPr>
            <w:tcW w:w="1029" w:type="dxa"/>
            <w:tcBorders>
              <w:left w:val="single" w:sz="1" w:space="0" w:color="000000"/>
              <w:bottom w:val="single" w:sz="1" w:space="0" w:color="000000"/>
            </w:tcBorders>
            <w:shd w:val="clear" w:color="auto" w:fill="auto"/>
          </w:tcPr>
          <w:p w14:paraId="64ED6FF6" w14:textId="77777777" w:rsidR="00454C34" w:rsidRDefault="00454C34">
            <w:pPr>
              <w:pStyle w:val="Contenutotabella"/>
              <w:jc w:val="left"/>
              <w:rPr>
                <w:sz w:val="18"/>
                <w:szCs w:val="18"/>
                <w:lang w:val="en-GB"/>
              </w:rPr>
            </w:pPr>
            <w:r>
              <w:rPr>
                <w:sz w:val="18"/>
                <w:szCs w:val="18"/>
                <w:lang w:val="en-GB"/>
              </w:rPr>
              <w:t>Sales unit, production, provision</w:t>
            </w:r>
          </w:p>
        </w:tc>
        <w:tc>
          <w:tcPr>
            <w:tcW w:w="2422" w:type="dxa"/>
            <w:tcBorders>
              <w:left w:val="single" w:sz="1" w:space="0" w:color="000000"/>
              <w:bottom w:val="single" w:sz="1" w:space="0" w:color="000000"/>
              <w:right w:val="single" w:sz="1" w:space="0" w:color="000000"/>
            </w:tcBorders>
            <w:shd w:val="clear" w:color="auto" w:fill="auto"/>
          </w:tcPr>
          <w:p w14:paraId="03ED1AEB" w14:textId="77777777" w:rsidR="00454C34" w:rsidRDefault="00454C34">
            <w:pPr>
              <w:pStyle w:val="Contenutotabella"/>
              <w:jc w:val="left"/>
              <w:rPr>
                <w:sz w:val="18"/>
                <w:szCs w:val="18"/>
                <w:lang w:val="en-GB"/>
              </w:rPr>
            </w:pPr>
            <w:r>
              <w:rPr>
                <w:sz w:val="18"/>
                <w:szCs w:val="18"/>
                <w:lang w:val="en-GB"/>
              </w:rPr>
              <w:t>Consumer role in co-creation of value is crucial in a product-based industry. Such creation can be achieved through consumers participation as partners or co-producers.</w:t>
            </w:r>
          </w:p>
          <w:p w14:paraId="3A2E6816" w14:textId="77777777" w:rsidR="00454C34" w:rsidRDefault="00454C34">
            <w:pPr>
              <w:pStyle w:val="Contenutotabella"/>
              <w:jc w:val="left"/>
              <w:rPr>
                <w:sz w:val="18"/>
                <w:szCs w:val="18"/>
                <w:lang w:val="en-GB"/>
              </w:rPr>
            </w:pPr>
          </w:p>
        </w:tc>
      </w:tr>
      <w:tr w:rsidR="00454C34" w14:paraId="4C5E58AE" w14:textId="77777777">
        <w:tc>
          <w:tcPr>
            <w:tcW w:w="1273" w:type="dxa"/>
            <w:tcBorders>
              <w:left w:val="single" w:sz="1" w:space="0" w:color="000000"/>
              <w:bottom w:val="single" w:sz="1" w:space="0" w:color="000000"/>
            </w:tcBorders>
            <w:shd w:val="clear" w:color="auto" w:fill="auto"/>
          </w:tcPr>
          <w:p w14:paraId="5EF0B3DA" w14:textId="77777777" w:rsidR="00454C34" w:rsidRDefault="00454C34">
            <w:pPr>
              <w:pStyle w:val="Contenutotabella"/>
              <w:jc w:val="left"/>
              <w:rPr>
                <w:i/>
                <w:iCs/>
                <w:sz w:val="18"/>
                <w:szCs w:val="18"/>
                <w:lang w:val="en-GB"/>
              </w:rPr>
            </w:pPr>
            <w:r>
              <w:rPr>
                <w:b/>
                <w:bCs/>
                <w:sz w:val="18"/>
                <w:szCs w:val="18"/>
                <w:lang w:val="en-GB"/>
              </w:rPr>
              <w:t xml:space="preserve">Consumer-centric OI </w:t>
            </w:r>
            <w:r>
              <w:rPr>
                <w:b/>
                <w:bCs/>
                <w:sz w:val="18"/>
                <w:szCs w:val="18"/>
                <w:lang w:val="en-GB"/>
              </w:rPr>
              <w:lastRenderedPageBreak/>
              <w:t>framework</w:t>
            </w:r>
          </w:p>
        </w:tc>
        <w:tc>
          <w:tcPr>
            <w:tcW w:w="1630" w:type="dxa"/>
            <w:tcBorders>
              <w:left w:val="single" w:sz="1" w:space="0" w:color="000000"/>
              <w:bottom w:val="single" w:sz="1" w:space="0" w:color="000000"/>
            </w:tcBorders>
            <w:shd w:val="clear" w:color="auto" w:fill="auto"/>
          </w:tcPr>
          <w:p w14:paraId="53309241" w14:textId="77777777" w:rsidR="00454C34" w:rsidRDefault="00454C34">
            <w:pPr>
              <w:pStyle w:val="Contenutotabella"/>
              <w:jc w:val="left"/>
              <w:rPr>
                <w:sz w:val="18"/>
                <w:szCs w:val="18"/>
                <w:lang w:val="en-GB"/>
              </w:rPr>
            </w:pPr>
            <w:r>
              <w:rPr>
                <w:i/>
                <w:iCs/>
                <w:sz w:val="18"/>
                <w:szCs w:val="18"/>
                <w:lang w:val="en-GB"/>
              </w:rPr>
              <w:lastRenderedPageBreak/>
              <w:t xml:space="preserve">“A consumer-centric open innovation </w:t>
            </w:r>
            <w:r>
              <w:rPr>
                <w:i/>
                <w:iCs/>
                <w:sz w:val="18"/>
                <w:szCs w:val="18"/>
                <w:lang w:val="en-GB"/>
              </w:rPr>
              <w:lastRenderedPageBreak/>
              <w:t>framework for food and packaging manufacturing”</w:t>
            </w:r>
          </w:p>
        </w:tc>
        <w:tc>
          <w:tcPr>
            <w:tcW w:w="498" w:type="dxa"/>
            <w:tcBorders>
              <w:left w:val="single" w:sz="1" w:space="0" w:color="000000"/>
              <w:bottom w:val="single" w:sz="1" w:space="0" w:color="000000"/>
            </w:tcBorders>
            <w:shd w:val="clear" w:color="auto" w:fill="auto"/>
          </w:tcPr>
          <w:p w14:paraId="09679C36" w14:textId="77777777" w:rsidR="00454C34" w:rsidRDefault="00454C34">
            <w:pPr>
              <w:pStyle w:val="Contenutotabella"/>
              <w:jc w:val="left"/>
              <w:rPr>
                <w:sz w:val="18"/>
                <w:szCs w:val="18"/>
                <w:lang w:val="en-GB"/>
              </w:rPr>
            </w:pPr>
            <w:r>
              <w:rPr>
                <w:sz w:val="18"/>
                <w:szCs w:val="18"/>
                <w:lang w:val="en-GB"/>
              </w:rPr>
              <w:lastRenderedPageBreak/>
              <w:t>2015</w:t>
            </w:r>
          </w:p>
        </w:tc>
        <w:tc>
          <w:tcPr>
            <w:tcW w:w="1230" w:type="dxa"/>
            <w:tcBorders>
              <w:left w:val="single" w:sz="1" w:space="0" w:color="000000"/>
              <w:bottom w:val="single" w:sz="1" w:space="0" w:color="000000"/>
            </w:tcBorders>
            <w:shd w:val="clear" w:color="auto" w:fill="auto"/>
          </w:tcPr>
          <w:p w14:paraId="66E079DD" w14:textId="77777777" w:rsidR="00454C34" w:rsidRDefault="00454C34">
            <w:pPr>
              <w:pStyle w:val="Contenutotabella"/>
              <w:jc w:val="left"/>
              <w:rPr>
                <w:sz w:val="18"/>
                <w:szCs w:val="18"/>
                <w:lang w:val="en-GB"/>
              </w:rPr>
            </w:pPr>
            <w:proofErr w:type="spellStart"/>
            <w:proofErr w:type="gramStart"/>
            <w:r>
              <w:rPr>
                <w:sz w:val="18"/>
                <w:szCs w:val="18"/>
                <w:lang w:val="en-GB"/>
              </w:rPr>
              <w:t>Tsimiklis</w:t>
            </w:r>
            <w:proofErr w:type="spellEnd"/>
            <w:r>
              <w:rPr>
                <w:sz w:val="18"/>
                <w:szCs w:val="18"/>
                <w:lang w:val="en-GB"/>
              </w:rPr>
              <w:t xml:space="preserve">  et al.</w:t>
            </w:r>
            <w:proofErr w:type="gramEnd"/>
          </w:p>
        </w:tc>
        <w:tc>
          <w:tcPr>
            <w:tcW w:w="1291" w:type="dxa"/>
            <w:tcBorders>
              <w:left w:val="single" w:sz="1" w:space="0" w:color="000000"/>
              <w:bottom w:val="single" w:sz="1" w:space="0" w:color="000000"/>
            </w:tcBorders>
            <w:shd w:val="clear" w:color="auto" w:fill="auto"/>
          </w:tcPr>
          <w:p w14:paraId="4CB0009B" w14:textId="77777777" w:rsidR="00454C34" w:rsidRDefault="00454C34">
            <w:pPr>
              <w:pStyle w:val="Contenutotabella"/>
              <w:jc w:val="left"/>
              <w:rPr>
                <w:sz w:val="18"/>
                <w:szCs w:val="18"/>
                <w:lang w:val="en-GB"/>
              </w:rPr>
            </w:pPr>
            <w:proofErr w:type="spellStart"/>
            <w:r>
              <w:rPr>
                <w:sz w:val="18"/>
                <w:szCs w:val="18"/>
                <w:lang w:val="en-GB"/>
              </w:rPr>
              <w:t>Crowdsourcing</w:t>
            </w:r>
            <w:r w:rsidR="008726CA">
              <w:rPr>
                <w:rStyle w:val="Rimandonotaapidipagina"/>
                <w:sz w:val="18"/>
                <w:szCs w:val="18"/>
                <w:lang w:val="en-GB"/>
              </w:rPr>
              <w:footnoteReference w:customMarkFollows="1" w:id="4"/>
              <w:t>d</w:t>
            </w:r>
            <w:proofErr w:type="spellEnd"/>
          </w:p>
        </w:tc>
        <w:tc>
          <w:tcPr>
            <w:tcW w:w="3077" w:type="dxa"/>
            <w:tcBorders>
              <w:left w:val="single" w:sz="1" w:space="0" w:color="000000"/>
              <w:bottom w:val="single" w:sz="1" w:space="0" w:color="000000"/>
            </w:tcBorders>
            <w:shd w:val="clear" w:color="auto" w:fill="auto"/>
          </w:tcPr>
          <w:p w14:paraId="171414AD" w14:textId="77777777" w:rsidR="00454C34" w:rsidRDefault="00454C34">
            <w:pPr>
              <w:pStyle w:val="Contenutotabella"/>
              <w:jc w:val="left"/>
              <w:rPr>
                <w:sz w:val="18"/>
                <w:szCs w:val="18"/>
                <w:lang w:val="en-GB"/>
              </w:rPr>
            </w:pPr>
            <w:r>
              <w:rPr>
                <w:sz w:val="18"/>
                <w:szCs w:val="18"/>
                <w:lang w:val="en-GB"/>
              </w:rPr>
              <w:t xml:space="preserve">Making new food products that consumers will buy. At the same time, </w:t>
            </w:r>
            <w:r>
              <w:rPr>
                <w:sz w:val="18"/>
                <w:szCs w:val="18"/>
                <w:lang w:val="en-GB"/>
              </w:rPr>
              <w:lastRenderedPageBreak/>
              <w:t>ensuring that these products will reach the consumer on time and in the right quantity.</w:t>
            </w:r>
          </w:p>
        </w:tc>
        <w:tc>
          <w:tcPr>
            <w:tcW w:w="1039" w:type="dxa"/>
            <w:tcBorders>
              <w:left w:val="single" w:sz="1" w:space="0" w:color="000000"/>
              <w:bottom w:val="single" w:sz="1" w:space="0" w:color="000000"/>
            </w:tcBorders>
            <w:shd w:val="clear" w:color="auto" w:fill="auto"/>
          </w:tcPr>
          <w:p w14:paraId="7869E691" w14:textId="77777777" w:rsidR="00454C34" w:rsidRDefault="00454C34">
            <w:pPr>
              <w:pStyle w:val="Contenutotabella"/>
              <w:jc w:val="left"/>
              <w:rPr>
                <w:sz w:val="18"/>
                <w:szCs w:val="18"/>
                <w:lang w:val="en-GB"/>
              </w:rPr>
            </w:pPr>
            <w:r>
              <w:rPr>
                <w:sz w:val="18"/>
                <w:szCs w:val="18"/>
                <w:lang w:val="en-GB"/>
              </w:rPr>
              <w:lastRenderedPageBreak/>
              <w:t xml:space="preserve">Large Spanish </w:t>
            </w:r>
            <w:r>
              <w:rPr>
                <w:sz w:val="18"/>
                <w:szCs w:val="18"/>
                <w:lang w:val="en-GB"/>
              </w:rPr>
              <w:lastRenderedPageBreak/>
              <w:t>yoghurt producer (classified data)</w:t>
            </w:r>
          </w:p>
        </w:tc>
        <w:tc>
          <w:tcPr>
            <w:tcW w:w="1081" w:type="dxa"/>
            <w:tcBorders>
              <w:left w:val="single" w:sz="1" w:space="0" w:color="000000"/>
              <w:bottom w:val="single" w:sz="1" w:space="0" w:color="000000"/>
            </w:tcBorders>
            <w:shd w:val="clear" w:color="auto" w:fill="auto"/>
          </w:tcPr>
          <w:p w14:paraId="11BF51F3" w14:textId="77777777" w:rsidR="00454C34" w:rsidRDefault="00454C34">
            <w:pPr>
              <w:pStyle w:val="Contenutotabella"/>
              <w:jc w:val="left"/>
              <w:rPr>
                <w:sz w:val="18"/>
                <w:szCs w:val="18"/>
                <w:lang w:val="en-GB"/>
              </w:rPr>
            </w:pPr>
            <w:r>
              <w:rPr>
                <w:sz w:val="18"/>
                <w:szCs w:val="18"/>
                <w:lang w:val="en-GB"/>
              </w:rPr>
              <w:lastRenderedPageBreak/>
              <w:t>Innovation process</w:t>
            </w:r>
          </w:p>
        </w:tc>
        <w:tc>
          <w:tcPr>
            <w:tcW w:w="1029" w:type="dxa"/>
            <w:tcBorders>
              <w:left w:val="single" w:sz="1" w:space="0" w:color="000000"/>
              <w:bottom w:val="single" w:sz="1" w:space="0" w:color="000000"/>
            </w:tcBorders>
            <w:shd w:val="clear" w:color="auto" w:fill="auto"/>
          </w:tcPr>
          <w:p w14:paraId="73B781C2" w14:textId="77777777" w:rsidR="00454C34" w:rsidRDefault="00454C34">
            <w:pPr>
              <w:pStyle w:val="Contenutotabella"/>
              <w:jc w:val="left"/>
              <w:rPr>
                <w:sz w:val="18"/>
                <w:szCs w:val="18"/>
                <w:lang w:val="en-GB"/>
              </w:rPr>
            </w:pPr>
            <w:r>
              <w:rPr>
                <w:sz w:val="18"/>
                <w:szCs w:val="18"/>
                <w:lang w:val="en-GB"/>
              </w:rPr>
              <w:t xml:space="preserve">Cross-functional </w:t>
            </w:r>
            <w:r>
              <w:rPr>
                <w:sz w:val="18"/>
                <w:szCs w:val="18"/>
                <w:lang w:val="en-GB"/>
              </w:rPr>
              <w:lastRenderedPageBreak/>
              <w:t>team (production, marketing, logistics, finance, engineering, quality, R&amp;D, food safety, nutrition, purchasing)</w:t>
            </w:r>
          </w:p>
        </w:tc>
        <w:tc>
          <w:tcPr>
            <w:tcW w:w="2422" w:type="dxa"/>
            <w:tcBorders>
              <w:left w:val="single" w:sz="1" w:space="0" w:color="000000"/>
              <w:bottom w:val="single" w:sz="1" w:space="0" w:color="000000"/>
              <w:right w:val="single" w:sz="1" w:space="0" w:color="000000"/>
            </w:tcBorders>
            <w:shd w:val="clear" w:color="auto" w:fill="auto"/>
          </w:tcPr>
          <w:p w14:paraId="61F9EF4D" w14:textId="77777777" w:rsidR="00454C34" w:rsidRDefault="00454C34">
            <w:pPr>
              <w:pStyle w:val="Contenutotabella"/>
              <w:jc w:val="left"/>
            </w:pPr>
            <w:r>
              <w:rPr>
                <w:sz w:val="18"/>
                <w:szCs w:val="18"/>
                <w:lang w:val="en-GB"/>
              </w:rPr>
              <w:lastRenderedPageBreak/>
              <w:t xml:space="preserve">Raw materials, planning skills and control systems are needed. </w:t>
            </w:r>
            <w:r>
              <w:rPr>
                <w:sz w:val="18"/>
                <w:szCs w:val="18"/>
                <w:lang w:val="en-GB"/>
              </w:rPr>
              <w:lastRenderedPageBreak/>
              <w:t>This can be achieved through the ability to provide forecasts across the supply chain. Simulations and optimization models allow to define initial risks and manage them effectively.</w:t>
            </w:r>
          </w:p>
        </w:tc>
      </w:tr>
      <w:tr w:rsidR="00454C34" w14:paraId="05D82CDD" w14:textId="77777777">
        <w:tc>
          <w:tcPr>
            <w:tcW w:w="1273" w:type="dxa"/>
            <w:tcBorders>
              <w:left w:val="single" w:sz="1" w:space="0" w:color="000000"/>
              <w:bottom w:val="single" w:sz="1" w:space="0" w:color="000000"/>
            </w:tcBorders>
            <w:shd w:val="clear" w:color="auto" w:fill="auto"/>
          </w:tcPr>
          <w:p w14:paraId="5A7CE0C7" w14:textId="77777777" w:rsidR="00454C34" w:rsidRDefault="00454C34">
            <w:pPr>
              <w:pStyle w:val="Contenutotabella"/>
              <w:jc w:val="left"/>
              <w:rPr>
                <w:i/>
                <w:iCs/>
                <w:sz w:val="18"/>
                <w:szCs w:val="18"/>
                <w:lang w:val="en-GB"/>
              </w:rPr>
            </w:pPr>
            <w:r>
              <w:rPr>
                <w:b/>
                <w:bCs/>
                <w:sz w:val="18"/>
                <w:szCs w:val="18"/>
                <w:lang w:val="en-GB"/>
              </w:rPr>
              <w:lastRenderedPageBreak/>
              <w:t>OI Cereal Scheme</w:t>
            </w:r>
          </w:p>
        </w:tc>
        <w:tc>
          <w:tcPr>
            <w:tcW w:w="1630" w:type="dxa"/>
            <w:tcBorders>
              <w:left w:val="single" w:sz="1" w:space="0" w:color="000000"/>
              <w:bottom w:val="single" w:sz="1" w:space="0" w:color="000000"/>
            </w:tcBorders>
            <w:shd w:val="clear" w:color="auto" w:fill="auto"/>
          </w:tcPr>
          <w:p w14:paraId="03C81CC5" w14:textId="77777777" w:rsidR="00454C34" w:rsidRDefault="00454C34">
            <w:pPr>
              <w:pStyle w:val="Contenutotabella"/>
              <w:jc w:val="left"/>
              <w:rPr>
                <w:sz w:val="18"/>
                <w:szCs w:val="18"/>
                <w:lang w:val="en-GB"/>
              </w:rPr>
            </w:pPr>
            <w:r>
              <w:rPr>
                <w:i/>
                <w:iCs/>
                <w:sz w:val="18"/>
                <w:szCs w:val="18"/>
                <w:lang w:val="en-GB"/>
              </w:rPr>
              <w:t>“How open is food innovation? The crispbread case”</w:t>
            </w:r>
          </w:p>
        </w:tc>
        <w:tc>
          <w:tcPr>
            <w:tcW w:w="498" w:type="dxa"/>
            <w:tcBorders>
              <w:left w:val="single" w:sz="1" w:space="0" w:color="000000"/>
              <w:bottom w:val="single" w:sz="1" w:space="0" w:color="000000"/>
            </w:tcBorders>
            <w:shd w:val="clear" w:color="auto" w:fill="auto"/>
          </w:tcPr>
          <w:p w14:paraId="2F046950" w14:textId="77777777" w:rsidR="00454C34" w:rsidRDefault="00454C34">
            <w:pPr>
              <w:pStyle w:val="Contenutotabella"/>
              <w:jc w:val="left"/>
              <w:rPr>
                <w:sz w:val="18"/>
                <w:szCs w:val="18"/>
                <w:lang w:val="en-GB"/>
              </w:rPr>
            </w:pPr>
            <w:r>
              <w:rPr>
                <w:sz w:val="18"/>
                <w:szCs w:val="18"/>
                <w:lang w:val="en-GB"/>
              </w:rPr>
              <w:t>2019</w:t>
            </w:r>
          </w:p>
        </w:tc>
        <w:tc>
          <w:tcPr>
            <w:tcW w:w="1230" w:type="dxa"/>
            <w:tcBorders>
              <w:left w:val="single" w:sz="1" w:space="0" w:color="000000"/>
              <w:bottom w:val="single" w:sz="1" w:space="0" w:color="000000"/>
            </w:tcBorders>
            <w:shd w:val="clear" w:color="auto" w:fill="auto"/>
          </w:tcPr>
          <w:p w14:paraId="5749014C" w14:textId="77777777" w:rsidR="00454C34" w:rsidRDefault="00454C34">
            <w:pPr>
              <w:pStyle w:val="Contenutotabella"/>
              <w:jc w:val="left"/>
              <w:rPr>
                <w:sz w:val="18"/>
                <w:szCs w:val="18"/>
                <w:lang w:val="en-GB"/>
              </w:rPr>
            </w:pPr>
            <w:r>
              <w:rPr>
                <w:sz w:val="18"/>
                <w:szCs w:val="18"/>
                <w:lang w:val="en-GB"/>
              </w:rPr>
              <w:t xml:space="preserve">Grimsby and Kure </w:t>
            </w:r>
          </w:p>
        </w:tc>
        <w:tc>
          <w:tcPr>
            <w:tcW w:w="1291" w:type="dxa"/>
            <w:tcBorders>
              <w:left w:val="single" w:sz="1" w:space="0" w:color="000000"/>
              <w:bottom w:val="single" w:sz="1" w:space="0" w:color="000000"/>
            </w:tcBorders>
            <w:shd w:val="clear" w:color="auto" w:fill="auto"/>
          </w:tcPr>
          <w:p w14:paraId="26C39548" w14:textId="77777777" w:rsidR="00454C34" w:rsidRDefault="00454C34">
            <w:pPr>
              <w:pStyle w:val="Contenutotabella"/>
              <w:jc w:val="left"/>
              <w:rPr>
                <w:sz w:val="18"/>
                <w:szCs w:val="18"/>
                <w:lang w:val="en-GB"/>
              </w:rPr>
            </w:pPr>
            <w:r>
              <w:rPr>
                <w:sz w:val="18"/>
                <w:szCs w:val="18"/>
                <w:lang w:val="en-GB"/>
              </w:rPr>
              <w:t>Multi-phase (meetings, reports, interviews, quantitative data)</w:t>
            </w:r>
          </w:p>
        </w:tc>
        <w:tc>
          <w:tcPr>
            <w:tcW w:w="3077" w:type="dxa"/>
            <w:tcBorders>
              <w:left w:val="single" w:sz="1" w:space="0" w:color="000000"/>
              <w:bottom w:val="single" w:sz="1" w:space="0" w:color="000000"/>
            </w:tcBorders>
            <w:shd w:val="clear" w:color="auto" w:fill="auto"/>
          </w:tcPr>
          <w:p w14:paraId="3842A860" w14:textId="77777777" w:rsidR="00454C34" w:rsidRDefault="00454C34">
            <w:pPr>
              <w:pStyle w:val="Contenutotabella"/>
              <w:jc w:val="left"/>
              <w:rPr>
                <w:sz w:val="18"/>
                <w:szCs w:val="18"/>
                <w:lang w:val="en-GB"/>
              </w:rPr>
            </w:pPr>
            <w:r>
              <w:rPr>
                <w:sz w:val="18"/>
                <w:szCs w:val="18"/>
                <w:lang w:val="en-GB"/>
              </w:rPr>
              <w:t>Studying the cereal industry and crispbread success.</w:t>
            </w:r>
          </w:p>
        </w:tc>
        <w:tc>
          <w:tcPr>
            <w:tcW w:w="1039" w:type="dxa"/>
            <w:tcBorders>
              <w:left w:val="single" w:sz="1" w:space="0" w:color="000000"/>
              <w:bottom w:val="single" w:sz="1" w:space="0" w:color="000000"/>
            </w:tcBorders>
            <w:shd w:val="clear" w:color="auto" w:fill="auto"/>
          </w:tcPr>
          <w:p w14:paraId="70422DB5" w14:textId="77777777" w:rsidR="00454C34" w:rsidRDefault="00454C34">
            <w:pPr>
              <w:pStyle w:val="Contenutotabella"/>
              <w:jc w:val="left"/>
              <w:rPr>
                <w:sz w:val="18"/>
                <w:szCs w:val="18"/>
                <w:lang w:val="en-GB"/>
              </w:rPr>
            </w:pPr>
            <w:r>
              <w:rPr>
                <w:sz w:val="18"/>
                <w:szCs w:val="18"/>
                <w:lang w:val="en-GB"/>
              </w:rPr>
              <w:t>Norwegian cereal industry</w:t>
            </w:r>
          </w:p>
        </w:tc>
        <w:tc>
          <w:tcPr>
            <w:tcW w:w="1081" w:type="dxa"/>
            <w:tcBorders>
              <w:left w:val="single" w:sz="1" w:space="0" w:color="000000"/>
              <w:bottom w:val="single" w:sz="1" w:space="0" w:color="000000"/>
            </w:tcBorders>
            <w:shd w:val="clear" w:color="auto" w:fill="auto"/>
          </w:tcPr>
          <w:p w14:paraId="35E079DB" w14:textId="77777777" w:rsidR="00454C34" w:rsidRDefault="00454C34">
            <w:pPr>
              <w:pStyle w:val="Contenutotabella"/>
              <w:jc w:val="left"/>
              <w:rPr>
                <w:sz w:val="18"/>
                <w:szCs w:val="18"/>
                <w:lang w:val="en-GB"/>
              </w:rPr>
            </w:pPr>
            <w:r>
              <w:rPr>
                <w:sz w:val="18"/>
                <w:szCs w:val="18"/>
                <w:lang w:val="en-GB"/>
              </w:rPr>
              <w:t>Product innovation, packaging, transfer of tacit knowledge</w:t>
            </w:r>
          </w:p>
        </w:tc>
        <w:tc>
          <w:tcPr>
            <w:tcW w:w="1029" w:type="dxa"/>
            <w:tcBorders>
              <w:left w:val="single" w:sz="1" w:space="0" w:color="000000"/>
              <w:bottom w:val="single" w:sz="1" w:space="0" w:color="000000"/>
            </w:tcBorders>
            <w:shd w:val="clear" w:color="auto" w:fill="auto"/>
          </w:tcPr>
          <w:p w14:paraId="7FAF9F32" w14:textId="77777777" w:rsidR="00454C34" w:rsidRDefault="00454C34">
            <w:pPr>
              <w:pStyle w:val="Contenutotabella"/>
              <w:jc w:val="left"/>
              <w:rPr>
                <w:sz w:val="18"/>
                <w:szCs w:val="18"/>
                <w:lang w:val="en-GB"/>
              </w:rPr>
            </w:pPr>
            <w:r>
              <w:rPr>
                <w:sz w:val="18"/>
                <w:szCs w:val="18"/>
                <w:lang w:val="en-GB"/>
              </w:rPr>
              <w:t xml:space="preserve">Innovation managers </w:t>
            </w:r>
          </w:p>
        </w:tc>
        <w:tc>
          <w:tcPr>
            <w:tcW w:w="2422" w:type="dxa"/>
            <w:tcBorders>
              <w:left w:val="single" w:sz="1" w:space="0" w:color="000000"/>
              <w:bottom w:val="single" w:sz="1" w:space="0" w:color="000000"/>
              <w:right w:val="single" w:sz="1" w:space="0" w:color="000000"/>
            </w:tcBorders>
            <w:shd w:val="clear" w:color="auto" w:fill="auto"/>
          </w:tcPr>
          <w:p w14:paraId="0F7B3CCD" w14:textId="77777777" w:rsidR="00454C34" w:rsidRDefault="00454C34">
            <w:pPr>
              <w:pStyle w:val="Contenutotabella"/>
              <w:jc w:val="left"/>
            </w:pPr>
            <w:r>
              <w:rPr>
                <w:sz w:val="18"/>
                <w:szCs w:val="18"/>
                <w:lang w:val="en-GB"/>
              </w:rPr>
              <w:t xml:space="preserve">The crispbread case may be an example of successful OI through the export of agriculture-based products from a country with highly subsidized agriculture and a country with the highest </w:t>
            </w:r>
            <w:proofErr w:type="spellStart"/>
            <w:r>
              <w:rPr>
                <w:sz w:val="18"/>
                <w:szCs w:val="18"/>
                <w:lang w:val="en-GB"/>
              </w:rPr>
              <w:t>labor</w:t>
            </w:r>
            <w:proofErr w:type="spellEnd"/>
            <w:r>
              <w:rPr>
                <w:sz w:val="18"/>
                <w:szCs w:val="18"/>
                <w:lang w:val="en-GB"/>
              </w:rPr>
              <w:t xml:space="preserve"> cost in the world.</w:t>
            </w:r>
          </w:p>
        </w:tc>
      </w:tr>
      <w:tr w:rsidR="00454C34" w14:paraId="1DF338F2" w14:textId="77777777">
        <w:tc>
          <w:tcPr>
            <w:tcW w:w="1273" w:type="dxa"/>
            <w:tcBorders>
              <w:left w:val="single" w:sz="1" w:space="0" w:color="000000"/>
              <w:bottom w:val="single" w:sz="1" w:space="0" w:color="000000"/>
            </w:tcBorders>
            <w:shd w:val="clear" w:color="auto" w:fill="auto"/>
          </w:tcPr>
          <w:p w14:paraId="513DCA17" w14:textId="77777777" w:rsidR="00454C34" w:rsidRDefault="00454C34">
            <w:pPr>
              <w:pStyle w:val="Contenutotabella"/>
              <w:jc w:val="left"/>
              <w:rPr>
                <w:i/>
                <w:iCs/>
                <w:sz w:val="18"/>
                <w:szCs w:val="18"/>
                <w:lang w:val="en-GB"/>
              </w:rPr>
            </w:pPr>
            <w:r>
              <w:rPr>
                <w:b/>
                <w:bCs/>
                <w:sz w:val="18"/>
                <w:szCs w:val="18"/>
                <w:lang w:val="en-GB"/>
              </w:rPr>
              <w:t xml:space="preserve">Causal loop model of </w:t>
            </w:r>
            <w:proofErr w:type="spellStart"/>
            <w:r>
              <w:rPr>
                <w:b/>
                <w:bCs/>
                <w:sz w:val="18"/>
                <w:szCs w:val="18"/>
                <w:lang w:val="en-GB"/>
              </w:rPr>
              <w:t>resturant</w:t>
            </w:r>
            <w:proofErr w:type="spellEnd"/>
            <w:r>
              <w:rPr>
                <w:b/>
                <w:bCs/>
                <w:sz w:val="18"/>
                <w:szCs w:val="18"/>
                <w:lang w:val="en-GB"/>
              </w:rPr>
              <w:t xml:space="preserve"> open innovation</w:t>
            </w:r>
          </w:p>
        </w:tc>
        <w:tc>
          <w:tcPr>
            <w:tcW w:w="1630" w:type="dxa"/>
            <w:tcBorders>
              <w:left w:val="single" w:sz="1" w:space="0" w:color="000000"/>
              <w:bottom w:val="single" w:sz="1" w:space="0" w:color="000000"/>
            </w:tcBorders>
            <w:shd w:val="clear" w:color="auto" w:fill="auto"/>
          </w:tcPr>
          <w:p w14:paraId="4A7EA9D9" w14:textId="77777777" w:rsidR="00454C34" w:rsidRDefault="00454C34">
            <w:pPr>
              <w:pStyle w:val="Contenutotabella"/>
              <w:jc w:val="left"/>
              <w:rPr>
                <w:i/>
                <w:iCs/>
                <w:sz w:val="18"/>
                <w:szCs w:val="18"/>
                <w:lang w:val="en-GB"/>
              </w:rPr>
            </w:pPr>
            <w:r>
              <w:rPr>
                <w:i/>
                <w:iCs/>
                <w:sz w:val="18"/>
                <w:szCs w:val="18"/>
                <w:lang w:val="en-GB"/>
              </w:rPr>
              <w:t>“Open innovation ecosystems of restaurants:</w:t>
            </w:r>
          </w:p>
          <w:p w14:paraId="7846CD55" w14:textId="77777777" w:rsidR="00454C34" w:rsidRDefault="00454C34">
            <w:pPr>
              <w:pStyle w:val="Contenutotabella"/>
              <w:jc w:val="left"/>
              <w:rPr>
                <w:i/>
                <w:iCs/>
                <w:sz w:val="18"/>
                <w:szCs w:val="18"/>
                <w:lang w:val="en-GB"/>
              </w:rPr>
            </w:pPr>
            <w:r>
              <w:rPr>
                <w:i/>
                <w:iCs/>
                <w:sz w:val="18"/>
                <w:szCs w:val="18"/>
                <w:lang w:val="en-GB"/>
              </w:rPr>
              <w:t>geographical economics of successful restaurants</w:t>
            </w:r>
          </w:p>
          <w:p w14:paraId="4F403E79" w14:textId="77777777" w:rsidR="00454C34" w:rsidRDefault="00454C34">
            <w:pPr>
              <w:pStyle w:val="Contenutotabella"/>
              <w:jc w:val="left"/>
              <w:rPr>
                <w:sz w:val="18"/>
                <w:szCs w:val="18"/>
                <w:lang w:val="en-GB"/>
              </w:rPr>
            </w:pPr>
            <w:r>
              <w:rPr>
                <w:i/>
                <w:iCs/>
                <w:sz w:val="18"/>
                <w:szCs w:val="18"/>
                <w:lang w:val="en-GB"/>
              </w:rPr>
              <w:t>from three cities”</w:t>
            </w:r>
          </w:p>
        </w:tc>
        <w:tc>
          <w:tcPr>
            <w:tcW w:w="498" w:type="dxa"/>
            <w:tcBorders>
              <w:left w:val="single" w:sz="1" w:space="0" w:color="000000"/>
              <w:bottom w:val="single" w:sz="1" w:space="0" w:color="000000"/>
            </w:tcBorders>
            <w:shd w:val="clear" w:color="auto" w:fill="auto"/>
          </w:tcPr>
          <w:p w14:paraId="6EA986E3" w14:textId="77777777" w:rsidR="00454C34" w:rsidRDefault="00454C34">
            <w:pPr>
              <w:pStyle w:val="Contenutotabella"/>
              <w:jc w:val="left"/>
              <w:rPr>
                <w:sz w:val="18"/>
                <w:szCs w:val="18"/>
                <w:lang w:val="en-GB"/>
              </w:rPr>
            </w:pPr>
            <w:r>
              <w:rPr>
                <w:sz w:val="18"/>
                <w:szCs w:val="18"/>
                <w:lang w:val="en-GB"/>
              </w:rPr>
              <w:t>2020</w:t>
            </w:r>
          </w:p>
        </w:tc>
        <w:tc>
          <w:tcPr>
            <w:tcW w:w="1230" w:type="dxa"/>
            <w:tcBorders>
              <w:left w:val="single" w:sz="1" w:space="0" w:color="000000"/>
              <w:bottom w:val="single" w:sz="1" w:space="0" w:color="000000"/>
            </w:tcBorders>
            <w:shd w:val="clear" w:color="auto" w:fill="auto"/>
          </w:tcPr>
          <w:p w14:paraId="78A8B7FC" w14:textId="77777777" w:rsidR="00454C34" w:rsidRDefault="00454C34">
            <w:pPr>
              <w:pStyle w:val="Contenutotabella"/>
              <w:jc w:val="left"/>
              <w:rPr>
                <w:sz w:val="18"/>
                <w:szCs w:val="18"/>
                <w:lang w:val="en-GB"/>
              </w:rPr>
            </w:pPr>
            <w:r>
              <w:rPr>
                <w:sz w:val="18"/>
                <w:szCs w:val="18"/>
                <w:lang w:val="en-GB"/>
              </w:rPr>
              <w:t>Yun et al.</w:t>
            </w:r>
          </w:p>
        </w:tc>
        <w:tc>
          <w:tcPr>
            <w:tcW w:w="1291" w:type="dxa"/>
            <w:tcBorders>
              <w:left w:val="single" w:sz="1" w:space="0" w:color="000000"/>
              <w:bottom w:val="single" w:sz="1" w:space="0" w:color="000000"/>
            </w:tcBorders>
            <w:shd w:val="clear" w:color="auto" w:fill="auto"/>
          </w:tcPr>
          <w:p w14:paraId="7BA732C2" w14:textId="77777777" w:rsidR="00454C34" w:rsidRDefault="00454C34">
            <w:pPr>
              <w:pStyle w:val="Contenutotabella"/>
              <w:jc w:val="left"/>
              <w:rPr>
                <w:sz w:val="18"/>
                <w:szCs w:val="18"/>
                <w:lang w:val="en-GB"/>
              </w:rPr>
            </w:pPr>
            <w:r>
              <w:rPr>
                <w:sz w:val="18"/>
                <w:szCs w:val="18"/>
                <w:lang w:val="en-GB"/>
              </w:rPr>
              <w:t>Case study with interviews and questionnaires</w:t>
            </w:r>
          </w:p>
        </w:tc>
        <w:tc>
          <w:tcPr>
            <w:tcW w:w="3077" w:type="dxa"/>
            <w:tcBorders>
              <w:left w:val="single" w:sz="1" w:space="0" w:color="000000"/>
              <w:bottom w:val="single" w:sz="1" w:space="0" w:color="000000"/>
            </w:tcBorders>
            <w:shd w:val="clear" w:color="auto" w:fill="auto"/>
          </w:tcPr>
          <w:p w14:paraId="58533230" w14:textId="77777777" w:rsidR="00454C34" w:rsidRDefault="00454C34">
            <w:pPr>
              <w:pStyle w:val="Contenutotabella"/>
              <w:jc w:val="left"/>
              <w:rPr>
                <w:sz w:val="18"/>
                <w:szCs w:val="18"/>
                <w:lang w:val="en-GB"/>
              </w:rPr>
            </w:pPr>
            <w:r>
              <w:rPr>
                <w:sz w:val="18"/>
                <w:szCs w:val="18"/>
                <w:lang w:val="en-GB"/>
              </w:rPr>
              <w:t>Studying if open innovation is convenient in attracting customers, even for small restaurants</w:t>
            </w:r>
            <w:r w:rsidR="00BB4ED4">
              <w:rPr>
                <w:sz w:val="18"/>
                <w:szCs w:val="18"/>
                <w:lang w:val="en-GB"/>
              </w:rPr>
              <w:t>.</w:t>
            </w:r>
          </w:p>
        </w:tc>
        <w:tc>
          <w:tcPr>
            <w:tcW w:w="1039" w:type="dxa"/>
            <w:tcBorders>
              <w:left w:val="single" w:sz="1" w:space="0" w:color="000000"/>
              <w:bottom w:val="single" w:sz="1" w:space="0" w:color="000000"/>
            </w:tcBorders>
            <w:shd w:val="clear" w:color="auto" w:fill="auto"/>
          </w:tcPr>
          <w:p w14:paraId="0AB94311" w14:textId="77777777" w:rsidR="00454C34" w:rsidRDefault="00454C34">
            <w:pPr>
              <w:pStyle w:val="Contenutotabella"/>
              <w:jc w:val="left"/>
              <w:rPr>
                <w:sz w:val="18"/>
                <w:szCs w:val="18"/>
                <w:lang w:val="en-GB"/>
              </w:rPr>
            </w:pPr>
            <w:r>
              <w:rPr>
                <w:sz w:val="18"/>
                <w:szCs w:val="18"/>
                <w:lang w:val="en-GB"/>
              </w:rPr>
              <w:t>Four Neapolitan restaurants, one South Korean restaurant, one North Korean restaurant.</w:t>
            </w:r>
          </w:p>
        </w:tc>
        <w:tc>
          <w:tcPr>
            <w:tcW w:w="1081" w:type="dxa"/>
            <w:tcBorders>
              <w:left w:val="single" w:sz="1" w:space="0" w:color="000000"/>
              <w:bottom w:val="single" w:sz="1" w:space="0" w:color="000000"/>
            </w:tcBorders>
            <w:shd w:val="clear" w:color="auto" w:fill="auto"/>
          </w:tcPr>
          <w:p w14:paraId="004E9EAC" w14:textId="77777777" w:rsidR="00454C34" w:rsidRDefault="00454C34">
            <w:pPr>
              <w:pStyle w:val="Contenutotabella"/>
              <w:jc w:val="left"/>
              <w:rPr>
                <w:sz w:val="18"/>
                <w:szCs w:val="18"/>
                <w:lang w:val="en-GB"/>
              </w:rPr>
            </w:pPr>
            <w:r>
              <w:rPr>
                <w:sz w:val="18"/>
                <w:szCs w:val="18"/>
                <w:lang w:val="en-GB"/>
              </w:rPr>
              <w:t>Innovation process</w:t>
            </w:r>
          </w:p>
        </w:tc>
        <w:tc>
          <w:tcPr>
            <w:tcW w:w="1029" w:type="dxa"/>
            <w:tcBorders>
              <w:left w:val="single" w:sz="1" w:space="0" w:color="000000"/>
              <w:bottom w:val="single" w:sz="1" w:space="0" w:color="000000"/>
            </w:tcBorders>
            <w:shd w:val="clear" w:color="auto" w:fill="auto"/>
          </w:tcPr>
          <w:p w14:paraId="6329E880" w14:textId="77777777" w:rsidR="00454C34" w:rsidRDefault="00454C34">
            <w:pPr>
              <w:pStyle w:val="Contenutotabella"/>
              <w:jc w:val="left"/>
              <w:rPr>
                <w:sz w:val="18"/>
                <w:szCs w:val="18"/>
                <w:lang w:val="en-GB"/>
              </w:rPr>
            </w:pPr>
            <w:r>
              <w:rPr>
                <w:sz w:val="18"/>
                <w:szCs w:val="18"/>
                <w:lang w:val="en-GB"/>
              </w:rPr>
              <w:t>Restaurant</w:t>
            </w:r>
          </w:p>
        </w:tc>
        <w:tc>
          <w:tcPr>
            <w:tcW w:w="2422" w:type="dxa"/>
            <w:tcBorders>
              <w:left w:val="single" w:sz="1" w:space="0" w:color="000000"/>
              <w:bottom w:val="single" w:sz="1" w:space="0" w:color="000000"/>
              <w:right w:val="single" w:sz="1" w:space="0" w:color="000000"/>
            </w:tcBorders>
            <w:shd w:val="clear" w:color="auto" w:fill="auto"/>
          </w:tcPr>
          <w:p w14:paraId="59C9634C" w14:textId="77777777" w:rsidR="00454C34" w:rsidRDefault="00454C34">
            <w:pPr>
              <w:pStyle w:val="Contenutotabella"/>
              <w:jc w:val="left"/>
            </w:pPr>
            <w:r>
              <w:rPr>
                <w:sz w:val="18"/>
                <w:szCs w:val="18"/>
                <w:lang w:val="en-GB"/>
              </w:rPr>
              <w:t xml:space="preserve">OI determines the success of small restaurants. Furthermore, if any small restaurant adopts a closed innovation strategy with respect to an ingredient or recipe or service, it should adopt an open innovation strategy to maintain the competitive advantage over the other restaurants in the </w:t>
            </w:r>
            <w:proofErr w:type="spellStart"/>
            <w:r>
              <w:rPr>
                <w:sz w:val="18"/>
                <w:szCs w:val="18"/>
                <w:lang w:val="en-GB"/>
              </w:rPr>
              <w:t>neighborhood</w:t>
            </w:r>
            <w:proofErr w:type="spellEnd"/>
            <w:r>
              <w:rPr>
                <w:sz w:val="18"/>
                <w:szCs w:val="18"/>
                <w:lang w:val="en-GB"/>
              </w:rPr>
              <w:t xml:space="preserve">. An OI platform of any ingredient, </w:t>
            </w:r>
            <w:proofErr w:type="gramStart"/>
            <w:r>
              <w:rPr>
                <w:sz w:val="18"/>
                <w:szCs w:val="18"/>
                <w:lang w:val="en-GB"/>
              </w:rPr>
              <w:t>recipe</w:t>
            </w:r>
            <w:proofErr w:type="gramEnd"/>
            <w:r>
              <w:rPr>
                <w:sz w:val="18"/>
                <w:szCs w:val="18"/>
                <w:lang w:val="en-GB"/>
              </w:rPr>
              <w:t xml:space="preserve"> or service increases revenue through their sales.</w:t>
            </w:r>
          </w:p>
        </w:tc>
      </w:tr>
      <w:tr w:rsidR="00454C34" w14:paraId="32F34E76" w14:textId="77777777">
        <w:tc>
          <w:tcPr>
            <w:tcW w:w="1273" w:type="dxa"/>
            <w:tcBorders>
              <w:left w:val="single" w:sz="1" w:space="0" w:color="000000"/>
              <w:bottom w:val="single" w:sz="1" w:space="0" w:color="000000"/>
            </w:tcBorders>
            <w:shd w:val="clear" w:color="auto" w:fill="auto"/>
          </w:tcPr>
          <w:p w14:paraId="16DC69B1" w14:textId="77777777" w:rsidR="00454C34" w:rsidRDefault="00454C34">
            <w:pPr>
              <w:pStyle w:val="Contenutotabella"/>
              <w:jc w:val="left"/>
              <w:rPr>
                <w:i/>
                <w:iCs/>
                <w:sz w:val="18"/>
                <w:szCs w:val="18"/>
                <w:lang w:val="en-GB"/>
              </w:rPr>
            </w:pPr>
            <w:r>
              <w:rPr>
                <w:b/>
                <w:bCs/>
                <w:sz w:val="18"/>
                <w:szCs w:val="18"/>
                <w:lang w:val="en-GB"/>
              </w:rPr>
              <w:lastRenderedPageBreak/>
              <w:t>Open social food innovation</w:t>
            </w:r>
          </w:p>
        </w:tc>
        <w:tc>
          <w:tcPr>
            <w:tcW w:w="1630" w:type="dxa"/>
            <w:tcBorders>
              <w:left w:val="single" w:sz="1" w:space="0" w:color="000000"/>
              <w:bottom w:val="single" w:sz="1" w:space="0" w:color="000000"/>
            </w:tcBorders>
            <w:shd w:val="clear" w:color="auto" w:fill="auto"/>
          </w:tcPr>
          <w:p w14:paraId="20CF739C" w14:textId="77777777" w:rsidR="00454C34" w:rsidRDefault="00454C34">
            <w:pPr>
              <w:pStyle w:val="Contenutotabella"/>
              <w:jc w:val="left"/>
              <w:rPr>
                <w:sz w:val="18"/>
                <w:szCs w:val="18"/>
                <w:lang w:val="en-GB"/>
              </w:rPr>
            </w:pPr>
            <w:r>
              <w:rPr>
                <w:i/>
                <w:iCs/>
                <w:sz w:val="18"/>
                <w:szCs w:val="18"/>
                <w:lang w:val="en-GB"/>
              </w:rPr>
              <w:t xml:space="preserve">“Open social innovation for surplus food recovery and aid during COVID-19 crisis: the case of Fondazione Banco </w:t>
            </w:r>
            <w:proofErr w:type="spellStart"/>
            <w:r>
              <w:rPr>
                <w:i/>
                <w:iCs/>
                <w:sz w:val="18"/>
                <w:szCs w:val="18"/>
                <w:lang w:val="en-GB"/>
              </w:rPr>
              <w:t>Alimentare</w:t>
            </w:r>
            <w:proofErr w:type="spellEnd"/>
            <w:r>
              <w:rPr>
                <w:i/>
                <w:iCs/>
                <w:sz w:val="18"/>
                <w:szCs w:val="18"/>
                <w:lang w:val="en-GB"/>
              </w:rPr>
              <w:t xml:space="preserve"> </w:t>
            </w:r>
            <w:proofErr w:type="spellStart"/>
            <w:r>
              <w:rPr>
                <w:i/>
                <w:iCs/>
                <w:sz w:val="18"/>
                <w:szCs w:val="18"/>
                <w:lang w:val="en-GB"/>
              </w:rPr>
              <w:t>Onlus</w:t>
            </w:r>
            <w:proofErr w:type="spellEnd"/>
            <w:r>
              <w:rPr>
                <w:i/>
                <w:iCs/>
                <w:sz w:val="18"/>
                <w:szCs w:val="18"/>
                <w:lang w:val="en-GB"/>
              </w:rPr>
              <w:t>”</w:t>
            </w:r>
          </w:p>
        </w:tc>
        <w:tc>
          <w:tcPr>
            <w:tcW w:w="498" w:type="dxa"/>
            <w:tcBorders>
              <w:left w:val="single" w:sz="1" w:space="0" w:color="000000"/>
              <w:bottom w:val="single" w:sz="1" w:space="0" w:color="000000"/>
            </w:tcBorders>
            <w:shd w:val="clear" w:color="auto" w:fill="auto"/>
          </w:tcPr>
          <w:p w14:paraId="5192E603" w14:textId="77777777" w:rsidR="00454C34" w:rsidRDefault="00454C34">
            <w:pPr>
              <w:pStyle w:val="Contenutotabella"/>
              <w:jc w:val="left"/>
              <w:rPr>
                <w:sz w:val="18"/>
                <w:szCs w:val="18"/>
                <w:lang w:val="en-GB"/>
              </w:rPr>
            </w:pPr>
            <w:r>
              <w:rPr>
                <w:sz w:val="18"/>
                <w:szCs w:val="18"/>
                <w:lang w:val="en-GB"/>
              </w:rPr>
              <w:t>2022</w:t>
            </w:r>
          </w:p>
        </w:tc>
        <w:tc>
          <w:tcPr>
            <w:tcW w:w="1230" w:type="dxa"/>
            <w:tcBorders>
              <w:left w:val="single" w:sz="1" w:space="0" w:color="000000"/>
              <w:bottom w:val="single" w:sz="1" w:space="0" w:color="000000"/>
            </w:tcBorders>
            <w:shd w:val="clear" w:color="auto" w:fill="auto"/>
          </w:tcPr>
          <w:p w14:paraId="0B8EDFBA" w14:textId="77777777" w:rsidR="00454C34" w:rsidRDefault="00454C34">
            <w:pPr>
              <w:pStyle w:val="Contenutotabella"/>
              <w:jc w:val="left"/>
              <w:rPr>
                <w:sz w:val="18"/>
                <w:szCs w:val="18"/>
                <w:lang w:val="en-GB"/>
              </w:rPr>
            </w:pPr>
            <w:proofErr w:type="spellStart"/>
            <w:r>
              <w:rPr>
                <w:sz w:val="18"/>
                <w:szCs w:val="18"/>
                <w:lang w:val="en-GB"/>
              </w:rPr>
              <w:t>Penco</w:t>
            </w:r>
            <w:proofErr w:type="spellEnd"/>
            <w:r>
              <w:rPr>
                <w:sz w:val="18"/>
                <w:szCs w:val="18"/>
                <w:lang w:val="en-GB"/>
              </w:rPr>
              <w:t xml:space="preserve"> et al.</w:t>
            </w:r>
          </w:p>
        </w:tc>
        <w:tc>
          <w:tcPr>
            <w:tcW w:w="1291" w:type="dxa"/>
            <w:tcBorders>
              <w:left w:val="single" w:sz="1" w:space="0" w:color="000000"/>
              <w:bottom w:val="single" w:sz="1" w:space="0" w:color="000000"/>
            </w:tcBorders>
            <w:shd w:val="clear" w:color="auto" w:fill="auto"/>
          </w:tcPr>
          <w:p w14:paraId="0329A5DC" w14:textId="77777777" w:rsidR="00454C34" w:rsidRDefault="00454C34">
            <w:pPr>
              <w:pStyle w:val="Contenutotabella"/>
              <w:jc w:val="left"/>
              <w:rPr>
                <w:sz w:val="18"/>
                <w:szCs w:val="18"/>
                <w:lang w:val="en-GB"/>
              </w:rPr>
            </w:pPr>
            <w:r>
              <w:rPr>
                <w:sz w:val="18"/>
                <w:szCs w:val="18"/>
                <w:lang w:val="en-GB"/>
              </w:rPr>
              <w:t>Case study</w:t>
            </w:r>
          </w:p>
        </w:tc>
        <w:tc>
          <w:tcPr>
            <w:tcW w:w="3077" w:type="dxa"/>
            <w:tcBorders>
              <w:left w:val="single" w:sz="1" w:space="0" w:color="000000"/>
              <w:bottom w:val="single" w:sz="1" w:space="0" w:color="000000"/>
            </w:tcBorders>
            <w:shd w:val="clear" w:color="auto" w:fill="auto"/>
          </w:tcPr>
          <w:p w14:paraId="6FCCA0BE" w14:textId="77777777" w:rsidR="00454C34" w:rsidRDefault="00454C34">
            <w:pPr>
              <w:pStyle w:val="Contenutotabella"/>
              <w:jc w:val="left"/>
              <w:rPr>
                <w:sz w:val="18"/>
                <w:szCs w:val="18"/>
                <w:lang w:val="en-GB"/>
              </w:rPr>
            </w:pPr>
            <w:proofErr w:type="spellStart"/>
            <w:r>
              <w:rPr>
                <w:sz w:val="18"/>
                <w:szCs w:val="18"/>
                <w:lang w:val="en-GB"/>
              </w:rPr>
              <w:t>Analyze</w:t>
            </w:r>
            <w:proofErr w:type="spellEnd"/>
            <w:r>
              <w:rPr>
                <w:sz w:val="18"/>
                <w:szCs w:val="18"/>
                <w:lang w:val="en-GB"/>
              </w:rPr>
              <w:t xml:space="preserve"> the role of open social innovation in challenging COVID-19 crisis.</w:t>
            </w:r>
          </w:p>
        </w:tc>
        <w:tc>
          <w:tcPr>
            <w:tcW w:w="1039" w:type="dxa"/>
            <w:tcBorders>
              <w:left w:val="single" w:sz="1" w:space="0" w:color="000000"/>
              <w:bottom w:val="single" w:sz="1" w:space="0" w:color="000000"/>
            </w:tcBorders>
            <w:shd w:val="clear" w:color="auto" w:fill="auto"/>
          </w:tcPr>
          <w:p w14:paraId="183F7F3B" w14:textId="77777777" w:rsidR="00454C34" w:rsidRPr="009C12F8" w:rsidRDefault="00454C34">
            <w:pPr>
              <w:pStyle w:val="Contenutotabella"/>
              <w:jc w:val="left"/>
              <w:rPr>
                <w:sz w:val="18"/>
                <w:szCs w:val="18"/>
                <w:lang w:val="it-IT"/>
              </w:rPr>
            </w:pPr>
            <w:r w:rsidRPr="009C12F8">
              <w:rPr>
                <w:sz w:val="18"/>
                <w:szCs w:val="18"/>
                <w:lang w:val="it-IT"/>
              </w:rPr>
              <w:t>Fondazione Banco Alimentare Onlus (FBAO)</w:t>
            </w:r>
          </w:p>
        </w:tc>
        <w:tc>
          <w:tcPr>
            <w:tcW w:w="1081" w:type="dxa"/>
            <w:tcBorders>
              <w:left w:val="single" w:sz="1" w:space="0" w:color="000000"/>
              <w:bottom w:val="single" w:sz="1" w:space="0" w:color="000000"/>
            </w:tcBorders>
            <w:shd w:val="clear" w:color="auto" w:fill="auto"/>
          </w:tcPr>
          <w:p w14:paraId="5700BBB2" w14:textId="77777777" w:rsidR="00454C34" w:rsidRDefault="00454C34">
            <w:pPr>
              <w:pStyle w:val="Contenutotabella"/>
              <w:jc w:val="left"/>
              <w:rPr>
                <w:sz w:val="18"/>
                <w:szCs w:val="18"/>
                <w:lang w:val="en-GB"/>
              </w:rPr>
            </w:pPr>
            <w:r>
              <w:rPr>
                <w:sz w:val="18"/>
                <w:szCs w:val="18"/>
                <w:lang w:val="en-GB"/>
              </w:rPr>
              <w:t>Innovation process</w:t>
            </w:r>
          </w:p>
        </w:tc>
        <w:tc>
          <w:tcPr>
            <w:tcW w:w="1029" w:type="dxa"/>
            <w:tcBorders>
              <w:left w:val="single" w:sz="1" w:space="0" w:color="000000"/>
              <w:bottom w:val="single" w:sz="1" w:space="0" w:color="000000"/>
            </w:tcBorders>
            <w:shd w:val="clear" w:color="auto" w:fill="auto"/>
          </w:tcPr>
          <w:p w14:paraId="522D7D85" w14:textId="77777777" w:rsidR="00454C34" w:rsidRDefault="00454C34">
            <w:pPr>
              <w:pStyle w:val="Contenutotabella"/>
              <w:jc w:val="left"/>
              <w:rPr>
                <w:sz w:val="18"/>
                <w:szCs w:val="18"/>
                <w:lang w:val="en-GB"/>
              </w:rPr>
            </w:pPr>
            <w:r>
              <w:rPr>
                <w:sz w:val="18"/>
                <w:szCs w:val="18"/>
                <w:lang w:val="en-GB"/>
              </w:rPr>
              <w:t>Food bank</w:t>
            </w:r>
          </w:p>
        </w:tc>
        <w:tc>
          <w:tcPr>
            <w:tcW w:w="2422" w:type="dxa"/>
            <w:tcBorders>
              <w:left w:val="single" w:sz="1" w:space="0" w:color="000000"/>
              <w:bottom w:val="single" w:sz="1" w:space="0" w:color="000000"/>
              <w:right w:val="single" w:sz="1" w:space="0" w:color="000000"/>
            </w:tcBorders>
            <w:shd w:val="clear" w:color="auto" w:fill="auto"/>
          </w:tcPr>
          <w:p w14:paraId="363539B3" w14:textId="77777777" w:rsidR="00454C34" w:rsidRDefault="00454C34">
            <w:pPr>
              <w:pStyle w:val="Contenutotabella"/>
              <w:jc w:val="left"/>
            </w:pPr>
            <w:r>
              <w:rPr>
                <w:sz w:val="18"/>
                <w:szCs w:val="18"/>
                <w:lang w:val="en-GB"/>
              </w:rPr>
              <w:t xml:space="preserve">COVID-19 encouraged the adoption of open social innovation practices to continue to </w:t>
            </w:r>
            <w:proofErr w:type="spellStart"/>
            <w:r>
              <w:rPr>
                <w:sz w:val="18"/>
                <w:szCs w:val="18"/>
                <w:lang w:val="en-GB"/>
              </w:rPr>
              <w:t>fulfill</w:t>
            </w:r>
            <w:proofErr w:type="spellEnd"/>
            <w:r>
              <w:rPr>
                <w:sz w:val="18"/>
                <w:szCs w:val="18"/>
                <w:lang w:val="en-GB"/>
              </w:rPr>
              <w:t xml:space="preserve"> the social mission and at the same time to create innovative projects.</w:t>
            </w:r>
          </w:p>
        </w:tc>
      </w:tr>
      <w:tr w:rsidR="00454C34" w14:paraId="0B65D02D" w14:textId="77777777">
        <w:tc>
          <w:tcPr>
            <w:tcW w:w="1273" w:type="dxa"/>
            <w:tcBorders>
              <w:left w:val="single" w:sz="1" w:space="0" w:color="000000"/>
              <w:bottom w:val="single" w:sz="1" w:space="0" w:color="000000"/>
            </w:tcBorders>
            <w:shd w:val="clear" w:color="auto" w:fill="auto"/>
          </w:tcPr>
          <w:p w14:paraId="3B15D4D1" w14:textId="77777777" w:rsidR="00454C34" w:rsidRDefault="00454C34">
            <w:pPr>
              <w:pStyle w:val="Contenutotabella"/>
              <w:jc w:val="left"/>
              <w:rPr>
                <w:i/>
                <w:iCs/>
                <w:sz w:val="18"/>
                <w:szCs w:val="18"/>
                <w:lang w:val="en-GB"/>
              </w:rPr>
            </w:pPr>
            <w:r>
              <w:rPr>
                <w:b/>
                <w:bCs/>
                <w:sz w:val="18"/>
                <w:szCs w:val="18"/>
                <w:lang w:val="en-GB"/>
              </w:rPr>
              <w:t>Food-Machinery flexibility model</w:t>
            </w:r>
          </w:p>
        </w:tc>
        <w:tc>
          <w:tcPr>
            <w:tcW w:w="1630" w:type="dxa"/>
            <w:tcBorders>
              <w:left w:val="single" w:sz="1" w:space="0" w:color="000000"/>
              <w:bottom w:val="single" w:sz="1" w:space="0" w:color="000000"/>
            </w:tcBorders>
            <w:shd w:val="clear" w:color="auto" w:fill="auto"/>
          </w:tcPr>
          <w:p w14:paraId="4F92287F" w14:textId="77777777" w:rsidR="00454C34" w:rsidRDefault="00454C34">
            <w:pPr>
              <w:pStyle w:val="Contenutotabella"/>
              <w:jc w:val="left"/>
              <w:rPr>
                <w:sz w:val="18"/>
                <w:szCs w:val="18"/>
                <w:lang w:val="en-GB"/>
              </w:rPr>
            </w:pPr>
            <w:r>
              <w:rPr>
                <w:i/>
                <w:iCs/>
                <w:sz w:val="18"/>
                <w:szCs w:val="18"/>
                <w:lang w:val="en-GB"/>
              </w:rPr>
              <w:t>“The Thai SME Open Innovation Food-Machinery Flexibility Model: Six Patterns of Coupled Knowledge Flows”</w:t>
            </w:r>
          </w:p>
        </w:tc>
        <w:tc>
          <w:tcPr>
            <w:tcW w:w="498" w:type="dxa"/>
            <w:tcBorders>
              <w:left w:val="single" w:sz="1" w:space="0" w:color="000000"/>
              <w:bottom w:val="single" w:sz="1" w:space="0" w:color="000000"/>
            </w:tcBorders>
            <w:shd w:val="clear" w:color="auto" w:fill="auto"/>
          </w:tcPr>
          <w:p w14:paraId="3528706C" w14:textId="77777777" w:rsidR="00454C34" w:rsidRDefault="00454C34">
            <w:pPr>
              <w:pStyle w:val="Contenutotabella"/>
              <w:jc w:val="left"/>
              <w:rPr>
                <w:sz w:val="18"/>
                <w:szCs w:val="18"/>
                <w:lang w:val="en-GB"/>
              </w:rPr>
            </w:pPr>
            <w:r>
              <w:rPr>
                <w:sz w:val="18"/>
                <w:szCs w:val="18"/>
                <w:lang w:val="en-GB"/>
              </w:rPr>
              <w:t>2022</w:t>
            </w:r>
          </w:p>
        </w:tc>
        <w:tc>
          <w:tcPr>
            <w:tcW w:w="1230" w:type="dxa"/>
            <w:tcBorders>
              <w:left w:val="single" w:sz="1" w:space="0" w:color="000000"/>
              <w:bottom w:val="single" w:sz="1" w:space="0" w:color="000000"/>
            </w:tcBorders>
            <w:shd w:val="clear" w:color="auto" w:fill="auto"/>
          </w:tcPr>
          <w:p w14:paraId="6B6DA25E" w14:textId="77777777" w:rsidR="00454C34" w:rsidRDefault="00454C34">
            <w:pPr>
              <w:pStyle w:val="Contenutotabella"/>
              <w:jc w:val="left"/>
              <w:rPr>
                <w:sz w:val="18"/>
                <w:szCs w:val="18"/>
                <w:lang w:val="en-GB"/>
              </w:rPr>
            </w:pPr>
            <w:proofErr w:type="spellStart"/>
            <w:r>
              <w:rPr>
                <w:sz w:val="18"/>
                <w:szCs w:val="18"/>
                <w:lang w:val="en-GB"/>
              </w:rPr>
              <w:t>Hongsaprabhas</w:t>
            </w:r>
            <w:proofErr w:type="spellEnd"/>
            <w:r>
              <w:rPr>
                <w:sz w:val="18"/>
                <w:szCs w:val="18"/>
                <w:lang w:val="en-GB"/>
              </w:rPr>
              <w:t xml:space="preserve"> and Parisot</w:t>
            </w:r>
          </w:p>
        </w:tc>
        <w:tc>
          <w:tcPr>
            <w:tcW w:w="1291" w:type="dxa"/>
            <w:tcBorders>
              <w:left w:val="single" w:sz="1" w:space="0" w:color="000000"/>
              <w:bottom w:val="single" w:sz="1" w:space="0" w:color="000000"/>
            </w:tcBorders>
            <w:shd w:val="clear" w:color="auto" w:fill="auto"/>
          </w:tcPr>
          <w:p w14:paraId="67FAE6C2" w14:textId="77777777" w:rsidR="00454C34" w:rsidRDefault="00454C34">
            <w:pPr>
              <w:pStyle w:val="Contenutotabella"/>
              <w:jc w:val="left"/>
              <w:rPr>
                <w:sz w:val="18"/>
                <w:szCs w:val="18"/>
                <w:lang w:val="en-GB"/>
              </w:rPr>
            </w:pPr>
            <w:r>
              <w:rPr>
                <w:sz w:val="18"/>
                <w:szCs w:val="18"/>
                <w:lang w:val="en-GB"/>
              </w:rPr>
              <w:t>Case study with interviews</w:t>
            </w:r>
          </w:p>
        </w:tc>
        <w:tc>
          <w:tcPr>
            <w:tcW w:w="3077" w:type="dxa"/>
            <w:tcBorders>
              <w:left w:val="single" w:sz="1" w:space="0" w:color="000000"/>
              <w:bottom w:val="single" w:sz="1" w:space="0" w:color="000000"/>
            </w:tcBorders>
            <w:shd w:val="clear" w:color="auto" w:fill="auto"/>
          </w:tcPr>
          <w:p w14:paraId="1F738F00" w14:textId="77777777" w:rsidR="00454C34" w:rsidRDefault="00454C34">
            <w:pPr>
              <w:pStyle w:val="Contenutotabella"/>
              <w:jc w:val="left"/>
              <w:rPr>
                <w:sz w:val="18"/>
                <w:szCs w:val="18"/>
                <w:lang w:val="en-GB"/>
              </w:rPr>
            </w:pPr>
            <w:r>
              <w:rPr>
                <w:sz w:val="18"/>
                <w:szCs w:val="18"/>
                <w:lang w:val="en-GB"/>
              </w:rPr>
              <w:t>Develop a model that takes a leading position for academics and entrepreneurs wishing to develop new products.</w:t>
            </w:r>
          </w:p>
        </w:tc>
        <w:tc>
          <w:tcPr>
            <w:tcW w:w="1039" w:type="dxa"/>
            <w:tcBorders>
              <w:left w:val="single" w:sz="1" w:space="0" w:color="000000"/>
              <w:bottom w:val="single" w:sz="1" w:space="0" w:color="000000"/>
            </w:tcBorders>
            <w:shd w:val="clear" w:color="auto" w:fill="auto"/>
          </w:tcPr>
          <w:p w14:paraId="2F41A368" w14:textId="77777777" w:rsidR="00454C34" w:rsidRDefault="00454C34">
            <w:pPr>
              <w:pStyle w:val="Contenutotabella"/>
              <w:jc w:val="left"/>
              <w:rPr>
                <w:sz w:val="18"/>
                <w:szCs w:val="18"/>
                <w:lang w:val="en-GB"/>
              </w:rPr>
            </w:pPr>
            <w:r>
              <w:rPr>
                <w:sz w:val="18"/>
                <w:szCs w:val="18"/>
                <w:lang w:val="en-GB"/>
              </w:rPr>
              <w:t>2 Thai food machinery SMEs</w:t>
            </w:r>
          </w:p>
        </w:tc>
        <w:tc>
          <w:tcPr>
            <w:tcW w:w="1081" w:type="dxa"/>
            <w:tcBorders>
              <w:left w:val="single" w:sz="1" w:space="0" w:color="000000"/>
              <w:bottom w:val="single" w:sz="1" w:space="0" w:color="000000"/>
            </w:tcBorders>
            <w:shd w:val="clear" w:color="auto" w:fill="auto"/>
          </w:tcPr>
          <w:p w14:paraId="04268D4C" w14:textId="77777777" w:rsidR="00454C34" w:rsidRDefault="00454C34">
            <w:pPr>
              <w:pStyle w:val="Contenutotabella"/>
              <w:jc w:val="left"/>
              <w:rPr>
                <w:sz w:val="18"/>
                <w:szCs w:val="18"/>
                <w:lang w:val="en-GB"/>
              </w:rPr>
            </w:pPr>
            <w:r>
              <w:rPr>
                <w:sz w:val="18"/>
                <w:szCs w:val="18"/>
                <w:lang w:val="en-GB"/>
              </w:rPr>
              <w:t>Outbound (</w:t>
            </w:r>
            <w:proofErr w:type="gramStart"/>
            <w:r>
              <w:rPr>
                <w:sz w:val="18"/>
                <w:szCs w:val="18"/>
                <w:lang w:val="en-GB"/>
              </w:rPr>
              <w:t>e.g.</w:t>
            </w:r>
            <w:proofErr w:type="gramEnd"/>
            <w:r>
              <w:rPr>
                <w:sz w:val="18"/>
                <w:szCs w:val="18"/>
                <w:lang w:val="en-GB"/>
              </w:rPr>
              <w:t xml:space="preserve"> insourcing R&amp;D) and inbound (e.g. customer involvement) practices</w:t>
            </w:r>
          </w:p>
        </w:tc>
        <w:tc>
          <w:tcPr>
            <w:tcW w:w="1029" w:type="dxa"/>
            <w:tcBorders>
              <w:left w:val="single" w:sz="1" w:space="0" w:color="000000"/>
              <w:bottom w:val="single" w:sz="1" w:space="0" w:color="000000"/>
            </w:tcBorders>
            <w:shd w:val="clear" w:color="auto" w:fill="auto"/>
          </w:tcPr>
          <w:p w14:paraId="56075F25" w14:textId="77777777" w:rsidR="00454C34" w:rsidRDefault="00454C34">
            <w:pPr>
              <w:pStyle w:val="Contenutotabella"/>
              <w:jc w:val="left"/>
              <w:rPr>
                <w:sz w:val="18"/>
                <w:szCs w:val="18"/>
                <w:lang w:val="en-GB"/>
              </w:rPr>
            </w:pPr>
            <w:r>
              <w:rPr>
                <w:sz w:val="18"/>
                <w:szCs w:val="18"/>
                <w:lang w:val="en-GB"/>
              </w:rPr>
              <w:t>Food company</w:t>
            </w:r>
          </w:p>
        </w:tc>
        <w:tc>
          <w:tcPr>
            <w:tcW w:w="2422" w:type="dxa"/>
            <w:tcBorders>
              <w:left w:val="single" w:sz="1" w:space="0" w:color="000000"/>
              <w:bottom w:val="single" w:sz="1" w:space="0" w:color="000000"/>
              <w:right w:val="single" w:sz="1" w:space="0" w:color="000000"/>
            </w:tcBorders>
            <w:shd w:val="clear" w:color="auto" w:fill="auto"/>
          </w:tcPr>
          <w:p w14:paraId="73D9F3AB" w14:textId="77777777" w:rsidR="00454C34" w:rsidRDefault="00454C34">
            <w:pPr>
              <w:pStyle w:val="Contenutotabella"/>
              <w:jc w:val="left"/>
            </w:pPr>
            <w:r>
              <w:rPr>
                <w:sz w:val="18"/>
                <w:szCs w:val="18"/>
                <w:lang w:val="en-GB"/>
              </w:rPr>
              <w:t>The model is divided into 6 sub-patterns with different and unique characteristics. The results of these patterns demonstrate the flexibility of food machinery companies in applying one logical OI or another. In fact, companies do not only practice inbound OI or outbound OI but a mix of them. This agility in adopting various OI logics and practices helps the food machinery company to develop new core competencies along with its production technology.</w:t>
            </w:r>
          </w:p>
        </w:tc>
      </w:tr>
    </w:tbl>
    <w:p w14:paraId="5BEFF4EF" w14:textId="77777777" w:rsidR="00454C34" w:rsidRDefault="00454C34">
      <w:pPr>
        <w:spacing w:line="100" w:lineRule="atLeast"/>
        <w:jc w:val="center"/>
        <w:rPr>
          <w:sz w:val="18"/>
          <w:szCs w:val="18"/>
          <w:lang w:val="en-GB"/>
        </w:rPr>
      </w:pPr>
    </w:p>
    <w:p w14:paraId="1F946392" w14:textId="77777777" w:rsidR="00454C34" w:rsidRDefault="00454C34">
      <w:pPr>
        <w:spacing w:line="100" w:lineRule="atLeast"/>
        <w:jc w:val="center"/>
      </w:pPr>
      <w:r>
        <w:rPr>
          <w:sz w:val="18"/>
          <w:szCs w:val="18"/>
          <w:lang w:val="en-GB"/>
        </w:rPr>
        <w:t>Source: own elaboration.</w:t>
      </w:r>
    </w:p>
    <w:p w14:paraId="1ABC9D5A" w14:textId="77777777" w:rsidR="00454C34" w:rsidRDefault="00454C34">
      <w:pPr>
        <w:spacing w:line="276" w:lineRule="auto"/>
      </w:pPr>
    </w:p>
    <w:p w14:paraId="50ED39D8" w14:textId="77777777" w:rsidR="00454C34" w:rsidRDefault="00454C34">
      <w:pPr>
        <w:spacing w:line="276" w:lineRule="auto"/>
      </w:pPr>
    </w:p>
    <w:p w14:paraId="37D0FD7E" w14:textId="77777777" w:rsidR="00454C34" w:rsidRDefault="00454C34">
      <w:pPr>
        <w:sectPr w:rsidR="00454C34">
          <w:headerReference w:type="even" r:id="rId18"/>
          <w:headerReference w:type="default" r:id="rId19"/>
          <w:footerReference w:type="even" r:id="rId20"/>
          <w:footerReference w:type="default" r:id="rId21"/>
          <w:headerReference w:type="first" r:id="rId22"/>
          <w:footerReference w:type="first" r:id="rId23"/>
          <w:pgSz w:w="16838" w:h="11906" w:orient="landscape"/>
          <w:pgMar w:top="1134" w:right="1134" w:bottom="1134" w:left="1134" w:header="720" w:footer="720" w:gutter="0"/>
          <w:cols w:space="720"/>
        </w:sectPr>
      </w:pPr>
    </w:p>
    <w:p w14:paraId="6799A56F" w14:textId="77777777" w:rsidR="00454C34" w:rsidRDefault="00454C34">
      <w:pPr>
        <w:pStyle w:val="Corpotesto"/>
        <w:spacing w:line="276" w:lineRule="auto"/>
        <w:ind w:left="576" w:right="720" w:hanging="576"/>
        <w:rPr>
          <w:sz w:val="24"/>
          <w:szCs w:val="24"/>
        </w:rPr>
      </w:pPr>
    </w:p>
    <w:p w14:paraId="0C6C8B4A" w14:textId="77777777" w:rsidR="00454C34" w:rsidRDefault="00454C34">
      <w:pPr>
        <w:pStyle w:val="Corpotesto"/>
        <w:spacing w:line="276" w:lineRule="auto"/>
        <w:ind w:left="576" w:right="720" w:hanging="576"/>
        <w:rPr>
          <w:sz w:val="24"/>
          <w:szCs w:val="24"/>
        </w:rPr>
      </w:pPr>
      <w:r>
        <w:rPr>
          <w:b/>
          <w:bCs/>
          <w:sz w:val="28"/>
          <w:szCs w:val="28"/>
        </w:rPr>
        <w:t>N.4) Conclusions</w:t>
      </w:r>
    </w:p>
    <w:p w14:paraId="3B2841F1" w14:textId="77777777" w:rsidR="00454C34" w:rsidRDefault="00454C34">
      <w:pPr>
        <w:pStyle w:val="Corpotesto"/>
        <w:spacing w:line="276" w:lineRule="auto"/>
        <w:ind w:left="576" w:right="720" w:hanging="576"/>
        <w:rPr>
          <w:sz w:val="24"/>
          <w:szCs w:val="24"/>
        </w:rPr>
      </w:pPr>
    </w:p>
    <w:p w14:paraId="12768CE6" w14:textId="77777777" w:rsidR="00454C34" w:rsidRDefault="00454C34">
      <w:pPr>
        <w:pStyle w:val="Corpotesto"/>
        <w:tabs>
          <w:tab w:val="left" w:pos="218"/>
          <w:tab w:val="left" w:pos="297"/>
        </w:tabs>
        <w:spacing w:line="276" w:lineRule="auto"/>
        <w:ind w:left="31" w:right="711" w:hanging="576"/>
        <w:jc w:val="left"/>
      </w:pPr>
      <w:r>
        <w:rPr>
          <w:sz w:val="24"/>
          <w:szCs w:val="24"/>
        </w:rPr>
        <w:t xml:space="preserve">         The food industry is slowly moving towards open innovation models </w:t>
      </w:r>
      <w:proofErr w:type="gramStart"/>
      <w:r>
        <w:rPr>
          <w:sz w:val="24"/>
          <w:szCs w:val="24"/>
        </w:rPr>
        <w:t>in order to</w:t>
      </w:r>
      <w:proofErr w:type="gramEnd"/>
      <w:r>
        <w:rPr>
          <w:sz w:val="24"/>
          <w:szCs w:val="24"/>
        </w:rPr>
        <w:t xml:space="preserve"> overcome institutional and socio-economic changes (</w:t>
      </w:r>
      <w:proofErr w:type="spellStart"/>
      <w:r>
        <w:rPr>
          <w:sz w:val="24"/>
          <w:szCs w:val="24"/>
        </w:rPr>
        <w:t>Bayona-Saez</w:t>
      </w:r>
      <w:proofErr w:type="spellEnd"/>
      <w:r>
        <w:rPr>
          <w:sz w:val="24"/>
          <w:szCs w:val="24"/>
        </w:rPr>
        <w:t xml:space="preserve"> et al., 2017). Food open innovation models can complete traditional innovation models, in order to strengthen traditional </w:t>
      </w:r>
      <w:proofErr w:type="gramStart"/>
      <w:r>
        <w:rPr>
          <w:sz w:val="24"/>
          <w:szCs w:val="24"/>
        </w:rPr>
        <w:t>models</w:t>
      </w:r>
      <w:proofErr w:type="gramEnd"/>
      <w:r>
        <w:rPr>
          <w:sz w:val="24"/>
          <w:szCs w:val="24"/>
        </w:rPr>
        <w:t xml:space="preserve"> weaknesses (</w:t>
      </w:r>
      <w:proofErr w:type="spellStart"/>
      <w:r>
        <w:rPr>
          <w:sz w:val="24"/>
          <w:szCs w:val="24"/>
        </w:rPr>
        <w:t>Bigliardi</w:t>
      </w:r>
      <w:proofErr w:type="spellEnd"/>
      <w:r>
        <w:rPr>
          <w:sz w:val="24"/>
          <w:szCs w:val="24"/>
        </w:rPr>
        <w:t xml:space="preserve"> et al., 2020). Such goal is </w:t>
      </w:r>
      <w:proofErr w:type="gramStart"/>
      <w:r>
        <w:rPr>
          <w:sz w:val="24"/>
          <w:szCs w:val="24"/>
        </w:rPr>
        <w:t>unavoidable, since</w:t>
      </w:r>
      <w:proofErr w:type="gramEnd"/>
      <w:r>
        <w:rPr>
          <w:sz w:val="24"/>
          <w:szCs w:val="24"/>
        </w:rPr>
        <w:t xml:space="preserve"> the food sector will soon experience new challenges. However, those challenges could be transformed into opportunities (</w:t>
      </w:r>
      <w:proofErr w:type="gramStart"/>
      <w:r>
        <w:rPr>
          <w:sz w:val="24"/>
          <w:szCs w:val="24"/>
        </w:rPr>
        <w:t>e.g.</w:t>
      </w:r>
      <w:proofErr w:type="gramEnd"/>
      <w:r>
        <w:rPr>
          <w:sz w:val="24"/>
          <w:szCs w:val="24"/>
        </w:rPr>
        <w:t xml:space="preserve"> Exploitation of digital technologies). Nowadays economic actors live in the open innovation era: it is an undeniable stylized fact. In other words, companies can no longer rely exclusively on traditional open innovation models. Such mindset change requires a huge organizational culture transition. For instance, most of the food companies are afraid to share externally their know-how. Hence, new open innovation models should </w:t>
      </w:r>
      <w:proofErr w:type="gramStart"/>
      <w:r>
        <w:rPr>
          <w:sz w:val="24"/>
          <w:szCs w:val="24"/>
        </w:rPr>
        <w:t>take into account</w:t>
      </w:r>
      <w:proofErr w:type="gramEnd"/>
      <w:r>
        <w:rPr>
          <w:sz w:val="24"/>
          <w:szCs w:val="24"/>
        </w:rPr>
        <w:t xml:space="preserve"> this psychological issue. In other words, trust cannot be built exclusively through non-disclosure agreements or patents. So, organizational culture must embrace an open mindset. In conclusion, the present research carried out with Scopus can be improved through the integration of additional databases.</w:t>
      </w:r>
    </w:p>
    <w:p w14:paraId="69081EEE" w14:textId="77777777" w:rsidR="00454C34" w:rsidRDefault="00454C34">
      <w:pPr>
        <w:spacing w:line="100" w:lineRule="atLeast"/>
        <w:jc w:val="left"/>
      </w:pPr>
    </w:p>
    <w:p w14:paraId="77978652" w14:textId="77777777" w:rsidR="00454C34" w:rsidRPr="009C12F8" w:rsidRDefault="00454C34">
      <w:pPr>
        <w:spacing w:line="100" w:lineRule="atLeast"/>
        <w:jc w:val="left"/>
        <w:rPr>
          <w:sz w:val="24"/>
          <w:szCs w:val="24"/>
          <w:lang w:val="it-IT"/>
        </w:rPr>
      </w:pPr>
      <w:proofErr w:type="spellStart"/>
      <w:r w:rsidRPr="009C12F8">
        <w:rPr>
          <w:b/>
          <w:bCs/>
          <w:sz w:val="32"/>
          <w:szCs w:val="32"/>
          <w:lang w:val="it-IT"/>
        </w:rPr>
        <w:t>References</w:t>
      </w:r>
      <w:proofErr w:type="spellEnd"/>
    </w:p>
    <w:p w14:paraId="0B08ED48" w14:textId="77777777" w:rsidR="00454C34" w:rsidRPr="009C12F8" w:rsidRDefault="00454C34">
      <w:pPr>
        <w:spacing w:line="100" w:lineRule="atLeast"/>
        <w:jc w:val="left"/>
        <w:rPr>
          <w:sz w:val="24"/>
          <w:szCs w:val="24"/>
          <w:lang w:val="it-IT"/>
        </w:rPr>
      </w:pPr>
    </w:p>
    <w:p w14:paraId="70838F70" w14:textId="77777777" w:rsidR="00454C34" w:rsidRDefault="00454C34">
      <w:pPr>
        <w:spacing w:line="100" w:lineRule="atLeast"/>
        <w:jc w:val="left"/>
        <w:rPr>
          <w:sz w:val="20"/>
          <w:lang w:val="en-GB"/>
        </w:rPr>
      </w:pPr>
      <w:r w:rsidRPr="009C12F8">
        <w:rPr>
          <w:sz w:val="20"/>
          <w:lang w:val="it-IT"/>
        </w:rPr>
        <w:t xml:space="preserve">Arcese, G., Flammini, S., Lucchetti, M. C., Martucci, O. (2015). </w:t>
      </w:r>
      <w:r>
        <w:rPr>
          <w:i/>
          <w:iCs/>
          <w:sz w:val="20"/>
          <w:lang w:val="en-GB"/>
        </w:rPr>
        <w:t>“Evidence and Experience of Open Sustainability Innovation Practices in the Food Sector”</w:t>
      </w:r>
      <w:r>
        <w:rPr>
          <w:sz w:val="20"/>
          <w:lang w:val="en-GB"/>
        </w:rPr>
        <w:t>. Sustainability, 7.</w:t>
      </w:r>
    </w:p>
    <w:p w14:paraId="0222A2F1" w14:textId="77777777" w:rsidR="00454C34" w:rsidRDefault="00454C34">
      <w:pPr>
        <w:spacing w:line="100" w:lineRule="atLeast"/>
        <w:jc w:val="left"/>
        <w:rPr>
          <w:sz w:val="20"/>
          <w:lang w:val="en-GB"/>
        </w:rPr>
      </w:pPr>
    </w:p>
    <w:p w14:paraId="05D1B6B8" w14:textId="77777777" w:rsidR="00454C34" w:rsidRDefault="00454C34">
      <w:pPr>
        <w:spacing w:line="100" w:lineRule="atLeast"/>
        <w:jc w:val="left"/>
        <w:rPr>
          <w:sz w:val="20"/>
          <w:lang w:val="en-GB"/>
        </w:rPr>
      </w:pPr>
      <w:proofErr w:type="spellStart"/>
      <w:r>
        <w:rPr>
          <w:sz w:val="20"/>
          <w:lang w:val="en-GB"/>
        </w:rPr>
        <w:t>Bayona-Saez</w:t>
      </w:r>
      <w:proofErr w:type="spellEnd"/>
      <w:r>
        <w:rPr>
          <w:sz w:val="20"/>
          <w:lang w:val="en-GB"/>
        </w:rPr>
        <w:t>, C., Cruz-</w:t>
      </w:r>
      <w:proofErr w:type="spellStart"/>
      <w:r>
        <w:rPr>
          <w:sz w:val="20"/>
          <w:lang w:val="en-GB"/>
        </w:rPr>
        <w:t>Cázares</w:t>
      </w:r>
      <w:proofErr w:type="spellEnd"/>
      <w:r>
        <w:rPr>
          <w:sz w:val="20"/>
          <w:lang w:val="en-GB"/>
        </w:rPr>
        <w:t xml:space="preserve">, C., García-Marco, T., García, M. S. (2017). </w:t>
      </w:r>
      <w:r>
        <w:rPr>
          <w:i/>
          <w:iCs/>
          <w:sz w:val="20"/>
          <w:lang w:val="en-GB"/>
        </w:rPr>
        <w:t>“Open innovation in the food and beverage industry”</w:t>
      </w:r>
      <w:r>
        <w:rPr>
          <w:sz w:val="20"/>
          <w:lang w:val="en-GB"/>
        </w:rPr>
        <w:t>. Management Decision.</w:t>
      </w:r>
    </w:p>
    <w:p w14:paraId="595B690B" w14:textId="77777777" w:rsidR="00454C34" w:rsidRDefault="00454C34">
      <w:pPr>
        <w:spacing w:line="100" w:lineRule="atLeast"/>
        <w:jc w:val="left"/>
        <w:rPr>
          <w:sz w:val="20"/>
          <w:lang w:val="en-GB"/>
        </w:rPr>
      </w:pPr>
    </w:p>
    <w:p w14:paraId="22D99E4F" w14:textId="77777777" w:rsidR="00454C34" w:rsidRDefault="00454C34">
      <w:pPr>
        <w:spacing w:line="100" w:lineRule="atLeast"/>
        <w:jc w:val="left"/>
        <w:rPr>
          <w:sz w:val="20"/>
          <w:lang w:val="en-GB"/>
        </w:rPr>
      </w:pPr>
      <w:proofErr w:type="spellStart"/>
      <w:r>
        <w:rPr>
          <w:sz w:val="20"/>
          <w:lang w:val="en-GB"/>
        </w:rPr>
        <w:t>Bellairs</w:t>
      </w:r>
      <w:proofErr w:type="spellEnd"/>
      <w:r>
        <w:rPr>
          <w:sz w:val="20"/>
          <w:lang w:val="en-GB"/>
        </w:rPr>
        <w:t xml:space="preserve">, J. (2010). </w:t>
      </w:r>
      <w:r>
        <w:rPr>
          <w:i/>
          <w:iCs/>
          <w:sz w:val="20"/>
          <w:lang w:val="en-GB"/>
        </w:rPr>
        <w:t>“Open innovation gaining momentum in the food industry”</w:t>
      </w:r>
      <w:r>
        <w:rPr>
          <w:sz w:val="20"/>
          <w:lang w:val="en-GB"/>
        </w:rPr>
        <w:t>. Cereal Foods World, 55(1), 4-6.</w:t>
      </w:r>
    </w:p>
    <w:p w14:paraId="119B06A8" w14:textId="77777777" w:rsidR="00454C34" w:rsidRDefault="00454C34">
      <w:pPr>
        <w:spacing w:line="100" w:lineRule="atLeast"/>
        <w:jc w:val="left"/>
        <w:rPr>
          <w:sz w:val="20"/>
          <w:lang w:val="en-GB"/>
        </w:rPr>
      </w:pPr>
    </w:p>
    <w:p w14:paraId="035B193A" w14:textId="77777777" w:rsidR="00454C34" w:rsidRPr="009C12F8" w:rsidRDefault="00454C34">
      <w:pPr>
        <w:spacing w:line="100" w:lineRule="atLeast"/>
        <w:jc w:val="left"/>
        <w:rPr>
          <w:sz w:val="20"/>
          <w:lang w:val="it-IT"/>
        </w:rPr>
      </w:pPr>
      <w:r>
        <w:rPr>
          <w:sz w:val="20"/>
          <w:lang w:val="en-GB"/>
        </w:rPr>
        <w:t>Bennett, R. C., &amp; Cooper, R. G. (1984). “</w:t>
      </w:r>
      <w:r>
        <w:rPr>
          <w:i/>
          <w:iCs/>
          <w:sz w:val="20"/>
          <w:lang w:val="en-GB"/>
        </w:rPr>
        <w:t>The product life cycle trap”</w:t>
      </w:r>
      <w:r>
        <w:rPr>
          <w:sz w:val="20"/>
          <w:lang w:val="en-GB"/>
        </w:rPr>
        <w:t xml:space="preserve">. </w:t>
      </w:r>
      <w:r w:rsidRPr="009C12F8">
        <w:rPr>
          <w:sz w:val="20"/>
          <w:lang w:val="it-IT"/>
        </w:rPr>
        <w:t>Business Horizons, 27 (5), 7-16.</w:t>
      </w:r>
    </w:p>
    <w:p w14:paraId="58E37067" w14:textId="77777777" w:rsidR="00454C34" w:rsidRPr="009C12F8" w:rsidRDefault="00454C34">
      <w:pPr>
        <w:spacing w:line="100" w:lineRule="atLeast"/>
        <w:jc w:val="left"/>
        <w:rPr>
          <w:sz w:val="20"/>
          <w:lang w:val="it-IT"/>
        </w:rPr>
      </w:pPr>
    </w:p>
    <w:p w14:paraId="285C1150" w14:textId="77777777" w:rsidR="00454C34" w:rsidRDefault="00454C34">
      <w:pPr>
        <w:spacing w:line="100" w:lineRule="atLeast"/>
        <w:jc w:val="left"/>
        <w:rPr>
          <w:sz w:val="20"/>
          <w:lang w:val="en-GB"/>
        </w:rPr>
      </w:pPr>
      <w:r w:rsidRPr="009C12F8">
        <w:rPr>
          <w:sz w:val="20"/>
          <w:lang w:val="it-IT"/>
        </w:rPr>
        <w:t xml:space="preserve">Bigliardi, B., Ferraro, G., Filippelli, S., Galati, F. (2020). </w:t>
      </w:r>
      <w:r>
        <w:rPr>
          <w:i/>
          <w:iCs/>
          <w:sz w:val="20"/>
          <w:lang w:val="en-GB"/>
        </w:rPr>
        <w:t>“Innovation models in food industry: a review of the literature”</w:t>
      </w:r>
      <w:r>
        <w:rPr>
          <w:sz w:val="20"/>
          <w:lang w:val="en-GB"/>
        </w:rPr>
        <w:t>. Journal of Technology Management &amp; Innovation, 15(3).</w:t>
      </w:r>
    </w:p>
    <w:p w14:paraId="6F10E122" w14:textId="77777777" w:rsidR="00454C34" w:rsidRDefault="00454C34">
      <w:pPr>
        <w:spacing w:line="100" w:lineRule="atLeast"/>
        <w:jc w:val="left"/>
        <w:rPr>
          <w:sz w:val="20"/>
          <w:lang w:val="en-GB"/>
        </w:rPr>
      </w:pPr>
    </w:p>
    <w:p w14:paraId="7599C298" w14:textId="77777777" w:rsidR="00454C34" w:rsidRDefault="00454C34">
      <w:pPr>
        <w:spacing w:line="100" w:lineRule="atLeast"/>
        <w:jc w:val="left"/>
        <w:rPr>
          <w:sz w:val="20"/>
          <w:lang w:val="en-GB"/>
        </w:rPr>
      </w:pPr>
      <w:proofErr w:type="spellStart"/>
      <w:r>
        <w:rPr>
          <w:sz w:val="20"/>
          <w:lang w:val="en-GB"/>
        </w:rPr>
        <w:t>Bigliardi</w:t>
      </w:r>
      <w:proofErr w:type="spellEnd"/>
      <w:r>
        <w:rPr>
          <w:sz w:val="20"/>
          <w:lang w:val="en-GB"/>
        </w:rPr>
        <w:t xml:space="preserve">, B., &amp; </w:t>
      </w:r>
      <w:proofErr w:type="spellStart"/>
      <w:r>
        <w:rPr>
          <w:sz w:val="20"/>
          <w:lang w:val="en-GB"/>
        </w:rPr>
        <w:t>Filippelli</w:t>
      </w:r>
      <w:proofErr w:type="spellEnd"/>
      <w:r>
        <w:rPr>
          <w:sz w:val="20"/>
          <w:lang w:val="en-GB"/>
        </w:rPr>
        <w:t xml:space="preserve">, S. (2022). </w:t>
      </w:r>
      <w:r>
        <w:rPr>
          <w:i/>
          <w:iCs/>
          <w:sz w:val="20"/>
          <w:lang w:val="en-GB"/>
        </w:rPr>
        <w:t xml:space="preserve">“A review of the literature on innovation in the </w:t>
      </w:r>
      <w:proofErr w:type="spellStart"/>
      <w:r>
        <w:rPr>
          <w:i/>
          <w:iCs/>
          <w:sz w:val="20"/>
          <w:lang w:val="en-GB"/>
        </w:rPr>
        <w:t>agrofood</w:t>
      </w:r>
      <w:proofErr w:type="spellEnd"/>
      <w:r>
        <w:rPr>
          <w:i/>
          <w:iCs/>
          <w:sz w:val="20"/>
          <w:lang w:val="en-GB"/>
        </w:rPr>
        <w:t xml:space="preserve"> industry: sustainability, smartness and health”</w:t>
      </w:r>
      <w:r>
        <w:rPr>
          <w:sz w:val="20"/>
          <w:lang w:val="en-GB"/>
        </w:rPr>
        <w:t>.  European Journal of Innovation Management, 25 (6), 589-611.</w:t>
      </w:r>
    </w:p>
    <w:p w14:paraId="26CB3B21" w14:textId="77777777" w:rsidR="00454C34" w:rsidRDefault="00454C34">
      <w:pPr>
        <w:spacing w:line="100" w:lineRule="atLeast"/>
        <w:jc w:val="left"/>
        <w:rPr>
          <w:sz w:val="20"/>
          <w:lang w:val="en-GB"/>
        </w:rPr>
      </w:pPr>
    </w:p>
    <w:p w14:paraId="5DA828D8" w14:textId="77777777" w:rsidR="00454C34" w:rsidRDefault="00454C34">
      <w:pPr>
        <w:spacing w:line="100" w:lineRule="atLeast"/>
        <w:jc w:val="left"/>
        <w:rPr>
          <w:sz w:val="20"/>
          <w:lang w:val="en-GB"/>
        </w:rPr>
      </w:pPr>
      <w:proofErr w:type="spellStart"/>
      <w:r>
        <w:rPr>
          <w:sz w:val="20"/>
          <w:lang w:val="en-GB"/>
        </w:rPr>
        <w:t>Bigliardi</w:t>
      </w:r>
      <w:proofErr w:type="spellEnd"/>
      <w:r>
        <w:rPr>
          <w:sz w:val="20"/>
          <w:lang w:val="en-GB"/>
        </w:rPr>
        <w:t xml:space="preserve">, B., Galati, F., </w:t>
      </w:r>
      <w:proofErr w:type="spellStart"/>
      <w:r>
        <w:rPr>
          <w:sz w:val="20"/>
          <w:lang w:val="en-GB"/>
        </w:rPr>
        <w:t>Bottani</w:t>
      </w:r>
      <w:proofErr w:type="spellEnd"/>
      <w:r>
        <w:rPr>
          <w:sz w:val="20"/>
          <w:lang w:val="en-GB"/>
        </w:rPr>
        <w:t xml:space="preserve">, E. (2010). </w:t>
      </w:r>
      <w:r>
        <w:rPr>
          <w:i/>
          <w:iCs/>
          <w:sz w:val="20"/>
          <w:lang w:val="en-GB"/>
        </w:rPr>
        <w:t>“Open innovation and supply chain management in food machinery supply chain: a case study”</w:t>
      </w:r>
      <w:r>
        <w:rPr>
          <w:sz w:val="20"/>
          <w:lang w:val="en-GB"/>
        </w:rPr>
        <w:t>. International Journal of Engineering, Science and Technology, 2(6), 244-255.</w:t>
      </w:r>
    </w:p>
    <w:p w14:paraId="1733C7BA" w14:textId="77777777" w:rsidR="00454C34" w:rsidRDefault="00454C34">
      <w:pPr>
        <w:spacing w:line="100" w:lineRule="atLeast"/>
        <w:jc w:val="left"/>
        <w:rPr>
          <w:sz w:val="20"/>
          <w:lang w:val="en-GB"/>
        </w:rPr>
      </w:pPr>
    </w:p>
    <w:p w14:paraId="3881FB92" w14:textId="77777777" w:rsidR="00454C34" w:rsidRDefault="00454C34">
      <w:pPr>
        <w:spacing w:line="100" w:lineRule="atLeast"/>
        <w:jc w:val="left"/>
        <w:rPr>
          <w:sz w:val="20"/>
          <w:lang w:val="en-GB"/>
        </w:rPr>
      </w:pPr>
      <w:proofErr w:type="spellStart"/>
      <w:r>
        <w:rPr>
          <w:sz w:val="20"/>
          <w:lang w:val="en-GB"/>
        </w:rPr>
        <w:t>Bigliardi</w:t>
      </w:r>
      <w:proofErr w:type="spellEnd"/>
      <w:r>
        <w:rPr>
          <w:sz w:val="20"/>
          <w:lang w:val="en-GB"/>
        </w:rPr>
        <w:t xml:space="preserve">, B., &amp; Galati, F. (2013). </w:t>
      </w:r>
      <w:r>
        <w:rPr>
          <w:i/>
          <w:iCs/>
          <w:sz w:val="20"/>
          <w:lang w:val="en-GB"/>
        </w:rPr>
        <w:t xml:space="preserve">“Models of adoption of open innovation within </w:t>
      </w:r>
      <w:proofErr w:type="gramStart"/>
      <w:r>
        <w:rPr>
          <w:i/>
          <w:iCs/>
          <w:sz w:val="20"/>
          <w:lang w:val="en-GB"/>
        </w:rPr>
        <w:t>the  food</w:t>
      </w:r>
      <w:proofErr w:type="gramEnd"/>
      <w:r>
        <w:rPr>
          <w:i/>
          <w:iCs/>
          <w:sz w:val="20"/>
          <w:lang w:val="en-GB"/>
        </w:rPr>
        <w:t xml:space="preserve"> industry”</w:t>
      </w:r>
      <w:r>
        <w:rPr>
          <w:sz w:val="20"/>
          <w:lang w:val="en-GB"/>
        </w:rPr>
        <w:t>. Trends in Food Science &amp; Technology, 30(1), 16-26.</w:t>
      </w:r>
    </w:p>
    <w:p w14:paraId="6D9CD113" w14:textId="77777777" w:rsidR="00454C34" w:rsidRDefault="00454C34">
      <w:pPr>
        <w:spacing w:line="100" w:lineRule="atLeast"/>
        <w:jc w:val="left"/>
        <w:rPr>
          <w:sz w:val="20"/>
          <w:lang w:val="en-GB"/>
        </w:rPr>
      </w:pPr>
    </w:p>
    <w:p w14:paraId="340DB938" w14:textId="77777777" w:rsidR="00454C34" w:rsidRDefault="00454C34">
      <w:pPr>
        <w:spacing w:line="100" w:lineRule="atLeast"/>
        <w:jc w:val="left"/>
        <w:rPr>
          <w:sz w:val="20"/>
          <w:lang w:val="en-GB"/>
        </w:rPr>
      </w:pPr>
      <w:r>
        <w:rPr>
          <w:sz w:val="20"/>
          <w:lang w:val="en-GB"/>
        </w:rPr>
        <w:t>Chesbrough, H. (2003). “</w:t>
      </w:r>
      <w:r>
        <w:rPr>
          <w:i/>
          <w:iCs/>
          <w:sz w:val="20"/>
          <w:lang w:val="en-GB"/>
        </w:rPr>
        <w:t>The era of open innovation”</w:t>
      </w:r>
      <w:r>
        <w:rPr>
          <w:sz w:val="20"/>
          <w:lang w:val="en-GB"/>
        </w:rPr>
        <w:t>. MIT Sloan Management Review, 44 (3), 35-41.</w:t>
      </w:r>
    </w:p>
    <w:p w14:paraId="0D8761CE" w14:textId="77777777" w:rsidR="00454C34" w:rsidRDefault="00454C34">
      <w:pPr>
        <w:spacing w:line="100" w:lineRule="atLeast"/>
        <w:jc w:val="left"/>
        <w:rPr>
          <w:sz w:val="20"/>
          <w:lang w:val="en-GB"/>
        </w:rPr>
      </w:pPr>
    </w:p>
    <w:p w14:paraId="1DBFC1C1" w14:textId="77777777" w:rsidR="00454C34" w:rsidRDefault="00454C34">
      <w:pPr>
        <w:spacing w:line="100" w:lineRule="atLeast"/>
        <w:jc w:val="left"/>
        <w:rPr>
          <w:sz w:val="20"/>
          <w:lang w:val="en-GB"/>
        </w:rPr>
      </w:pPr>
      <w:r>
        <w:rPr>
          <w:sz w:val="20"/>
          <w:lang w:val="en-GB"/>
        </w:rPr>
        <w:t xml:space="preserve">Chesbrough, H. (2003). </w:t>
      </w:r>
      <w:r>
        <w:rPr>
          <w:i/>
          <w:iCs/>
          <w:sz w:val="20"/>
          <w:lang w:val="en-GB"/>
        </w:rPr>
        <w:t xml:space="preserve">“Open Innovation: The new imperative for creating &amp; </w:t>
      </w:r>
      <w:proofErr w:type="gramStart"/>
      <w:r>
        <w:rPr>
          <w:i/>
          <w:iCs/>
          <w:sz w:val="20"/>
          <w:lang w:val="en-GB"/>
        </w:rPr>
        <w:t>profiting  from</w:t>
      </w:r>
      <w:proofErr w:type="gramEnd"/>
      <w:r>
        <w:rPr>
          <w:i/>
          <w:iCs/>
          <w:sz w:val="20"/>
          <w:lang w:val="en-GB"/>
        </w:rPr>
        <w:t xml:space="preserve"> technology”</w:t>
      </w:r>
      <w:r>
        <w:rPr>
          <w:sz w:val="20"/>
          <w:lang w:val="en-GB"/>
        </w:rPr>
        <w:t>. Harvard Business Press.</w:t>
      </w:r>
    </w:p>
    <w:p w14:paraId="6078B924" w14:textId="77777777" w:rsidR="00454C34" w:rsidRDefault="00454C34">
      <w:pPr>
        <w:spacing w:line="100" w:lineRule="atLeast"/>
        <w:jc w:val="left"/>
        <w:rPr>
          <w:sz w:val="20"/>
          <w:lang w:val="en-GB"/>
        </w:rPr>
      </w:pPr>
    </w:p>
    <w:p w14:paraId="1263847B" w14:textId="77777777" w:rsidR="00454C34" w:rsidRDefault="00454C34">
      <w:pPr>
        <w:spacing w:line="100" w:lineRule="atLeast"/>
        <w:jc w:val="left"/>
        <w:rPr>
          <w:sz w:val="20"/>
          <w:lang w:val="en-GB"/>
        </w:rPr>
      </w:pPr>
      <w:r>
        <w:rPr>
          <w:sz w:val="20"/>
          <w:lang w:val="en-GB"/>
        </w:rPr>
        <w:t xml:space="preserve">Chesbrough, H., &amp; </w:t>
      </w:r>
      <w:proofErr w:type="spellStart"/>
      <w:r>
        <w:rPr>
          <w:sz w:val="20"/>
          <w:lang w:val="en-GB"/>
        </w:rPr>
        <w:t>Bogers</w:t>
      </w:r>
      <w:proofErr w:type="spellEnd"/>
      <w:r>
        <w:rPr>
          <w:sz w:val="20"/>
          <w:lang w:val="en-GB"/>
        </w:rPr>
        <w:t xml:space="preserve">, M. (2014). </w:t>
      </w:r>
      <w:r>
        <w:rPr>
          <w:i/>
          <w:iCs/>
          <w:sz w:val="20"/>
          <w:lang w:val="en-GB"/>
        </w:rPr>
        <w:t xml:space="preserve">“Explicating open innovation: clarifying </w:t>
      </w:r>
      <w:proofErr w:type="gramStart"/>
      <w:r>
        <w:rPr>
          <w:i/>
          <w:iCs/>
          <w:sz w:val="20"/>
          <w:lang w:val="en-GB"/>
        </w:rPr>
        <w:t>an  emerging</w:t>
      </w:r>
      <w:proofErr w:type="gramEnd"/>
      <w:r>
        <w:rPr>
          <w:i/>
          <w:iCs/>
          <w:sz w:val="20"/>
          <w:lang w:val="en-GB"/>
        </w:rPr>
        <w:t xml:space="preserve"> paradigm for understanding innovation. New Frontiers in </w:t>
      </w:r>
      <w:proofErr w:type="gramStart"/>
      <w:r>
        <w:rPr>
          <w:i/>
          <w:iCs/>
          <w:sz w:val="20"/>
          <w:lang w:val="en-GB"/>
        </w:rPr>
        <w:t>Open  Innovation</w:t>
      </w:r>
      <w:proofErr w:type="gramEnd"/>
      <w:r>
        <w:rPr>
          <w:i/>
          <w:iCs/>
          <w:sz w:val="20"/>
          <w:lang w:val="en-GB"/>
        </w:rPr>
        <w:t>”</w:t>
      </w:r>
      <w:r>
        <w:rPr>
          <w:sz w:val="20"/>
          <w:lang w:val="en-GB"/>
        </w:rPr>
        <w:t>. Oxford University Press, Forthcoming, 3-28.</w:t>
      </w:r>
    </w:p>
    <w:p w14:paraId="0EDE1377" w14:textId="77777777" w:rsidR="00454C34" w:rsidRDefault="00454C34">
      <w:pPr>
        <w:spacing w:line="100" w:lineRule="atLeast"/>
        <w:jc w:val="left"/>
        <w:rPr>
          <w:sz w:val="20"/>
          <w:lang w:val="en-GB"/>
        </w:rPr>
      </w:pPr>
    </w:p>
    <w:p w14:paraId="789D7938" w14:textId="77777777" w:rsidR="00454C34" w:rsidRPr="00D62C70" w:rsidRDefault="00454C34">
      <w:pPr>
        <w:spacing w:line="100" w:lineRule="atLeast"/>
        <w:jc w:val="left"/>
        <w:rPr>
          <w:sz w:val="20"/>
          <w:lang w:val="en-GB"/>
        </w:rPr>
      </w:pPr>
      <w:r>
        <w:rPr>
          <w:sz w:val="20"/>
          <w:lang w:val="en-GB"/>
        </w:rPr>
        <w:t xml:space="preserve">Chesbrough, H. (2020). </w:t>
      </w:r>
      <w:r>
        <w:rPr>
          <w:i/>
          <w:iCs/>
          <w:sz w:val="20"/>
          <w:lang w:val="en-GB"/>
        </w:rPr>
        <w:t>“To recover faster from Covid-19, open up: managerial implications from an open innovation perspective”</w:t>
      </w:r>
      <w:r>
        <w:rPr>
          <w:sz w:val="20"/>
          <w:lang w:val="en-GB"/>
        </w:rPr>
        <w:t xml:space="preserve">. </w:t>
      </w:r>
      <w:r w:rsidRPr="00D62C70">
        <w:rPr>
          <w:sz w:val="20"/>
          <w:lang w:val="en-GB"/>
        </w:rPr>
        <w:t>Industrial Marketing Management, 88, 410-413.</w:t>
      </w:r>
    </w:p>
    <w:p w14:paraId="4C405400" w14:textId="77777777" w:rsidR="00454C34" w:rsidRPr="00D62C70" w:rsidRDefault="00454C34">
      <w:pPr>
        <w:spacing w:line="100" w:lineRule="atLeast"/>
        <w:jc w:val="left"/>
        <w:rPr>
          <w:sz w:val="20"/>
          <w:lang w:val="en-GB"/>
        </w:rPr>
      </w:pPr>
    </w:p>
    <w:p w14:paraId="5AE36B2D" w14:textId="77777777" w:rsidR="00454C34" w:rsidRDefault="00454C34">
      <w:pPr>
        <w:spacing w:line="100" w:lineRule="atLeast"/>
        <w:jc w:val="left"/>
        <w:rPr>
          <w:sz w:val="20"/>
          <w:lang w:val="en-GB"/>
        </w:rPr>
      </w:pPr>
      <w:proofErr w:type="spellStart"/>
      <w:r w:rsidRPr="00D62C70">
        <w:rPr>
          <w:sz w:val="20"/>
          <w:lang w:val="en-GB"/>
        </w:rPr>
        <w:t>Cillo</w:t>
      </w:r>
      <w:proofErr w:type="spellEnd"/>
      <w:r w:rsidRPr="00D62C70">
        <w:rPr>
          <w:sz w:val="20"/>
          <w:lang w:val="en-GB"/>
        </w:rPr>
        <w:t xml:space="preserve">, V., </w:t>
      </w:r>
      <w:proofErr w:type="spellStart"/>
      <w:r w:rsidRPr="00D62C70">
        <w:rPr>
          <w:sz w:val="20"/>
          <w:lang w:val="en-GB"/>
        </w:rPr>
        <w:t>Rialti</w:t>
      </w:r>
      <w:proofErr w:type="spellEnd"/>
      <w:r w:rsidRPr="00D62C70">
        <w:rPr>
          <w:sz w:val="20"/>
          <w:lang w:val="en-GB"/>
        </w:rPr>
        <w:t xml:space="preserve">, R., Bertoldi, B., </w:t>
      </w:r>
      <w:proofErr w:type="spellStart"/>
      <w:r w:rsidRPr="00D62C70">
        <w:rPr>
          <w:sz w:val="20"/>
          <w:lang w:val="en-GB"/>
        </w:rPr>
        <w:t>Ciampi</w:t>
      </w:r>
      <w:proofErr w:type="spellEnd"/>
      <w:r w:rsidRPr="00D62C70">
        <w:rPr>
          <w:sz w:val="20"/>
          <w:lang w:val="en-GB"/>
        </w:rPr>
        <w:t xml:space="preserve">, F. (2019). </w:t>
      </w:r>
      <w:r>
        <w:rPr>
          <w:i/>
          <w:iCs/>
          <w:sz w:val="20"/>
          <w:lang w:val="en-GB"/>
        </w:rPr>
        <w:t>“Knowledge management and open innovation in agri-food crowdfunding”</w:t>
      </w:r>
      <w:r>
        <w:rPr>
          <w:sz w:val="20"/>
          <w:lang w:val="en-GB"/>
        </w:rPr>
        <w:t>. British Food Journal, 121 (2), 242-258.</w:t>
      </w:r>
    </w:p>
    <w:p w14:paraId="61937BC1" w14:textId="77777777" w:rsidR="00454C34" w:rsidRDefault="00454C34">
      <w:pPr>
        <w:spacing w:line="100" w:lineRule="atLeast"/>
        <w:jc w:val="left"/>
        <w:rPr>
          <w:sz w:val="20"/>
          <w:lang w:val="en-GB"/>
        </w:rPr>
      </w:pPr>
    </w:p>
    <w:p w14:paraId="71FF9638" w14:textId="77777777" w:rsidR="00454C34" w:rsidRDefault="00454C34">
      <w:pPr>
        <w:spacing w:line="100" w:lineRule="atLeast"/>
        <w:jc w:val="left"/>
        <w:rPr>
          <w:sz w:val="20"/>
          <w:lang w:val="en-GB"/>
        </w:rPr>
      </w:pPr>
      <w:r>
        <w:rPr>
          <w:sz w:val="20"/>
          <w:lang w:val="en-GB"/>
        </w:rPr>
        <w:t>Day, G. S. (1981). “</w:t>
      </w:r>
      <w:r>
        <w:rPr>
          <w:i/>
          <w:iCs/>
          <w:sz w:val="20"/>
          <w:lang w:val="en-GB"/>
        </w:rPr>
        <w:t>The product life cycle: analysis and application issues”</w:t>
      </w:r>
      <w:r>
        <w:rPr>
          <w:sz w:val="20"/>
          <w:lang w:val="en-GB"/>
        </w:rPr>
        <w:t>. Journal of Marketing, 45 (4), 60-67.</w:t>
      </w:r>
    </w:p>
    <w:p w14:paraId="7532CCE4" w14:textId="77777777" w:rsidR="00454C34" w:rsidRDefault="00454C34">
      <w:pPr>
        <w:spacing w:line="100" w:lineRule="atLeast"/>
        <w:jc w:val="left"/>
        <w:rPr>
          <w:sz w:val="20"/>
          <w:lang w:val="en-GB"/>
        </w:rPr>
      </w:pPr>
    </w:p>
    <w:p w14:paraId="38EB2C0F" w14:textId="77777777" w:rsidR="00454C34" w:rsidRDefault="00454C34">
      <w:pPr>
        <w:spacing w:line="100" w:lineRule="atLeast"/>
        <w:jc w:val="left"/>
        <w:rPr>
          <w:sz w:val="20"/>
          <w:lang w:val="en-GB"/>
        </w:rPr>
      </w:pPr>
      <w:r>
        <w:rPr>
          <w:sz w:val="20"/>
          <w:lang w:val="en-GB"/>
        </w:rPr>
        <w:t>Dean, J. (1950). “</w:t>
      </w:r>
      <w:r>
        <w:rPr>
          <w:i/>
          <w:iCs/>
          <w:sz w:val="20"/>
          <w:lang w:val="en-GB"/>
        </w:rPr>
        <w:t>Pricing policies for new products”</w:t>
      </w:r>
      <w:r>
        <w:rPr>
          <w:sz w:val="20"/>
          <w:lang w:val="en-GB"/>
        </w:rPr>
        <w:t>. Harvard Business Review, 28 (6), 45-53.</w:t>
      </w:r>
    </w:p>
    <w:p w14:paraId="3105FE36" w14:textId="77777777" w:rsidR="00454C34" w:rsidRDefault="00454C34">
      <w:pPr>
        <w:spacing w:line="100" w:lineRule="atLeast"/>
        <w:jc w:val="left"/>
        <w:rPr>
          <w:sz w:val="20"/>
          <w:lang w:val="en-GB"/>
        </w:rPr>
      </w:pPr>
    </w:p>
    <w:p w14:paraId="4DF63163" w14:textId="77777777" w:rsidR="00454C34" w:rsidRDefault="00454C34">
      <w:pPr>
        <w:spacing w:line="100" w:lineRule="atLeast"/>
        <w:jc w:val="left"/>
        <w:rPr>
          <w:sz w:val="20"/>
          <w:lang w:val="en-GB"/>
        </w:rPr>
      </w:pPr>
      <w:r>
        <w:rPr>
          <w:sz w:val="20"/>
          <w:lang w:val="en-GB"/>
        </w:rPr>
        <w:t xml:space="preserve">De Medeiros, G. I. B., </w:t>
      </w:r>
      <w:proofErr w:type="spellStart"/>
      <w:r>
        <w:rPr>
          <w:sz w:val="20"/>
          <w:lang w:val="en-GB"/>
        </w:rPr>
        <w:t>Erlaine</w:t>
      </w:r>
      <w:proofErr w:type="spellEnd"/>
      <w:r>
        <w:rPr>
          <w:sz w:val="20"/>
          <w:lang w:val="en-GB"/>
        </w:rPr>
        <w:t xml:space="preserve">, B., de Queiroz </w:t>
      </w:r>
      <w:proofErr w:type="spellStart"/>
      <w:r>
        <w:rPr>
          <w:sz w:val="20"/>
          <w:lang w:val="en-GB"/>
        </w:rPr>
        <w:t>Caleman</w:t>
      </w:r>
      <w:proofErr w:type="spellEnd"/>
      <w:r>
        <w:rPr>
          <w:sz w:val="20"/>
          <w:lang w:val="en-GB"/>
        </w:rPr>
        <w:t xml:space="preserve">, S. M., </w:t>
      </w:r>
      <w:proofErr w:type="spellStart"/>
      <w:r>
        <w:rPr>
          <w:sz w:val="20"/>
          <w:lang w:val="en-GB"/>
        </w:rPr>
        <w:t>Florindo</w:t>
      </w:r>
      <w:proofErr w:type="spellEnd"/>
      <w:r>
        <w:rPr>
          <w:sz w:val="20"/>
          <w:lang w:val="en-GB"/>
        </w:rPr>
        <w:t xml:space="preserve">, T. J. (2016). </w:t>
      </w:r>
      <w:r>
        <w:rPr>
          <w:i/>
          <w:iCs/>
          <w:sz w:val="20"/>
          <w:lang w:val="en-GB"/>
        </w:rPr>
        <w:t xml:space="preserve">“Open innovation in </w:t>
      </w:r>
      <w:proofErr w:type="spellStart"/>
      <w:r>
        <w:rPr>
          <w:i/>
          <w:iCs/>
          <w:sz w:val="20"/>
          <w:lang w:val="en-GB"/>
        </w:rPr>
        <w:t>Agrifood</w:t>
      </w:r>
      <w:proofErr w:type="spellEnd"/>
      <w:r>
        <w:rPr>
          <w:i/>
          <w:iCs/>
          <w:sz w:val="20"/>
          <w:lang w:val="en-GB"/>
        </w:rPr>
        <w:t xml:space="preserve"> Chain: a systematic review”</w:t>
      </w:r>
      <w:r>
        <w:rPr>
          <w:sz w:val="20"/>
          <w:lang w:val="en-GB"/>
        </w:rPr>
        <w:t>. Journal of Technology Management and Innovation, 11(3).</w:t>
      </w:r>
    </w:p>
    <w:p w14:paraId="78D17FA6" w14:textId="77777777" w:rsidR="00454C34" w:rsidRDefault="00454C34">
      <w:pPr>
        <w:spacing w:line="100" w:lineRule="atLeast"/>
        <w:jc w:val="left"/>
        <w:rPr>
          <w:sz w:val="20"/>
          <w:lang w:val="en-GB"/>
        </w:rPr>
      </w:pPr>
    </w:p>
    <w:p w14:paraId="181AF799" w14:textId="77777777" w:rsidR="00454C34" w:rsidRDefault="00454C34">
      <w:pPr>
        <w:spacing w:line="100" w:lineRule="atLeast"/>
        <w:jc w:val="left"/>
        <w:rPr>
          <w:sz w:val="20"/>
          <w:lang w:val="en-GB"/>
        </w:rPr>
      </w:pPr>
      <w:r>
        <w:rPr>
          <w:sz w:val="20"/>
          <w:lang w:val="en-GB"/>
        </w:rPr>
        <w:t xml:space="preserve">Dima, A., </w:t>
      </w:r>
      <w:proofErr w:type="spellStart"/>
      <w:r>
        <w:rPr>
          <w:sz w:val="20"/>
          <w:lang w:val="en-GB"/>
        </w:rPr>
        <w:t>Arvaniti</w:t>
      </w:r>
      <w:proofErr w:type="spellEnd"/>
      <w:r>
        <w:rPr>
          <w:sz w:val="20"/>
          <w:lang w:val="en-GB"/>
        </w:rPr>
        <w:t xml:space="preserve">, E., </w:t>
      </w:r>
      <w:proofErr w:type="spellStart"/>
      <w:r>
        <w:rPr>
          <w:sz w:val="20"/>
          <w:lang w:val="en-GB"/>
        </w:rPr>
        <w:t>Stylios</w:t>
      </w:r>
      <w:proofErr w:type="spellEnd"/>
      <w:r>
        <w:rPr>
          <w:sz w:val="20"/>
          <w:lang w:val="en-GB"/>
        </w:rPr>
        <w:t xml:space="preserve">, C., </w:t>
      </w:r>
      <w:proofErr w:type="spellStart"/>
      <w:r>
        <w:rPr>
          <w:sz w:val="20"/>
          <w:lang w:val="en-GB"/>
        </w:rPr>
        <w:t>Kafetzopoulos</w:t>
      </w:r>
      <w:proofErr w:type="spellEnd"/>
      <w:r>
        <w:rPr>
          <w:sz w:val="20"/>
          <w:lang w:val="en-GB"/>
        </w:rPr>
        <w:t xml:space="preserve">, D., </w:t>
      </w:r>
      <w:proofErr w:type="spellStart"/>
      <w:r>
        <w:rPr>
          <w:sz w:val="20"/>
          <w:lang w:val="en-GB"/>
        </w:rPr>
        <w:t>Skalkos</w:t>
      </w:r>
      <w:proofErr w:type="spellEnd"/>
      <w:r>
        <w:rPr>
          <w:sz w:val="20"/>
          <w:lang w:val="en-GB"/>
        </w:rPr>
        <w:t xml:space="preserve">, D. (2022). </w:t>
      </w:r>
      <w:r>
        <w:rPr>
          <w:i/>
          <w:iCs/>
          <w:sz w:val="20"/>
          <w:lang w:val="en-GB"/>
        </w:rPr>
        <w:t>“Adapting Open Innovation Practices for the Creation of a Traceability System in a Meat-Producing Industry in Northwest Greece”</w:t>
      </w:r>
      <w:r>
        <w:rPr>
          <w:sz w:val="20"/>
          <w:lang w:val="en-GB"/>
        </w:rPr>
        <w:t>. Sustainability, 14 (9), 5111.</w:t>
      </w:r>
    </w:p>
    <w:p w14:paraId="5D995876" w14:textId="77777777" w:rsidR="00454C34" w:rsidRDefault="00454C34">
      <w:pPr>
        <w:spacing w:line="100" w:lineRule="atLeast"/>
        <w:jc w:val="left"/>
        <w:rPr>
          <w:sz w:val="20"/>
          <w:lang w:val="en-GB"/>
        </w:rPr>
      </w:pPr>
    </w:p>
    <w:p w14:paraId="5EE38354" w14:textId="77777777" w:rsidR="00454C34" w:rsidRDefault="00454C34">
      <w:pPr>
        <w:spacing w:line="100" w:lineRule="atLeast"/>
        <w:jc w:val="left"/>
        <w:rPr>
          <w:sz w:val="20"/>
          <w:lang w:val="en-GB"/>
        </w:rPr>
      </w:pPr>
      <w:r>
        <w:rPr>
          <w:sz w:val="20"/>
          <w:lang w:val="en-GB"/>
        </w:rPr>
        <w:t xml:space="preserve">European Commission (2009). </w:t>
      </w:r>
      <w:r>
        <w:rPr>
          <w:i/>
          <w:iCs/>
          <w:sz w:val="20"/>
          <w:lang w:val="en-GB"/>
        </w:rPr>
        <w:t>“Report on the Competitiveness of the European Agri-food Industry”</w:t>
      </w:r>
      <w:r>
        <w:rPr>
          <w:sz w:val="20"/>
          <w:lang w:val="en-GB"/>
        </w:rPr>
        <w:t>. Enterprise and Industry Directorate General, Food Industry Unit.</w:t>
      </w:r>
    </w:p>
    <w:p w14:paraId="59320CE6" w14:textId="77777777" w:rsidR="00454C34" w:rsidRDefault="00454C34">
      <w:pPr>
        <w:spacing w:line="100" w:lineRule="atLeast"/>
        <w:jc w:val="left"/>
        <w:rPr>
          <w:sz w:val="20"/>
          <w:lang w:val="en-GB"/>
        </w:rPr>
      </w:pPr>
    </w:p>
    <w:p w14:paraId="7025B628" w14:textId="77777777" w:rsidR="00454C34" w:rsidRDefault="00454C34">
      <w:pPr>
        <w:spacing w:line="100" w:lineRule="atLeast"/>
        <w:jc w:val="left"/>
        <w:rPr>
          <w:sz w:val="20"/>
          <w:lang w:val="en-GB"/>
        </w:rPr>
      </w:pPr>
      <w:r>
        <w:rPr>
          <w:sz w:val="20"/>
          <w:lang w:val="en-GB"/>
        </w:rPr>
        <w:t xml:space="preserve">European Commission (2018). </w:t>
      </w:r>
      <w:r>
        <w:rPr>
          <w:i/>
          <w:iCs/>
          <w:sz w:val="20"/>
          <w:lang w:val="en-GB"/>
        </w:rPr>
        <w:t>“Future-proofing our food systems through research and innovation”</w:t>
      </w:r>
      <w:r>
        <w:rPr>
          <w:sz w:val="20"/>
          <w:lang w:val="en-GB"/>
        </w:rPr>
        <w:t>.</w:t>
      </w:r>
    </w:p>
    <w:p w14:paraId="71CA1E3B" w14:textId="77777777" w:rsidR="00454C34" w:rsidRDefault="00454C34">
      <w:pPr>
        <w:spacing w:line="100" w:lineRule="atLeast"/>
        <w:jc w:val="left"/>
        <w:rPr>
          <w:sz w:val="20"/>
          <w:lang w:val="en-GB"/>
        </w:rPr>
      </w:pPr>
    </w:p>
    <w:p w14:paraId="71F6A774" w14:textId="77777777" w:rsidR="00454C34" w:rsidRDefault="00454C34">
      <w:pPr>
        <w:spacing w:line="100" w:lineRule="atLeast"/>
        <w:jc w:val="left"/>
        <w:rPr>
          <w:sz w:val="20"/>
          <w:lang w:val="en-GB"/>
        </w:rPr>
      </w:pPr>
      <w:r>
        <w:rPr>
          <w:sz w:val="20"/>
          <w:lang w:val="en-GB"/>
        </w:rPr>
        <w:t xml:space="preserve">FAO (2020). </w:t>
      </w:r>
      <w:r>
        <w:rPr>
          <w:i/>
          <w:iCs/>
          <w:sz w:val="20"/>
          <w:lang w:val="en-GB"/>
        </w:rPr>
        <w:t>“Adjusting Business Models to Sustain Agri-Food Enterprises during COVID-19”</w:t>
      </w:r>
      <w:r>
        <w:rPr>
          <w:sz w:val="20"/>
          <w:lang w:val="en-GB"/>
        </w:rPr>
        <w:t>. FAO, Rome.</w:t>
      </w:r>
    </w:p>
    <w:p w14:paraId="1E830E3F" w14:textId="77777777" w:rsidR="00454C34" w:rsidRDefault="00454C34">
      <w:pPr>
        <w:spacing w:line="100" w:lineRule="atLeast"/>
        <w:jc w:val="left"/>
        <w:rPr>
          <w:sz w:val="20"/>
          <w:lang w:val="en-GB"/>
        </w:rPr>
      </w:pPr>
    </w:p>
    <w:p w14:paraId="24C6392A" w14:textId="77777777" w:rsidR="00454C34" w:rsidRDefault="00454C34">
      <w:pPr>
        <w:spacing w:line="100" w:lineRule="atLeast"/>
        <w:jc w:val="left"/>
        <w:rPr>
          <w:sz w:val="20"/>
          <w:lang w:val="en-GB"/>
        </w:rPr>
      </w:pPr>
      <w:proofErr w:type="spellStart"/>
      <w:r>
        <w:rPr>
          <w:sz w:val="20"/>
          <w:lang w:val="en-GB"/>
        </w:rPr>
        <w:t>FoodDrinkEurope</w:t>
      </w:r>
      <w:proofErr w:type="spellEnd"/>
      <w:r>
        <w:rPr>
          <w:sz w:val="20"/>
          <w:lang w:val="en-GB"/>
        </w:rPr>
        <w:t xml:space="preserve"> (2018). </w:t>
      </w:r>
      <w:r>
        <w:rPr>
          <w:i/>
          <w:iCs/>
          <w:sz w:val="20"/>
          <w:lang w:val="en-GB"/>
        </w:rPr>
        <w:t>“Data &amp; Trends of the European Food and Drink Industry”</w:t>
      </w:r>
      <w:r>
        <w:rPr>
          <w:sz w:val="20"/>
          <w:lang w:val="en-GB"/>
        </w:rPr>
        <w:t>.</w:t>
      </w:r>
    </w:p>
    <w:p w14:paraId="638BD586" w14:textId="77777777" w:rsidR="00454C34" w:rsidRDefault="00454C34">
      <w:pPr>
        <w:spacing w:line="100" w:lineRule="atLeast"/>
        <w:jc w:val="left"/>
        <w:rPr>
          <w:sz w:val="20"/>
          <w:lang w:val="en-GB"/>
        </w:rPr>
      </w:pPr>
    </w:p>
    <w:p w14:paraId="068B6AA6" w14:textId="77777777" w:rsidR="00454C34" w:rsidRDefault="00454C34">
      <w:pPr>
        <w:spacing w:line="100" w:lineRule="atLeast"/>
        <w:jc w:val="left"/>
        <w:rPr>
          <w:sz w:val="20"/>
          <w:lang w:val="en-GB"/>
        </w:rPr>
      </w:pPr>
      <w:r>
        <w:rPr>
          <w:sz w:val="20"/>
          <w:lang w:val="en-GB"/>
        </w:rPr>
        <w:t xml:space="preserve">Garcia Martinez, M. (2013). </w:t>
      </w:r>
      <w:r>
        <w:rPr>
          <w:i/>
          <w:iCs/>
          <w:sz w:val="20"/>
          <w:lang w:val="en-GB"/>
        </w:rPr>
        <w:t xml:space="preserve">“The ‘want </w:t>
      </w:r>
      <w:proofErr w:type="gramStart"/>
      <w:r>
        <w:rPr>
          <w:i/>
          <w:iCs/>
          <w:sz w:val="20"/>
          <w:lang w:val="en-GB"/>
        </w:rPr>
        <w:t>find</w:t>
      </w:r>
      <w:proofErr w:type="gramEnd"/>
      <w:r>
        <w:rPr>
          <w:i/>
          <w:iCs/>
          <w:sz w:val="20"/>
          <w:lang w:val="en-GB"/>
        </w:rPr>
        <w:t xml:space="preserve"> get manage’ (WFGM) framework for open-innovation management and its use by Mars, Incorporated”</w:t>
      </w:r>
      <w:r>
        <w:rPr>
          <w:sz w:val="20"/>
          <w:lang w:val="en-GB"/>
        </w:rPr>
        <w:t xml:space="preserve">. In: Garcia Martinez, Marian, ed. Open Innovation in the Food and Beverage Industry: Concepts and Case Studies. Woodhead Publishing Series in Food Science, Technology and </w:t>
      </w:r>
      <w:proofErr w:type="gramStart"/>
      <w:r>
        <w:rPr>
          <w:sz w:val="20"/>
          <w:lang w:val="en-GB"/>
        </w:rPr>
        <w:t>Nutrition .</w:t>
      </w:r>
      <w:proofErr w:type="gramEnd"/>
      <w:r>
        <w:rPr>
          <w:sz w:val="20"/>
          <w:lang w:val="en-GB"/>
        </w:rPr>
        <w:t xml:space="preserve"> Woodhead Publishing, Cambridge, UK.</w:t>
      </w:r>
    </w:p>
    <w:p w14:paraId="2D87042C" w14:textId="77777777" w:rsidR="00454C34" w:rsidRDefault="00454C34">
      <w:pPr>
        <w:spacing w:line="100" w:lineRule="atLeast"/>
        <w:jc w:val="left"/>
        <w:rPr>
          <w:sz w:val="20"/>
          <w:lang w:val="en-GB"/>
        </w:rPr>
      </w:pPr>
    </w:p>
    <w:p w14:paraId="2FB7E9B9" w14:textId="77777777" w:rsidR="00454C34" w:rsidRDefault="00454C34">
      <w:pPr>
        <w:spacing w:line="100" w:lineRule="atLeast"/>
        <w:jc w:val="left"/>
        <w:rPr>
          <w:sz w:val="20"/>
          <w:lang w:val="en-GB"/>
        </w:rPr>
      </w:pPr>
      <w:r>
        <w:rPr>
          <w:sz w:val="20"/>
          <w:lang w:val="en-GB"/>
        </w:rPr>
        <w:t xml:space="preserve">Garcia Martinez, M. (2014). </w:t>
      </w:r>
      <w:r>
        <w:rPr>
          <w:i/>
          <w:iCs/>
          <w:sz w:val="20"/>
          <w:lang w:val="en-GB"/>
        </w:rPr>
        <w:t>“Co-creation of value by open innovation: unlocking new sources of competitive advantage”</w:t>
      </w:r>
      <w:r>
        <w:rPr>
          <w:sz w:val="20"/>
          <w:lang w:val="en-GB"/>
        </w:rPr>
        <w:t>. Agribusiness 30(2)</w:t>
      </w:r>
    </w:p>
    <w:p w14:paraId="3D8E1A9A" w14:textId="77777777" w:rsidR="00454C34" w:rsidRDefault="00454C34">
      <w:pPr>
        <w:spacing w:line="100" w:lineRule="atLeast"/>
        <w:jc w:val="left"/>
        <w:rPr>
          <w:sz w:val="20"/>
          <w:lang w:val="en-GB"/>
        </w:rPr>
      </w:pPr>
    </w:p>
    <w:p w14:paraId="0F9F48DC" w14:textId="77777777" w:rsidR="00454C34" w:rsidRDefault="00454C34">
      <w:pPr>
        <w:spacing w:line="100" w:lineRule="atLeast"/>
        <w:jc w:val="left"/>
        <w:rPr>
          <w:sz w:val="20"/>
          <w:lang w:val="en-GB"/>
        </w:rPr>
      </w:pPr>
      <w:r>
        <w:rPr>
          <w:sz w:val="20"/>
          <w:lang w:val="en-GB"/>
        </w:rPr>
        <w:t xml:space="preserve">Grimsby, S., &amp; Kure, C. F. (2019). </w:t>
      </w:r>
      <w:r>
        <w:rPr>
          <w:i/>
          <w:iCs/>
          <w:sz w:val="20"/>
          <w:lang w:val="en-GB"/>
        </w:rPr>
        <w:t>“How open is food innovation? The crispbread case”</w:t>
      </w:r>
      <w:r>
        <w:rPr>
          <w:sz w:val="20"/>
          <w:lang w:val="en-GB"/>
        </w:rPr>
        <w:t>. British Food Journal, 121(4), 950-963.</w:t>
      </w:r>
    </w:p>
    <w:p w14:paraId="6CBADB43" w14:textId="77777777" w:rsidR="00454C34" w:rsidRDefault="00454C34">
      <w:pPr>
        <w:spacing w:line="100" w:lineRule="atLeast"/>
        <w:jc w:val="left"/>
        <w:rPr>
          <w:sz w:val="20"/>
          <w:lang w:val="en-GB"/>
        </w:rPr>
      </w:pPr>
    </w:p>
    <w:p w14:paraId="577A9425" w14:textId="77777777" w:rsidR="00454C34" w:rsidRPr="009C12F8" w:rsidRDefault="00454C34">
      <w:pPr>
        <w:spacing w:line="100" w:lineRule="atLeast"/>
        <w:jc w:val="left"/>
        <w:rPr>
          <w:sz w:val="20"/>
        </w:rPr>
      </w:pPr>
      <w:proofErr w:type="spellStart"/>
      <w:r>
        <w:rPr>
          <w:sz w:val="20"/>
          <w:lang w:val="en-GB"/>
        </w:rPr>
        <w:t>Hongsaprabhas</w:t>
      </w:r>
      <w:proofErr w:type="spellEnd"/>
      <w:r>
        <w:rPr>
          <w:sz w:val="20"/>
          <w:lang w:val="en-GB"/>
        </w:rPr>
        <w:t xml:space="preserve">, T., &amp; Parisot, X. (2022). </w:t>
      </w:r>
      <w:r>
        <w:rPr>
          <w:i/>
          <w:iCs/>
          <w:sz w:val="20"/>
          <w:lang w:val="en-GB"/>
        </w:rPr>
        <w:t>“The Thai SME Open Innovation Food-Machinery Flexibility Model: Six Patterns of Coupled Knowledge Flows”</w:t>
      </w:r>
      <w:r>
        <w:rPr>
          <w:sz w:val="20"/>
          <w:lang w:val="en-GB"/>
        </w:rPr>
        <w:t>. International Journal of Knowledge and Systems Science (IJKSS), 13(2).</w:t>
      </w:r>
    </w:p>
    <w:p w14:paraId="1492448F" w14:textId="77777777" w:rsidR="00454C34" w:rsidRPr="009C12F8" w:rsidRDefault="00454C34">
      <w:pPr>
        <w:spacing w:line="100" w:lineRule="atLeast"/>
        <w:jc w:val="left"/>
        <w:rPr>
          <w:sz w:val="20"/>
        </w:rPr>
      </w:pPr>
    </w:p>
    <w:p w14:paraId="4A5CD1C1" w14:textId="77777777" w:rsidR="00454C34" w:rsidRDefault="00454C34">
      <w:pPr>
        <w:spacing w:line="100" w:lineRule="atLeast"/>
        <w:jc w:val="left"/>
        <w:rPr>
          <w:sz w:val="20"/>
          <w:lang w:val="en-GB"/>
        </w:rPr>
      </w:pPr>
      <w:r w:rsidRPr="009C12F8">
        <w:rPr>
          <w:sz w:val="20"/>
        </w:rPr>
        <w:t xml:space="preserve">Huston, L., &amp; </w:t>
      </w:r>
      <w:proofErr w:type="spellStart"/>
      <w:r w:rsidRPr="009C12F8">
        <w:rPr>
          <w:sz w:val="20"/>
        </w:rPr>
        <w:t>Sakkab</w:t>
      </w:r>
      <w:proofErr w:type="spellEnd"/>
      <w:r w:rsidRPr="009C12F8">
        <w:rPr>
          <w:sz w:val="20"/>
        </w:rPr>
        <w:t xml:space="preserve">, N. (2006). </w:t>
      </w:r>
      <w:r w:rsidRPr="009C12F8">
        <w:rPr>
          <w:i/>
          <w:iCs/>
          <w:sz w:val="20"/>
        </w:rPr>
        <w:t>“Connect and develop: Inside Procter &amp; Gamble’s new model for Innovation”</w:t>
      </w:r>
      <w:r w:rsidRPr="009C12F8">
        <w:rPr>
          <w:sz w:val="20"/>
        </w:rPr>
        <w:t>. Harvard Business Review, 84(3), 58-66.</w:t>
      </w:r>
    </w:p>
    <w:p w14:paraId="65E7AE9B" w14:textId="77777777" w:rsidR="00454C34" w:rsidRDefault="00454C34">
      <w:pPr>
        <w:spacing w:line="100" w:lineRule="atLeast"/>
        <w:jc w:val="left"/>
        <w:rPr>
          <w:sz w:val="20"/>
          <w:lang w:val="en-GB"/>
        </w:rPr>
      </w:pPr>
    </w:p>
    <w:p w14:paraId="042253D1" w14:textId="77777777" w:rsidR="00454C34" w:rsidRDefault="00454C34">
      <w:pPr>
        <w:spacing w:line="100" w:lineRule="atLeast"/>
        <w:jc w:val="left"/>
        <w:rPr>
          <w:sz w:val="20"/>
          <w:lang w:val="en-GB"/>
        </w:rPr>
      </w:pPr>
      <w:proofErr w:type="spellStart"/>
      <w:r>
        <w:rPr>
          <w:sz w:val="20"/>
          <w:lang w:val="en-GB"/>
        </w:rPr>
        <w:t>Juriaanse</w:t>
      </w:r>
      <w:proofErr w:type="spellEnd"/>
      <w:r>
        <w:rPr>
          <w:sz w:val="20"/>
          <w:lang w:val="en-GB"/>
        </w:rPr>
        <w:t xml:space="preserve">, A. C. (2006). </w:t>
      </w:r>
      <w:r>
        <w:rPr>
          <w:i/>
          <w:iCs/>
          <w:sz w:val="20"/>
          <w:lang w:val="en-GB"/>
        </w:rPr>
        <w:t>“Challenges ahead for food science”</w:t>
      </w:r>
      <w:r>
        <w:rPr>
          <w:sz w:val="20"/>
          <w:lang w:val="en-GB"/>
        </w:rPr>
        <w:t>. International Journal of Dairy Technology, 59(2).</w:t>
      </w:r>
    </w:p>
    <w:p w14:paraId="33F634CB" w14:textId="77777777" w:rsidR="00E92524" w:rsidRDefault="00E92524">
      <w:pPr>
        <w:spacing w:line="100" w:lineRule="atLeast"/>
        <w:jc w:val="left"/>
        <w:rPr>
          <w:sz w:val="20"/>
          <w:lang w:val="nl-NL"/>
        </w:rPr>
      </w:pPr>
    </w:p>
    <w:p w14:paraId="07542E9C" w14:textId="77777777" w:rsidR="00454C34" w:rsidRDefault="00454C34">
      <w:pPr>
        <w:spacing w:line="100" w:lineRule="atLeast"/>
        <w:jc w:val="left"/>
        <w:rPr>
          <w:sz w:val="20"/>
          <w:lang w:val="en-GB"/>
        </w:rPr>
      </w:pPr>
      <w:r w:rsidRPr="009C12F8">
        <w:rPr>
          <w:sz w:val="20"/>
          <w:lang w:val="nl-NL"/>
        </w:rPr>
        <w:t xml:space="preserve">Kranenburg, H.V., Hagedoorn, J., </w:t>
      </w:r>
      <w:proofErr w:type="spellStart"/>
      <w:r w:rsidRPr="009C12F8">
        <w:rPr>
          <w:sz w:val="20"/>
          <w:lang w:val="nl-NL"/>
        </w:rPr>
        <w:t>Pennings</w:t>
      </w:r>
      <w:proofErr w:type="spellEnd"/>
      <w:r w:rsidRPr="009C12F8">
        <w:rPr>
          <w:sz w:val="20"/>
          <w:lang w:val="nl-NL"/>
        </w:rPr>
        <w:t xml:space="preserve">, J. (2004). </w:t>
      </w:r>
      <w:r>
        <w:rPr>
          <w:i/>
          <w:iCs/>
          <w:sz w:val="20"/>
          <w:lang w:val="en-GB"/>
        </w:rPr>
        <w:t>“Measurement of international and product diversification in the publishing industry”</w:t>
      </w:r>
      <w:r>
        <w:rPr>
          <w:sz w:val="20"/>
          <w:lang w:val="en-GB"/>
        </w:rPr>
        <w:t>. Journal of Media Economics, 17 (2), 87–104.</w:t>
      </w:r>
    </w:p>
    <w:p w14:paraId="438CC880" w14:textId="77777777" w:rsidR="00454C34" w:rsidRDefault="00454C34">
      <w:pPr>
        <w:spacing w:line="100" w:lineRule="atLeast"/>
        <w:jc w:val="left"/>
        <w:rPr>
          <w:sz w:val="20"/>
          <w:lang w:val="en-GB"/>
        </w:rPr>
      </w:pPr>
    </w:p>
    <w:p w14:paraId="0AF4A853" w14:textId="77777777" w:rsidR="00454C34" w:rsidRDefault="00454C34">
      <w:pPr>
        <w:spacing w:line="100" w:lineRule="atLeast"/>
        <w:jc w:val="left"/>
        <w:rPr>
          <w:sz w:val="20"/>
          <w:lang w:val="en-GB"/>
        </w:rPr>
      </w:pPr>
      <w:proofErr w:type="spellStart"/>
      <w:r>
        <w:rPr>
          <w:sz w:val="20"/>
          <w:lang w:val="en-GB"/>
        </w:rPr>
        <w:t>Lazzarotti</w:t>
      </w:r>
      <w:proofErr w:type="spellEnd"/>
      <w:r>
        <w:rPr>
          <w:sz w:val="20"/>
          <w:lang w:val="en-GB"/>
        </w:rPr>
        <w:t xml:space="preserve">, V., &amp; Manzini, R. (2013). </w:t>
      </w:r>
      <w:r>
        <w:rPr>
          <w:i/>
          <w:iCs/>
          <w:sz w:val="20"/>
          <w:lang w:val="en-GB"/>
        </w:rPr>
        <w:t>“The Tension between Traditional Innovation Strategies and Openness: Lindt’s Controlled Open Innovation Approach”</w:t>
      </w:r>
      <w:r>
        <w:rPr>
          <w:sz w:val="20"/>
          <w:lang w:val="en-GB"/>
        </w:rPr>
        <w:t>. In Marian Garcia Martinez (Ed.), Open Innovation in the Food and Beverage Industry, 25–38. A volume in Woodhead Publishing Series</w:t>
      </w:r>
    </w:p>
    <w:p w14:paraId="66EA391D" w14:textId="77777777" w:rsidR="00454C34" w:rsidRDefault="00454C34">
      <w:pPr>
        <w:spacing w:line="100" w:lineRule="atLeast"/>
        <w:jc w:val="left"/>
        <w:rPr>
          <w:sz w:val="20"/>
          <w:lang w:val="en-GB"/>
        </w:rPr>
      </w:pPr>
      <w:r>
        <w:rPr>
          <w:sz w:val="20"/>
          <w:lang w:val="en-GB"/>
        </w:rPr>
        <w:t>in Food Science, Technology and Nutrition.</w:t>
      </w:r>
    </w:p>
    <w:p w14:paraId="429DF9E2" w14:textId="77777777" w:rsidR="00454C34" w:rsidRDefault="00454C34">
      <w:pPr>
        <w:spacing w:line="100" w:lineRule="atLeast"/>
        <w:jc w:val="left"/>
        <w:rPr>
          <w:sz w:val="20"/>
          <w:lang w:val="en-GB"/>
        </w:rPr>
      </w:pPr>
    </w:p>
    <w:p w14:paraId="41881F9B" w14:textId="77777777" w:rsidR="00454C34" w:rsidRDefault="00454C34">
      <w:pPr>
        <w:spacing w:line="100" w:lineRule="atLeast"/>
        <w:jc w:val="left"/>
        <w:rPr>
          <w:sz w:val="20"/>
          <w:lang w:val="en-GB"/>
        </w:rPr>
      </w:pPr>
      <w:r>
        <w:rPr>
          <w:sz w:val="20"/>
          <w:lang w:val="en-GB"/>
        </w:rPr>
        <w:t>Levitt, T. (1965). “</w:t>
      </w:r>
      <w:r>
        <w:rPr>
          <w:i/>
          <w:iCs/>
          <w:sz w:val="20"/>
          <w:lang w:val="en-GB"/>
        </w:rPr>
        <w:t>Exploit the product life cycle”</w:t>
      </w:r>
      <w:r>
        <w:rPr>
          <w:sz w:val="20"/>
          <w:lang w:val="en-GB"/>
        </w:rPr>
        <w:t>. Harvard Business Review, 43 (6), 81-94.</w:t>
      </w:r>
    </w:p>
    <w:p w14:paraId="1E31423F" w14:textId="77777777" w:rsidR="00454C34" w:rsidRDefault="00454C34">
      <w:pPr>
        <w:spacing w:line="100" w:lineRule="atLeast"/>
        <w:jc w:val="left"/>
        <w:rPr>
          <w:sz w:val="20"/>
          <w:lang w:val="en-GB"/>
        </w:rPr>
      </w:pPr>
    </w:p>
    <w:p w14:paraId="62C7228F" w14:textId="77777777" w:rsidR="00454C34" w:rsidRDefault="00454C34">
      <w:pPr>
        <w:spacing w:line="100" w:lineRule="atLeast"/>
        <w:jc w:val="left"/>
        <w:rPr>
          <w:sz w:val="20"/>
          <w:lang w:val="en-GB"/>
        </w:rPr>
      </w:pPr>
      <w:r>
        <w:rPr>
          <w:sz w:val="20"/>
          <w:lang w:val="en-GB"/>
        </w:rPr>
        <w:t xml:space="preserve">Lienhardt, J. (2004). </w:t>
      </w:r>
      <w:r>
        <w:rPr>
          <w:i/>
          <w:iCs/>
          <w:sz w:val="20"/>
          <w:lang w:val="en-GB"/>
        </w:rPr>
        <w:t>“The food industry in Europe, statistics in focus-industry, trade and services”</w:t>
      </w:r>
      <w:r>
        <w:rPr>
          <w:sz w:val="20"/>
          <w:lang w:val="en-GB"/>
        </w:rPr>
        <w:t>. Luxemburg: Eurostat, European Communities.</w:t>
      </w:r>
    </w:p>
    <w:p w14:paraId="0C85A038" w14:textId="77777777" w:rsidR="00454C34" w:rsidRDefault="00454C34">
      <w:pPr>
        <w:spacing w:line="100" w:lineRule="atLeast"/>
        <w:jc w:val="left"/>
        <w:rPr>
          <w:sz w:val="20"/>
          <w:lang w:val="en-GB"/>
        </w:rPr>
      </w:pPr>
    </w:p>
    <w:p w14:paraId="7D6036C4" w14:textId="77777777" w:rsidR="00454C34" w:rsidRDefault="00454C34">
      <w:pPr>
        <w:spacing w:line="100" w:lineRule="atLeast"/>
        <w:jc w:val="left"/>
        <w:rPr>
          <w:sz w:val="20"/>
          <w:lang w:val="en-GB"/>
        </w:rPr>
      </w:pPr>
      <w:r>
        <w:rPr>
          <w:sz w:val="20"/>
          <w:lang w:val="en-GB"/>
        </w:rPr>
        <w:t xml:space="preserve">Manzini, R., </w:t>
      </w:r>
      <w:proofErr w:type="spellStart"/>
      <w:r>
        <w:rPr>
          <w:sz w:val="20"/>
          <w:lang w:val="en-GB"/>
        </w:rPr>
        <w:t>Lazzarotti</w:t>
      </w:r>
      <w:proofErr w:type="spellEnd"/>
      <w:r>
        <w:rPr>
          <w:sz w:val="20"/>
          <w:lang w:val="en-GB"/>
        </w:rPr>
        <w:t xml:space="preserve">, V., &amp; Pellegrini, L. (2016), </w:t>
      </w:r>
      <w:r>
        <w:rPr>
          <w:i/>
          <w:iCs/>
          <w:sz w:val="20"/>
          <w:lang w:val="en-GB"/>
        </w:rPr>
        <w:t xml:space="preserve">“How to remain as closed as possible in the open innovation era: the case of Lindt &amp; </w:t>
      </w:r>
      <w:proofErr w:type="spellStart"/>
      <w:r>
        <w:rPr>
          <w:i/>
          <w:iCs/>
          <w:sz w:val="20"/>
          <w:lang w:val="en-GB"/>
        </w:rPr>
        <w:t>Sprüngli</w:t>
      </w:r>
      <w:proofErr w:type="spellEnd"/>
      <w:r>
        <w:rPr>
          <w:i/>
          <w:iCs/>
          <w:sz w:val="20"/>
          <w:lang w:val="en-GB"/>
        </w:rPr>
        <w:t>”</w:t>
      </w:r>
      <w:r>
        <w:rPr>
          <w:i/>
          <w:iCs/>
          <w:sz w:val="20"/>
          <w:u w:val="single"/>
          <w:lang w:val="en-GB"/>
        </w:rPr>
        <w:t>.</w:t>
      </w:r>
      <w:r>
        <w:rPr>
          <w:sz w:val="20"/>
          <w:lang w:val="en-GB"/>
        </w:rPr>
        <w:t xml:space="preserve"> Long Range Planning, 50(2), 260-281.</w:t>
      </w:r>
    </w:p>
    <w:p w14:paraId="6F2206C5" w14:textId="77777777" w:rsidR="00454C34" w:rsidRDefault="00454C34">
      <w:pPr>
        <w:spacing w:line="100" w:lineRule="atLeast"/>
        <w:jc w:val="left"/>
        <w:rPr>
          <w:sz w:val="20"/>
          <w:lang w:val="en-GB"/>
        </w:rPr>
      </w:pPr>
    </w:p>
    <w:p w14:paraId="076AA04B" w14:textId="77777777" w:rsidR="00454C34" w:rsidRDefault="00454C34">
      <w:pPr>
        <w:spacing w:line="100" w:lineRule="atLeast"/>
        <w:jc w:val="left"/>
        <w:rPr>
          <w:sz w:val="20"/>
          <w:lang w:val="en-GB"/>
        </w:rPr>
      </w:pPr>
      <w:proofErr w:type="spellStart"/>
      <w:r>
        <w:rPr>
          <w:sz w:val="20"/>
          <w:lang w:val="en-GB"/>
        </w:rPr>
        <w:t>Misra</w:t>
      </w:r>
      <w:proofErr w:type="spellEnd"/>
      <w:r>
        <w:rPr>
          <w:sz w:val="20"/>
          <w:lang w:val="en-GB"/>
        </w:rPr>
        <w:t>, N. N., Dixit, Y., Al-</w:t>
      </w:r>
      <w:proofErr w:type="spellStart"/>
      <w:r>
        <w:rPr>
          <w:sz w:val="20"/>
          <w:lang w:val="en-GB"/>
        </w:rPr>
        <w:t>Mallahi</w:t>
      </w:r>
      <w:proofErr w:type="spellEnd"/>
      <w:r>
        <w:rPr>
          <w:sz w:val="20"/>
          <w:lang w:val="en-GB"/>
        </w:rPr>
        <w:t xml:space="preserve">, A., Bhullar, M. S., Upadhyay, R., </w:t>
      </w:r>
      <w:proofErr w:type="spellStart"/>
      <w:r>
        <w:rPr>
          <w:sz w:val="20"/>
          <w:lang w:val="en-GB"/>
        </w:rPr>
        <w:t>Martynenko</w:t>
      </w:r>
      <w:proofErr w:type="spellEnd"/>
      <w:r>
        <w:rPr>
          <w:sz w:val="20"/>
          <w:lang w:val="en-GB"/>
        </w:rPr>
        <w:t xml:space="preserve">, A. (2022). </w:t>
      </w:r>
      <w:r>
        <w:rPr>
          <w:i/>
          <w:iCs/>
          <w:sz w:val="20"/>
          <w:lang w:val="en-GB"/>
        </w:rPr>
        <w:t>“IoT, Big Data, and Artificial Intelligence in Agriculture and Food Industry”</w:t>
      </w:r>
      <w:r>
        <w:rPr>
          <w:sz w:val="20"/>
          <w:lang w:val="en-GB"/>
        </w:rPr>
        <w:t>. IEEE Internet of Things Journal, 9 (9), 6305-6324.</w:t>
      </w:r>
    </w:p>
    <w:p w14:paraId="2093FFF1" w14:textId="77777777" w:rsidR="00454C34" w:rsidRDefault="00454C34">
      <w:pPr>
        <w:spacing w:line="100" w:lineRule="atLeast"/>
        <w:jc w:val="left"/>
        <w:rPr>
          <w:sz w:val="20"/>
          <w:lang w:val="en-GB"/>
        </w:rPr>
      </w:pPr>
    </w:p>
    <w:p w14:paraId="68CE77D8" w14:textId="77777777" w:rsidR="00454C34" w:rsidRDefault="00454C34">
      <w:pPr>
        <w:spacing w:line="100" w:lineRule="atLeast"/>
        <w:jc w:val="left"/>
        <w:rPr>
          <w:sz w:val="20"/>
          <w:lang w:val="en-GB"/>
        </w:rPr>
      </w:pPr>
      <w:r>
        <w:rPr>
          <w:sz w:val="20"/>
          <w:lang w:val="en-GB"/>
        </w:rPr>
        <w:t xml:space="preserve">Najib, M., </w:t>
      </w:r>
      <w:proofErr w:type="spellStart"/>
      <w:r>
        <w:rPr>
          <w:sz w:val="20"/>
          <w:lang w:val="en-GB"/>
        </w:rPr>
        <w:t>Ermawati</w:t>
      </w:r>
      <w:proofErr w:type="spellEnd"/>
      <w:r>
        <w:rPr>
          <w:sz w:val="20"/>
          <w:lang w:val="en-GB"/>
        </w:rPr>
        <w:t xml:space="preserve">, W.J., </w:t>
      </w:r>
      <w:proofErr w:type="spellStart"/>
      <w:r>
        <w:rPr>
          <w:sz w:val="20"/>
          <w:lang w:val="en-GB"/>
        </w:rPr>
        <w:t>Fahma</w:t>
      </w:r>
      <w:proofErr w:type="spellEnd"/>
      <w:r>
        <w:rPr>
          <w:sz w:val="20"/>
          <w:lang w:val="en-GB"/>
        </w:rPr>
        <w:t xml:space="preserve">, F., </w:t>
      </w:r>
      <w:proofErr w:type="spellStart"/>
      <w:r>
        <w:rPr>
          <w:sz w:val="20"/>
          <w:lang w:val="en-GB"/>
        </w:rPr>
        <w:t>Endri</w:t>
      </w:r>
      <w:proofErr w:type="spellEnd"/>
      <w:r>
        <w:rPr>
          <w:sz w:val="20"/>
          <w:lang w:val="en-GB"/>
        </w:rPr>
        <w:t xml:space="preserve">, E., </w:t>
      </w:r>
      <w:proofErr w:type="spellStart"/>
      <w:r>
        <w:rPr>
          <w:sz w:val="20"/>
          <w:lang w:val="en-GB"/>
        </w:rPr>
        <w:t>Suhartanto</w:t>
      </w:r>
      <w:proofErr w:type="spellEnd"/>
      <w:r>
        <w:rPr>
          <w:sz w:val="20"/>
          <w:lang w:val="en-GB"/>
        </w:rPr>
        <w:t xml:space="preserve">, D. (2021). </w:t>
      </w:r>
      <w:r>
        <w:rPr>
          <w:i/>
          <w:iCs/>
          <w:sz w:val="20"/>
          <w:lang w:val="en-GB"/>
        </w:rPr>
        <w:t xml:space="preserve">“FinTech in the Small Food Business and Its </w:t>
      </w:r>
      <w:proofErr w:type="gramStart"/>
      <w:r>
        <w:rPr>
          <w:i/>
          <w:iCs/>
          <w:sz w:val="20"/>
          <w:lang w:val="en-GB"/>
        </w:rPr>
        <w:t>Relation</w:t>
      </w:r>
      <w:proofErr w:type="gramEnd"/>
      <w:r>
        <w:rPr>
          <w:i/>
          <w:iCs/>
          <w:sz w:val="20"/>
          <w:lang w:val="en-GB"/>
        </w:rPr>
        <w:t xml:space="preserve"> with Open Innovation”</w:t>
      </w:r>
      <w:r>
        <w:rPr>
          <w:sz w:val="20"/>
          <w:lang w:val="en-GB"/>
        </w:rPr>
        <w:t>. Journal of Open Innovation: Technology, Market, Complexity, 7(88).</w:t>
      </w:r>
    </w:p>
    <w:p w14:paraId="53D89B9E" w14:textId="77777777" w:rsidR="00454C34" w:rsidRDefault="00454C34">
      <w:pPr>
        <w:spacing w:line="100" w:lineRule="atLeast"/>
        <w:jc w:val="left"/>
        <w:rPr>
          <w:sz w:val="20"/>
          <w:lang w:val="en-GB"/>
        </w:rPr>
      </w:pPr>
    </w:p>
    <w:p w14:paraId="37D6E9CB" w14:textId="77777777" w:rsidR="00454C34" w:rsidRDefault="00454C34">
      <w:pPr>
        <w:spacing w:line="100" w:lineRule="atLeast"/>
        <w:jc w:val="left"/>
        <w:rPr>
          <w:sz w:val="20"/>
          <w:lang w:val="en-GB"/>
        </w:rPr>
      </w:pPr>
      <w:proofErr w:type="spellStart"/>
      <w:r>
        <w:rPr>
          <w:sz w:val="20"/>
          <w:lang w:val="en-GB"/>
        </w:rPr>
        <w:t>Penco</w:t>
      </w:r>
      <w:proofErr w:type="spellEnd"/>
      <w:r>
        <w:rPr>
          <w:sz w:val="20"/>
          <w:lang w:val="en-GB"/>
        </w:rPr>
        <w:t xml:space="preserve">, L., </w:t>
      </w:r>
      <w:proofErr w:type="spellStart"/>
      <w:r>
        <w:rPr>
          <w:sz w:val="20"/>
          <w:lang w:val="en-GB"/>
        </w:rPr>
        <w:t>Ciacci</w:t>
      </w:r>
      <w:proofErr w:type="spellEnd"/>
      <w:r>
        <w:rPr>
          <w:sz w:val="20"/>
          <w:lang w:val="en-GB"/>
        </w:rPr>
        <w:t xml:space="preserve">, A., </w:t>
      </w:r>
      <w:proofErr w:type="spellStart"/>
      <w:r>
        <w:rPr>
          <w:sz w:val="20"/>
          <w:lang w:val="en-GB"/>
        </w:rPr>
        <w:t>Benevolo</w:t>
      </w:r>
      <w:proofErr w:type="spellEnd"/>
      <w:r>
        <w:rPr>
          <w:sz w:val="20"/>
          <w:lang w:val="en-GB"/>
        </w:rPr>
        <w:t xml:space="preserve">, C., Torre, T. (2021). </w:t>
      </w:r>
      <w:r>
        <w:rPr>
          <w:i/>
          <w:iCs/>
          <w:sz w:val="20"/>
          <w:lang w:val="en-GB"/>
        </w:rPr>
        <w:t xml:space="preserve">“Open social innovation for surplus food recovery and aid during COVID-19 crisis: the case of Fondazione Banco </w:t>
      </w:r>
      <w:proofErr w:type="spellStart"/>
      <w:r>
        <w:rPr>
          <w:i/>
          <w:iCs/>
          <w:sz w:val="20"/>
          <w:lang w:val="en-GB"/>
        </w:rPr>
        <w:t>Alimentare</w:t>
      </w:r>
      <w:proofErr w:type="spellEnd"/>
      <w:r>
        <w:rPr>
          <w:i/>
          <w:iCs/>
          <w:sz w:val="20"/>
          <w:lang w:val="en-GB"/>
        </w:rPr>
        <w:t xml:space="preserve"> </w:t>
      </w:r>
      <w:proofErr w:type="spellStart"/>
      <w:r>
        <w:rPr>
          <w:i/>
          <w:iCs/>
          <w:sz w:val="20"/>
          <w:lang w:val="en-GB"/>
        </w:rPr>
        <w:t>Onlus</w:t>
      </w:r>
      <w:proofErr w:type="spellEnd"/>
      <w:r>
        <w:rPr>
          <w:i/>
          <w:iCs/>
          <w:sz w:val="20"/>
          <w:lang w:val="en-GB"/>
        </w:rPr>
        <w:t>”</w:t>
      </w:r>
      <w:r>
        <w:rPr>
          <w:sz w:val="20"/>
          <w:lang w:val="en-GB"/>
        </w:rPr>
        <w:t>. British Food Journal, 124(6), 1875-1894.</w:t>
      </w:r>
    </w:p>
    <w:p w14:paraId="4AD3F214" w14:textId="77777777" w:rsidR="00454C34" w:rsidRDefault="00454C34">
      <w:pPr>
        <w:spacing w:line="100" w:lineRule="atLeast"/>
        <w:jc w:val="left"/>
        <w:rPr>
          <w:sz w:val="20"/>
          <w:lang w:val="en-GB"/>
        </w:rPr>
      </w:pPr>
    </w:p>
    <w:p w14:paraId="3FFAC13B" w14:textId="77777777" w:rsidR="00454C34" w:rsidRDefault="00454C34">
      <w:pPr>
        <w:spacing w:line="100" w:lineRule="atLeast"/>
        <w:jc w:val="left"/>
        <w:rPr>
          <w:sz w:val="20"/>
          <w:lang w:val="en-GB"/>
        </w:rPr>
      </w:pPr>
      <w:r>
        <w:rPr>
          <w:sz w:val="20"/>
          <w:lang w:val="en-GB"/>
        </w:rPr>
        <w:t>Rogers, E. (1962). “</w:t>
      </w:r>
      <w:r>
        <w:rPr>
          <w:i/>
          <w:iCs/>
          <w:sz w:val="20"/>
          <w:lang w:val="en-GB"/>
        </w:rPr>
        <w:t>Diffusion of innovations”</w:t>
      </w:r>
      <w:r>
        <w:rPr>
          <w:sz w:val="20"/>
          <w:lang w:val="en-GB"/>
        </w:rPr>
        <w:t>. The Free Press, New York.</w:t>
      </w:r>
    </w:p>
    <w:p w14:paraId="11D3D7B7" w14:textId="77777777" w:rsidR="00454C34" w:rsidRDefault="00454C34">
      <w:pPr>
        <w:spacing w:line="100" w:lineRule="atLeast"/>
        <w:jc w:val="left"/>
        <w:rPr>
          <w:sz w:val="20"/>
          <w:lang w:val="en-GB"/>
        </w:rPr>
      </w:pPr>
    </w:p>
    <w:p w14:paraId="070754CF" w14:textId="77777777" w:rsidR="00454C34" w:rsidRDefault="00454C34">
      <w:pPr>
        <w:spacing w:line="100" w:lineRule="atLeast"/>
        <w:jc w:val="left"/>
        <w:rPr>
          <w:sz w:val="20"/>
          <w:lang w:val="en-GB"/>
        </w:rPr>
      </w:pPr>
      <w:r>
        <w:rPr>
          <w:sz w:val="20"/>
          <w:lang w:val="en-GB"/>
        </w:rPr>
        <w:t xml:space="preserve">Sadat, S. H., &amp; </w:t>
      </w:r>
      <w:proofErr w:type="spellStart"/>
      <w:r>
        <w:rPr>
          <w:sz w:val="20"/>
          <w:lang w:val="en-GB"/>
        </w:rPr>
        <w:t>Nasrat</w:t>
      </w:r>
      <w:proofErr w:type="spellEnd"/>
      <w:r>
        <w:rPr>
          <w:sz w:val="20"/>
          <w:lang w:val="en-GB"/>
        </w:rPr>
        <w:t xml:space="preserve">, S., (2020). </w:t>
      </w:r>
      <w:r>
        <w:rPr>
          <w:i/>
          <w:iCs/>
          <w:sz w:val="20"/>
          <w:lang w:val="en-GB"/>
        </w:rPr>
        <w:t>“The Practice of Open Innovation by SMEs in the Food Industry”</w:t>
      </w:r>
      <w:r>
        <w:rPr>
          <w:sz w:val="20"/>
          <w:lang w:val="en-GB"/>
        </w:rPr>
        <w:t>.</w:t>
      </w:r>
    </w:p>
    <w:p w14:paraId="3F4D4E0F" w14:textId="77777777" w:rsidR="00454C34" w:rsidRDefault="00454C34">
      <w:pPr>
        <w:spacing w:line="100" w:lineRule="atLeast"/>
        <w:jc w:val="left"/>
        <w:rPr>
          <w:sz w:val="20"/>
          <w:lang w:val="en-GB"/>
        </w:rPr>
      </w:pPr>
      <w:r>
        <w:rPr>
          <w:sz w:val="20"/>
          <w:lang w:val="en-GB"/>
        </w:rPr>
        <w:t>Journal of Innovation Management, www.open-jim.org, 8(2), 26-46.</w:t>
      </w:r>
    </w:p>
    <w:p w14:paraId="13B86C85" w14:textId="77777777" w:rsidR="00454C34" w:rsidRDefault="00454C34">
      <w:pPr>
        <w:spacing w:line="100" w:lineRule="atLeast"/>
        <w:jc w:val="left"/>
        <w:rPr>
          <w:sz w:val="20"/>
          <w:lang w:val="en-GB"/>
        </w:rPr>
      </w:pPr>
    </w:p>
    <w:p w14:paraId="2527E057" w14:textId="77777777" w:rsidR="00454C34" w:rsidRDefault="00454C34">
      <w:pPr>
        <w:spacing w:line="100" w:lineRule="atLeast"/>
        <w:jc w:val="left"/>
        <w:rPr>
          <w:sz w:val="20"/>
          <w:lang w:val="en-GB"/>
        </w:rPr>
      </w:pPr>
      <w:proofErr w:type="spellStart"/>
      <w:r>
        <w:rPr>
          <w:sz w:val="20"/>
          <w:lang w:val="en-GB"/>
        </w:rPr>
        <w:t>Saguy</w:t>
      </w:r>
      <w:proofErr w:type="spellEnd"/>
      <w:r>
        <w:rPr>
          <w:sz w:val="20"/>
          <w:lang w:val="en-GB"/>
        </w:rPr>
        <w:t xml:space="preserve">, I. S. (2016). </w:t>
      </w:r>
      <w:r>
        <w:rPr>
          <w:i/>
          <w:iCs/>
          <w:sz w:val="20"/>
          <w:lang w:val="en-GB"/>
        </w:rPr>
        <w:t xml:space="preserve">“Challenges and opportunities in food engineering: </w:t>
      </w:r>
      <w:proofErr w:type="spellStart"/>
      <w:r>
        <w:rPr>
          <w:i/>
          <w:iCs/>
          <w:sz w:val="20"/>
          <w:lang w:val="en-GB"/>
        </w:rPr>
        <w:t>Modeling</w:t>
      </w:r>
      <w:proofErr w:type="spellEnd"/>
      <w:r>
        <w:rPr>
          <w:i/>
          <w:iCs/>
          <w:sz w:val="20"/>
          <w:lang w:val="en-GB"/>
        </w:rPr>
        <w:t>, virtualization, open innovation and social responsibility”</w:t>
      </w:r>
      <w:r>
        <w:rPr>
          <w:sz w:val="20"/>
          <w:lang w:val="en-GB"/>
        </w:rPr>
        <w:t>. Journal of Food Engineering, 176, 2-8.</w:t>
      </w:r>
    </w:p>
    <w:p w14:paraId="05D64206" w14:textId="77777777" w:rsidR="00454C34" w:rsidRDefault="00454C34">
      <w:pPr>
        <w:spacing w:line="100" w:lineRule="atLeast"/>
        <w:jc w:val="left"/>
        <w:rPr>
          <w:sz w:val="20"/>
          <w:lang w:val="en-GB"/>
        </w:rPr>
      </w:pPr>
    </w:p>
    <w:p w14:paraId="07AFA08C" w14:textId="77777777" w:rsidR="00454C34" w:rsidRDefault="00454C34">
      <w:pPr>
        <w:spacing w:line="100" w:lineRule="atLeast"/>
        <w:jc w:val="left"/>
        <w:rPr>
          <w:sz w:val="20"/>
          <w:lang w:val="en-GB"/>
        </w:rPr>
      </w:pPr>
      <w:proofErr w:type="spellStart"/>
      <w:r>
        <w:rPr>
          <w:sz w:val="20"/>
          <w:lang w:val="en-GB"/>
        </w:rPr>
        <w:t>Saguy</w:t>
      </w:r>
      <w:proofErr w:type="spellEnd"/>
      <w:r>
        <w:rPr>
          <w:sz w:val="20"/>
          <w:lang w:val="en-GB"/>
        </w:rPr>
        <w:t xml:space="preserve">, I.S. &amp; </w:t>
      </w:r>
      <w:proofErr w:type="spellStart"/>
      <w:r>
        <w:rPr>
          <w:sz w:val="20"/>
          <w:lang w:val="en-GB"/>
        </w:rPr>
        <w:t>Sirotinskaya</w:t>
      </w:r>
      <w:proofErr w:type="spellEnd"/>
      <w:r>
        <w:rPr>
          <w:sz w:val="20"/>
          <w:lang w:val="en-GB"/>
        </w:rPr>
        <w:t xml:space="preserve">, V. (2014). </w:t>
      </w:r>
      <w:r>
        <w:rPr>
          <w:i/>
          <w:iCs/>
          <w:sz w:val="20"/>
          <w:lang w:val="en-GB"/>
        </w:rPr>
        <w:t>“Challenges in exploiting open innovation’s full potential in the food industry with a focus on small and medium enterprises (SMEs)”</w:t>
      </w:r>
      <w:r>
        <w:rPr>
          <w:sz w:val="20"/>
          <w:lang w:val="en-GB"/>
        </w:rPr>
        <w:t>. Trends in Food Science &amp; Technology, 38, 136-148.</w:t>
      </w:r>
    </w:p>
    <w:p w14:paraId="77AECF75" w14:textId="77777777" w:rsidR="00454C34" w:rsidRDefault="00454C34">
      <w:pPr>
        <w:spacing w:line="100" w:lineRule="atLeast"/>
        <w:jc w:val="left"/>
        <w:rPr>
          <w:sz w:val="20"/>
          <w:lang w:val="en-GB"/>
        </w:rPr>
      </w:pPr>
    </w:p>
    <w:p w14:paraId="0859A8FA" w14:textId="77777777" w:rsidR="00454C34" w:rsidRDefault="00454C34">
      <w:pPr>
        <w:spacing w:line="100" w:lineRule="atLeast"/>
        <w:jc w:val="left"/>
        <w:rPr>
          <w:sz w:val="20"/>
          <w:lang w:val="en-GB"/>
        </w:rPr>
      </w:pPr>
      <w:r>
        <w:rPr>
          <w:sz w:val="20"/>
          <w:lang w:val="en-GB"/>
        </w:rPr>
        <w:t xml:space="preserve">Schumpeter, J.A. (1934). </w:t>
      </w:r>
      <w:r>
        <w:rPr>
          <w:i/>
          <w:iCs/>
          <w:sz w:val="20"/>
          <w:lang w:val="en-GB"/>
        </w:rPr>
        <w:t xml:space="preserve">“The Theory of Economic Development: An Inquiry </w:t>
      </w:r>
      <w:proofErr w:type="gramStart"/>
      <w:r>
        <w:rPr>
          <w:i/>
          <w:iCs/>
          <w:sz w:val="20"/>
          <w:lang w:val="en-GB"/>
        </w:rPr>
        <w:t>Into</w:t>
      </w:r>
      <w:proofErr w:type="gramEnd"/>
      <w:r>
        <w:rPr>
          <w:i/>
          <w:iCs/>
          <w:sz w:val="20"/>
          <w:lang w:val="en-GB"/>
        </w:rPr>
        <w:t xml:space="preserve"> Profits, Capital, Credit, Interest and the Business Cycle”</w:t>
      </w:r>
      <w:r>
        <w:rPr>
          <w:sz w:val="20"/>
          <w:lang w:val="en-GB"/>
        </w:rPr>
        <w:t>. Harvard University Press, Cambridge, MA.</w:t>
      </w:r>
    </w:p>
    <w:p w14:paraId="72B440D4" w14:textId="77777777" w:rsidR="00454C34" w:rsidRDefault="00454C34">
      <w:pPr>
        <w:spacing w:line="100" w:lineRule="atLeast"/>
        <w:jc w:val="left"/>
        <w:rPr>
          <w:sz w:val="20"/>
          <w:lang w:val="en-GB"/>
        </w:rPr>
      </w:pPr>
    </w:p>
    <w:p w14:paraId="08280632" w14:textId="77777777" w:rsidR="00454C34" w:rsidRDefault="00454C34">
      <w:pPr>
        <w:spacing w:line="100" w:lineRule="atLeast"/>
        <w:jc w:val="left"/>
        <w:rPr>
          <w:sz w:val="20"/>
          <w:lang w:val="en-GB"/>
        </w:rPr>
      </w:pPr>
      <w:proofErr w:type="spellStart"/>
      <w:r>
        <w:rPr>
          <w:sz w:val="20"/>
          <w:lang w:val="en-GB"/>
        </w:rPr>
        <w:t>Spithoven</w:t>
      </w:r>
      <w:proofErr w:type="spellEnd"/>
      <w:r>
        <w:rPr>
          <w:sz w:val="20"/>
          <w:lang w:val="en-GB"/>
        </w:rPr>
        <w:t xml:space="preserve">, A., </w:t>
      </w:r>
      <w:proofErr w:type="spellStart"/>
      <w:r>
        <w:rPr>
          <w:sz w:val="20"/>
          <w:lang w:val="en-GB"/>
        </w:rPr>
        <w:t>Clarysse</w:t>
      </w:r>
      <w:proofErr w:type="spellEnd"/>
      <w:r>
        <w:rPr>
          <w:sz w:val="20"/>
          <w:lang w:val="en-GB"/>
        </w:rPr>
        <w:t xml:space="preserve">, B., </w:t>
      </w:r>
      <w:proofErr w:type="spellStart"/>
      <w:r>
        <w:rPr>
          <w:sz w:val="20"/>
          <w:lang w:val="en-GB"/>
        </w:rPr>
        <w:t>Knockaert</w:t>
      </w:r>
      <w:proofErr w:type="spellEnd"/>
      <w:r>
        <w:rPr>
          <w:sz w:val="20"/>
          <w:lang w:val="en-GB"/>
        </w:rPr>
        <w:t xml:space="preserve">, M. (2010). </w:t>
      </w:r>
      <w:r>
        <w:rPr>
          <w:i/>
          <w:iCs/>
          <w:sz w:val="20"/>
          <w:lang w:val="en-GB"/>
        </w:rPr>
        <w:t>“Building absorptive capacity to organise inbound open innovation in traditional industries”</w:t>
      </w:r>
      <w:r>
        <w:rPr>
          <w:sz w:val="20"/>
          <w:lang w:val="en-GB"/>
        </w:rPr>
        <w:t xml:space="preserve">. </w:t>
      </w:r>
      <w:proofErr w:type="spellStart"/>
      <w:r>
        <w:rPr>
          <w:sz w:val="20"/>
          <w:lang w:val="en-GB"/>
        </w:rPr>
        <w:t>Technovation</w:t>
      </w:r>
      <w:proofErr w:type="spellEnd"/>
      <w:r>
        <w:rPr>
          <w:sz w:val="20"/>
          <w:lang w:val="en-GB"/>
        </w:rPr>
        <w:t>, 30(2), 130-141.</w:t>
      </w:r>
    </w:p>
    <w:p w14:paraId="02826557" w14:textId="77777777" w:rsidR="00454C34" w:rsidRDefault="00454C34">
      <w:pPr>
        <w:spacing w:line="100" w:lineRule="atLeast"/>
        <w:jc w:val="left"/>
        <w:rPr>
          <w:sz w:val="20"/>
          <w:lang w:val="en-GB"/>
        </w:rPr>
      </w:pPr>
    </w:p>
    <w:p w14:paraId="5F765E6B" w14:textId="77777777" w:rsidR="00454C34" w:rsidRDefault="00454C34">
      <w:pPr>
        <w:spacing w:line="100" w:lineRule="atLeast"/>
        <w:jc w:val="left"/>
        <w:rPr>
          <w:sz w:val="20"/>
          <w:lang w:val="en-GB"/>
        </w:rPr>
      </w:pPr>
      <w:proofErr w:type="spellStart"/>
      <w:r>
        <w:rPr>
          <w:sz w:val="20"/>
          <w:lang w:val="en-GB"/>
        </w:rPr>
        <w:t>Tarabella</w:t>
      </w:r>
      <w:proofErr w:type="spellEnd"/>
      <w:r>
        <w:rPr>
          <w:sz w:val="20"/>
          <w:lang w:val="en-GB"/>
        </w:rPr>
        <w:t xml:space="preserve">, A. (2019). </w:t>
      </w:r>
      <w:r>
        <w:rPr>
          <w:i/>
          <w:iCs/>
          <w:sz w:val="20"/>
          <w:lang w:val="en-GB"/>
        </w:rPr>
        <w:t>“Food products evolution: innovation drivers and market trends”</w:t>
      </w:r>
      <w:r>
        <w:rPr>
          <w:sz w:val="20"/>
          <w:lang w:val="en-GB"/>
        </w:rPr>
        <w:t>. Springer Briefs in Food, Health, and Nutrition.</w:t>
      </w:r>
    </w:p>
    <w:p w14:paraId="5B112855" w14:textId="77777777" w:rsidR="00454C34" w:rsidRDefault="00454C34">
      <w:pPr>
        <w:spacing w:line="100" w:lineRule="atLeast"/>
        <w:jc w:val="left"/>
        <w:rPr>
          <w:sz w:val="20"/>
          <w:lang w:val="en-GB"/>
        </w:rPr>
      </w:pPr>
    </w:p>
    <w:p w14:paraId="3C452038" w14:textId="77777777" w:rsidR="00454C34" w:rsidRDefault="00454C34">
      <w:pPr>
        <w:spacing w:line="100" w:lineRule="atLeast"/>
        <w:jc w:val="left"/>
        <w:rPr>
          <w:sz w:val="20"/>
          <w:lang w:val="en-GB"/>
        </w:rPr>
      </w:pPr>
      <w:proofErr w:type="spellStart"/>
      <w:r>
        <w:rPr>
          <w:sz w:val="20"/>
          <w:lang w:val="en-GB"/>
        </w:rPr>
        <w:t>Tarabella</w:t>
      </w:r>
      <w:proofErr w:type="spellEnd"/>
      <w:r>
        <w:rPr>
          <w:sz w:val="20"/>
          <w:lang w:val="en-GB"/>
        </w:rPr>
        <w:t xml:space="preserve">, A., </w:t>
      </w:r>
      <w:proofErr w:type="spellStart"/>
      <w:r>
        <w:rPr>
          <w:sz w:val="20"/>
          <w:lang w:val="en-GB"/>
        </w:rPr>
        <w:t>Apicella</w:t>
      </w:r>
      <w:proofErr w:type="spellEnd"/>
      <w:r>
        <w:rPr>
          <w:sz w:val="20"/>
          <w:lang w:val="en-GB"/>
        </w:rPr>
        <w:t xml:space="preserve">, A., </w:t>
      </w:r>
      <w:proofErr w:type="spellStart"/>
      <w:r>
        <w:rPr>
          <w:sz w:val="20"/>
          <w:lang w:val="en-GB"/>
        </w:rPr>
        <w:t>Farace</w:t>
      </w:r>
      <w:proofErr w:type="spellEnd"/>
      <w:r>
        <w:rPr>
          <w:sz w:val="20"/>
          <w:lang w:val="en-GB"/>
        </w:rPr>
        <w:t xml:space="preserve">, B. (2021). </w:t>
      </w:r>
      <w:r>
        <w:rPr>
          <w:i/>
          <w:iCs/>
          <w:sz w:val="20"/>
          <w:lang w:val="en-GB"/>
        </w:rPr>
        <w:t>“Digital technologies in agriculture: developments and perspectives”</w:t>
      </w:r>
      <w:r>
        <w:rPr>
          <w:sz w:val="20"/>
          <w:lang w:val="en-GB"/>
        </w:rPr>
        <w:t xml:space="preserve">. </w:t>
      </w:r>
      <w:r w:rsidRPr="00D62C70">
        <w:rPr>
          <w:sz w:val="20"/>
          <w:lang w:val="it-IT"/>
        </w:rPr>
        <w:t xml:space="preserve">In: R. </w:t>
      </w:r>
      <w:proofErr w:type="spellStart"/>
      <w:r w:rsidRPr="00D62C70">
        <w:rPr>
          <w:sz w:val="20"/>
          <w:lang w:val="it-IT"/>
        </w:rPr>
        <w:t>Pamfilie</w:t>
      </w:r>
      <w:proofErr w:type="spellEnd"/>
      <w:r w:rsidRPr="00D62C70">
        <w:rPr>
          <w:sz w:val="20"/>
          <w:lang w:val="it-IT"/>
        </w:rPr>
        <w:t xml:space="preserve">, V. </w:t>
      </w:r>
      <w:proofErr w:type="spellStart"/>
      <w:r w:rsidRPr="00D62C70">
        <w:rPr>
          <w:sz w:val="20"/>
          <w:lang w:val="it-IT"/>
        </w:rPr>
        <w:t>Dinu</w:t>
      </w:r>
      <w:proofErr w:type="spellEnd"/>
      <w:r w:rsidRPr="00D62C70">
        <w:rPr>
          <w:sz w:val="20"/>
          <w:lang w:val="it-IT"/>
        </w:rPr>
        <w:t xml:space="preserve">, L. </w:t>
      </w:r>
      <w:proofErr w:type="spellStart"/>
      <w:r w:rsidRPr="00D62C70">
        <w:rPr>
          <w:sz w:val="20"/>
          <w:lang w:val="it-IT"/>
        </w:rPr>
        <w:t>Tăchiciu</w:t>
      </w:r>
      <w:proofErr w:type="spellEnd"/>
      <w:r w:rsidRPr="00D62C70">
        <w:rPr>
          <w:sz w:val="20"/>
          <w:lang w:val="it-IT"/>
        </w:rPr>
        <w:t xml:space="preserve">, D. </w:t>
      </w:r>
      <w:proofErr w:type="spellStart"/>
      <w:r w:rsidRPr="00D62C70">
        <w:rPr>
          <w:sz w:val="20"/>
          <w:lang w:val="it-IT"/>
        </w:rPr>
        <w:t>Pleșea</w:t>
      </w:r>
      <w:proofErr w:type="spellEnd"/>
      <w:r w:rsidRPr="00D62C70">
        <w:rPr>
          <w:sz w:val="20"/>
          <w:lang w:val="it-IT"/>
        </w:rPr>
        <w:t xml:space="preserve">, C. </w:t>
      </w:r>
      <w:proofErr w:type="spellStart"/>
      <w:r w:rsidRPr="00D62C70">
        <w:rPr>
          <w:sz w:val="20"/>
          <w:lang w:val="it-IT"/>
        </w:rPr>
        <w:t>Vasiliu</w:t>
      </w:r>
      <w:proofErr w:type="spellEnd"/>
      <w:r w:rsidRPr="00D62C70">
        <w:rPr>
          <w:sz w:val="20"/>
          <w:lang w:val="it-IT"/>
        </w:rPr>
        <w:t xml:space="preserve"> </w:t>
      </w:r>
      <w:proofErr w:type="spellStart"/>
      <w:r w:rsidRPr="00D62C70">
        <w:rPr>
          <w:sz w:val="20"/>
          <w:lang w:val="it-IT"/>
        </w:rPr>
        <w:t>eds</w:t>
      </w:r>
      <w:proofErr w:type="spellEnd"/>
      <w:r w:rsidRPr="00D62C70">
        <w:rPr>
          <w:sz w:val="20"/>
          <w:lang w:val="it-IT"/>
        </w:rPr>
        <w:t xml:space="preserve">. 2021. </w:t>
      </w:r>
      <w:r>
        <w:rPr>
          <w:sz w:val="20"/>
          <w:lang w:val="en-GB"/>
        </w:rPr>
        <w:t>7th BASIQ International Conference on New Trends in Sustainable Business and Consumption. Foggia,</w:t>
      </w:r>
    </w:p>
    <w:p w14:paraId="42F1C7EE" w14:textId="77777777" w:rsidR="00454C34" w:rsidRDefault="00454C34">
      <w:pPr>
        <w:spacing w:line="100" w:lineRule="atLeast"/>
        <w:jc w:val="left"/>
        <w:rPr>
          <w:sz w:val="20"/>
          <w:lang w:val="en-GB"/>
        </w:rPr>
      </w:pPr>
      <w:r>
        <w:rPr>
          <w:sz w:val="20"/>
          <w:lang w:val="en-GB"/>
        </w:rPr>
        <w:t>Italy, 3-5 June 2021.</w:t>
      </w:r>
    </w:p>
    <w:p w14:paraId="508FC928" w14:textId="77777777" w:rsidR="00454C34" w:rsidRDefault="00454C34">
      <w:pPr>
        <w:spacing w:line="100" w:lineRule="atLeast"/>
        <w:jc w:val="left"/>
        <w:rPr>
          <w:sz w:val="20"/>
          <w:lang w:val="en-GB"/>
        </w:rPr>
      </w:pPr>
    </w:p>
    <w:p w14:paraId="3724D940" w14:textId="77777777" w:rsidR="00454C34" w:rsidRDefault="00454C34">
      <w:pPr>
        <w:spacing w:line="100" w:lineRule="atLeast"/>
        <w:jc w:val="left"/>
        <w:rPr>
          <w:sz w:val="20"/>
          <w:lang w:val="en-GB"/>
        </w:rPr>
      </w:pPr>
      <w:r>
        <w:rPr>
          <w:sz w:val="20"/>
          <w:lang w:val="en-GB"/>
        </w:rPr>
        <w:t>Tarde, G. (1903). “</w:t>
      </w:r>
      <w:r>
        <w:rPr>
          <w:i/>
          <w:iCs/>
          <w:sz w:val="20"/>
          <w:lang w:val="en-GB"/>
        </w:rPr>
        <w:t>The laws of imitation”</w:t>
      </w:r>
      <w:r>
        <w:rPr>
          <w:sz w:val="20"/>
          <w:lang w:val="en-GB"/>
        </w:rPr>
        <w:t>. Holt, New York.</w:t>
      </w:r>
    </w:p>
    <w:p w14:paraId="1BAF3E4D" w14:textId="77777777" w:rsidR="00454C34" w:rsidRDefault="00454C34">
      <w:pPr>
        <w:spacing w:line="100" w:lineRule="atLeast"/>
        <w:jc w:val="left"/>
        <w:rPr>
          <w:sz w:val="20"/>
          <w:lang w:val="en-GB"/>
        </w:rPr>
      </w:pPr>
    </w:p>
    <w:p w14:paraId="2CF5BF7B" w14:textId="77777777" w:rsidR="00454C34" w:rsidRDefault="00454C34">
      <w:pPr>
        <w:spacing w:line="100" w:lineRule="atLeast"/>
        <w:jc w:val="left"/>
        <w:rPr>
          <w:sz w:val="20"/>
          <w:lang w:val="en-GB"/>
        </w:rPr>
      </w:pPr>
      <w:proofErr w:type="spellStart"/>
      <w:r>
        <w:rPr>
          <w:sz w:val="20"/>
          <w:lang w:val="en-GB"/>
        </w:rPr>
        <w:t>Tellis</w:t>
      </w:r>
      <w:proofErr w:type="spellEnd"/>
      <w:r>
        <w:rPr>
          <w:sz w:val="20"/>
          <w:lang w:val="en-GB"/>
        </w:rPr>
        <w:t>, G. J., &amp; Crawford C. M. (1981). “</w:t>
      </w:r>
      <w:r>
        <w:rPr>
          <w:i/>
          <w:iCs/>
          <w:sz w:val="20"/>
          <w:lang w:val="en-GB"/>
        </w:rPr>
        <w:t>An evolutionary approach to product growth theory”</w:t>
      </w:r>
      <w:r>
        <w:rPr>
          <w:sz w:val="20"/>
          <w:lang w:val="en-GB"/>
        </w:rPr>
        <w:t>. Journal of Marketing, 45 (4), 125-132.</w:t>
      </w:r>
    </w:p>
    <w:p w14:paraId="6ABF8B4D" w14:textId="77777777" w:rsidR="00454C34" w:rsidRDefault="00454C34">
      <w:pPr>
        <w:spacing w:line="100" w:lineRule="atLeast"/>
        <w:jc w:val="left"/>
        <w:rPr>
          <w:sz w:val="20"/>
          <w:lang w:val="en-GB"/>
        </w:rPr>
      </w:pPr>
    </w:p>
    <w:p w14:paraId="514FFCF6" w14:textId="77777777" w:rsidR="00454C34" w:rsidRDefault="00454C34">
      <w:pPr>
        <w:spacing w:line="100" w:lineRule="atLeast"/>
        <w:jc w:val="left"/>
        <w:rPr>
          <w:sz w:val="20"/>
          <w:lang w:val="en-GB"/>
        </w:rPr>
      </w:pPr>
      <w:proofErr w:type="spellStart"/>
      <w:r>
        <w:rPr>
          <w:sz w:val="20"/>
          <w:lang w:val="en-GB"/>
        </w:rPr>
        <w:t>Traitler</w:t>
      </w:r>
      <w:proofErr w:type="spellEnd"/>
      <w:r>
        <w:rPr>
          <w:sz w:val="20"/>
          <w:lang w:val="en-GB"/>
        </w:rPr>
        <w:t xml:space="preserve">, H., &amp; </w:t>
      </w:r>
      <w:proofErr w:type="spellStart"/>
      <w:r>
        <w:rPr>
          <w:sz w:val="20"/>
          <w:lang w:val="en-GB"/>
        </w:rPr>
        <w:t>Saguy</w:t>
      </w:r>
      <w:proofErr w:type="spellEnd"/>
      <w:r>
        <w:rPr>
          <w:sz w:val="20"/>
          <w:lang w:val="en-GB"/>
        </w:rPr>
        <w:t xml:space="preserve">, I. S. (2009). </w:t>
      </w:r>
      <w:r>
        <w:rPr>
          <w:i/>
          <w:iCs/>
          <w:sz w:val="20"/>
          <w:lang w:val="en-GB"/>
        </w:rPr>
        <w:t xml:space="preserve">“Creating </w:t>
      </w:r>
      <w:proofErr w:type="spellStart"/>
      <w:r>
        <w:rPr>
          <w:i/>
          <w:iCs/>
          <w:sz w:val="20"/>
          <w:lang w:val="en-GB"/>
        </w:rPr>
        <w:t>succesful</w:t>
      </w:r>
      <w:proofErr w:type="spellEnd"/>
      <w:r>
        <w:rPr>
          <w:i/>
          <w:iCs/>
          <w:sz w:val="20"/>
          <w:lang w:val="en-GB"/>
        </w:rPr>
        <w:t xml:space="preserve"> innovation partnerships”</w:t>
      </w:r>
      <w:r>
        <w:rPr>
          <w:sz w:val="20"/>
          <w:lang w:val="en-GB"/>
        </w:rPr>
        <w:t>. Food Technology, 63(3), 23-35.</w:t>
      </w:r>
    </w:p>
    <w:p w14:paraId="04A84A1B" w14:textId="77777777" w:rsidR="00454C34" w:rsidRDefault="00454C34">
      <w:pPr>
        <w:spacing w:line="100" w:lineRule="atLeast"/>
        <w:jc w:val="left"/>
        <w:rPr>
          <w:sz w:val="20"/>
          <w:lang w:val="en-GB"/>
        </w:rPr>
      </w:pPr>
    </w:p>
    <w:p w14:paraId="472F8E07" w14:textId="77777777" w:rsidR="00454C34" w:rsidRDefault="00454C34">
      <w:pPr>
        <w:spacing w:line="100" w:lineRule="atLeast"/>
        <w:jc w:val="left"/>
        <w:rPr>
          <w:sz w:val="20"/>
          <w:lang w:val="en-GB"/>
        </w:rPr>
      </w:pPr>
      <w:proofErr w:type="spellStart"/>
      <w:r>
        <w:rPr>
          <w:sz w:val="20"/>
          <w:lang w:val="en-GB"/>
        </w:rPr>
        <w:t>Tsimiklis</w:t>
      </w:r>
      <w:proofErr w:type="spellEnd"/>
      <w:r>
        <w:rPr>
          <w:sz w:val="20"/>
          <w:lang w:val="en-GB"/>
        </w:rPr>
        <w:t xml:space="preserve">, P., &amp; </w:t>
      </w:r>
      <w:proofErr w:type="spellStart"/>
      <w:r>
        <w:rPr>
          <w:sz w:val="20"/>
          <w:lang w:val="en-GB"/>
        </w:rPr>
        <w:t>Makatsoris</w:t>
      </w:r>
      <w:proofErr w:type="spellEnd"/>
      <w:r>
        <w:rPr>
          <w:sz w:val="20"/>
          <w:lang w:val="en-GB"/>
        </w:rPr>
        <w:t xml:space="preserve">, C. (2015). </w:t>
      </w:r>
      <w:r>
        <w:rPr>
          <w:i/>
          <w:iCs/>
          <w:sz w:val="20"/>
          <w:lang w:val="en-GB"/>
        </w:rPr>
        <w:t>“An Open Innovation Framework for collaborative food product design &amp; manufacturing”</w:t>
      </w:r>
      <w:r>
        <w:rPr>
          <w:sz w:val="20"/>
          <w:lang w:val="en-GB"/>
        </w:rPr>
        <w:t>. Journal of Innovation Management, 4, 134-163.</w:t>
      </w:r>
    </w:p>
    <w:p w14:paraId="0668806F" w14:textId="77777777" w:rsidR="00454C34" w:rsidRDefault="00454C34">
      <w:pPr>
        <w:spacing w:line="100" w:lineRule="atLeast"/>
        <w:jc w:val="left"/>
        <w:rPr>
          <w:sz w:val="20"/>
          <w:lang w:val="en-GB"/>
        </w:rPr>
      </w:pPr>
    </w:p>
    <w:p w14:paraId="7213C649" w14:textId="77777777" w:rsidR="00454C34" w:rsidRDefault="00454C34">
      <w:pPr>
        <w:spacing w:line="100" w:lineRule="atLeast"/>
        <w:jc w:val="left"/>
        <w:rPr>
          <w:sz w:val="20"/>
          <w:lang w:val="en-GB"/>
        </w:rPr>
      </w:pPr>
      <w:proofErr w:type="spellStart"/>
      <w:r>
        <w:rPr>
          <w:sz w:val="20"/>
          <w:lang w:val="en-GB"/>
        </w:rPr>
        <w:t>Tsimiklis</w:t>
      </w:r>
      <w:proofErr w:type="spellEnd"/>
      <w:r>
        <w:rPr>
          <w:sz w:val="20"/>
          <w:lang w:val="en-GB"/>
        </w:rPr>
        <w:t xml:space="preserve">, P., </w:t>
      </w:r>
      <w:proofErr w:type="spellStart"/>
      <w:r>
        <w:rPr>
          <w:sz w:val="20"/>
          <w:lang w:val="en-GB"/>
        </w:rPr>
        <w:t>Ceschin</w:t>
      </w:r>
      <w:proofErr w:type="spellEnd"/>
      <w:r>
        <w:rPr>
          <w:sz w:val="20"/>
          <w:lang w:val="en-GB"/>
        </w:rPr>
        <w:t xml:space="preserve">, F., Green, S., Qin, S. F., Song, J., </w:t>
      </w:r>
      <w:proofErr w:type="spellStart"/>
      <w:r>
        <w:rPr>
          <w:sz w:val="20"/>
          <w:lang w:val="en-GB"/>
        </w:rPr>
        <w:t>Baurley</w:t>
      </w:r>
      <w:proofErr w:type="spellEnd"/>
      <w:r>
        <w:rPr>
          <w:sz w:val="20"/>
          <w:lang w:val="en-GB"/>
        </w:rPr>
        <w:t xml:space="preserve">, S., Rodden, T., </w:t>
      </w:r>
      <w:proofErr w:type="spellStart"/>
      <w:r>
        <w:rPr>
          <w:sz w:val="20"/>
          <w:lang w:val="en-GB"/>
        </w:rPr>
        <w:t>Makatsoris</w:t>
      </w:r>
      <w:proofErr w:type="spellEnd"/>
      <w:r>
        <w:rPr>
          <w:sz w:val="20"/>
          <w:lang w:val="en-GB"/>
        </w:rPr>
        <w:t xml:space="preserve">, C. (2015). </w:t>
      </w:r>
      <w:r>
        <w:rPr>
          <w:i/>
          <w:iCs/>
          <w:sz w:val="20"/>
          <w:lang w:val="en-GB"/>
        </w:rPr>
        <w:t>“A consumer-centric open innovation framework for food and packaging manufacturing”</w:t>
      </w:r>
      <w:r>
        <w:rPr>
          <w:sz w:val="20"/>
          <w:lang w:val="en-GB"/>
        </w:rPr>
        <w:t>. International Journal of Knowledge and Systems Science, 6(3), 52-69.</w:t>
      </w:r>
    </w:p>
    <w:p w14:paraId="7BAAE5E9" w14:textId="77777777" w:rsidR="00454C34" w:rsidRDefault="00454C34">
      <w:pPr>
        <w:spacing w:line="100" w:lineRule="atLeast"/>
        <w:jc w:val="left"/>
        <w:rPr>
          <w:sz w:val="20"/>
          <w:lang w:val="en-GB"/>
        </w:rPr>
      </w:pPr>
    </w:p>
    <w:p w14:paraId="66432489" w14:textId="77777777" w:rsidR="00454C34" w:rsidRDefault="00454C34">
      <w:pPr>
        <w:spacing w:line="100" w:lineRule="atLeast"/>
        <w:jc w:val="left"/>
        <w:rPr>
          <w:sz w:val="20"/>
          <w:lang w:val="en-GB"/>
        </w:rPr>
      </w:pPr>
      <w:r>
        <w:rPr>
          <w:sz w:val="20"/>
          <w:lang w:val="en-GB"/>
        </w:rPr>
        <w:t xml:space="preserve">Walker, C., </w:t>
      </w:r>
      <w:proofErr w:type="spellStart"/>
      <w:r>
        <w:rPr>
          <w:sz w:val="20"/>
          <w:lang w:val="en-GB"/>
        </w:rPr>
        <w:t>DeMatteis</w:t>
      </w:r>
      <w:proofErr w:type="spellEnd"/>
      <w:r>
        <w:rPr>
          <w:sz w:val="20"/>
          <w:lang w:val="en-GB"/>
        </w:rPr>
        <w:t xml:space="preserve">, L. </w:t>
      </w:r>
      <w:proofErr w:type="spellStart"/>
      <w:r>
        <w:rPr>
          <w:sz w:val="20"/>
          <w:lang w:val="en-GB"/>
        </w:rPr>
        <w:t>Lienert</w:t>
      </w:r>
      <w:proofErr w:type="spellEnd"/>
      <w:r>
        <w:rPr>
          <w:sz w:val="20"/>
          <w:lang w:val="en-GB"/>
        </w:rPr>
        <w:t xml:space="preserve">, A. (Eds) (2021). </w:t>
      </w:r>
      <w:r>
        <w:rPr>
          <w:i/>
          <w:iCs/>
          <w:sz w:val="20"/>
          <w:lang w:val="en-GB"/>
        </w:rPr>
        <w:t>“Selecting Value Chains for Sustainable Food Value Chain Development – Guidelines”</w:t>
      </w:r>
      <w:r>
        <w:rPr>
          <w:sz w:val="20"/>
          <w:lang w:val="en-GB"/>
        </w:rPr>
        <w:t>. FAO, Rome.</w:t>
      </w:r>
    </w:p>
    <w:p w14:paraId="38DD9694" w14:textId="77777777" w:rsidR="00454C34" w:rsidRDefault="00454C34">
      <w:pPr>
        <w:spacing w:line="100" w:lineRule="atLeast"/>
        <w:jc w:val="left"/>
        <w:rPr>
          <w:sz w:val="20"/>
          <w:lang w:val="en-GB"/>
        </w:rPr>
      </w:pPr>
    </w:p>
    <w:p w14:paraId="27E67A71" w14:textId="77777777" w:rsidR="00454C34" w:rsidRDefault="00454C34">
      <w:pPr>
        <w:spacing w:line="100" w:lineRule="atLeast"/>
        <w:jc w:val="left"/>
        <w:rPr>
          <w:sz w:val="20"/>
          <w:lang w:val="en-GB"/>
        </w:rPr>
      </w:pPr>
      <w:proofErr w:type="spellStart"/>
      <w:r>
        <w:rPr>
          <w:sz w:val="20"/>
          <w:lang w:val="en-GB"/>
        </w:rPr>
        <w:t>Westkämper</w:t>
      </w:r>
      <w:proofErr w:type="spellEnd"/>
      <w:r>
        <w:rPr>
          <w:sz w:val="20"/>
          <w:lang w:val="en-GB"/>
        </w:rPr>
        <w:t xml:space="preserve">, E., </w:t>
      </w:r>
      <w:proofErr w:type="spellStart"/>
      <w:r>
        <w:rPr>
          <w:sz w:val="20"/>
          <w:lang w:val="en-GB"/>
        </w:rPr>
        <w:t>Alting</w:t>
      </w:r>
      <w:proofErr w:type="spellEnd"/>
      <w:r>
        <w:rPr>
          <w:sz w:val="20"/>
          <w:lang w:val="en-GB"/>
        </w:rPr>
        <w:t>, L., Arndt, G., (2001). “</w:t>
      </w:r>
      <w:r>
        <w:rPr>
          <w:i/>
          <w:iCs/>
          <w:sz w:val="20"/>
          <w:lang w:val="en-GB"/>
        </w:rPr>
        <w:t xml:space="preserve">Life cycle management and </w:t>
      </w:r>
      <w:proofErr w:type="spellStart"/>
      <w:r>
        <w:rPr>
          <w:i/>
          <w:iCs/>
          <w:sz w:val="20"/>
          <w:lang w:val="en-GB"/>
        </w:rPr>
        <w:t>assesment</w:t>
      </w:r>
      <w:proofErr w:type="spellEnd"/>
      <w:r>
        <w:rPr>
          <w:i/>
          <w:iCs/>
          <w:sz w:val="20"/>
          <w:lang w:val="en-GB"/>
        </w:rPr>
        <w:t>: approaches and visions towards sustainable manufacturing”</w:t>
      </w:r>
      <w:r>
        <w:rPr>
          <w:sz w:val="20"/>
          <w:lang w:val="en-GB"/>
        </w:rPr>
        <w:t xml:space="preserve">. Proceedings of the </w:t>
      </w:r>
      <w:proofErr w:type="spellStart"/>
      <w:r>
        <w:rPr>
          <w:sz w:val="20"/>
          <w:lang w:val="en-GB"/>
        </w:rPr>
        <w:t>Instituion</w:t>
      </w:r>
      <w:proofErr w:type="spellEnd"/>
      <w:r>
        <w:rPr>
          <w:sz w:val="20"/>
          <w:lang w:val="en-GB"/>
        </w:rPr>
        <w:t xml:space="preserve"> of Mechanical Engineers Part B, 215 (5), 599-626.</w:t>
      </w:r>
    </w:p>
    <w:p w14:paraId="4FF41040" w14:textId="77777777" w:rsidR="00454C34" w:rsidRDefault="00454C34">
      <w:pPr>
        <w:spacing w:line="100" w:lineRule="atLeast"/>
        <w:jc w:val="left"/>
        <w:rPr>
          <w:sz w:val="20"/>
          <w:lang w:val="en-GB"/>
        </w:rPr>
      </w:pPr>
    </w:p>
    <w:p w14:paraId="612040DD" w14:textId="77777777" w:rsidR="00454C34" w:rsidRDefault="00454C34">
      <w:pPr>
        <w:spacing w:line="100" w:lineRule="atLeast"/>
        <w:jc w:val="left"/>
        <w:rPr>
          <w:sz w:val="20"/>
          <w:lang w:val="en-GB"/>
        </w:rPr>
      </w:pPr>
      <w:proofErr w:type="spellStart"/>
      <w:r>
        <w:rPr>
          <w:sz w:val="20"/>
          <w:lang w:val="en-GB"/>
        </w:rPr>
        <w:t>Wolfert</w:t>
      </w:r>
      <w:proofErr w:type="spellEnd"/>
      <w:r>
        <w:rPr>
          <w:sz w:val="20"/>
          <w:lang w:val="en-GB"/>
        </w:rPr>
        <w:t xml:space="preserve">, J., </w:t>
      </w:r>
      <w:proofErr w:type="spellStart"/>
      <w:r>
        <w:rPr>
          <w:sz w:val="20"/>
          <w:lang w:val="en-GB"/>
        </w:rPr>
        <w:t>Verdouw</w:t>
      </w:r>
      <w:proofErr w:type="spellEnd"/>
      <w:r>
        <w:rPr>
          <w:sz w:val="20"/>
          <w:lang w:val="en-GB"/>
        </w:rPr>
        <w:t xml:space="preserve">, C. N., </w:t>
      </w:r>
      <w:proofErr w:type="spellStart"/>
      <w:r>
        <w:rPr>
          <w:sz w:val="20"/>
          <w:lang w:val="en-GB"/>
        </w:rPr>
        <w:t>Verloop</w:t>
      </w:r>
      <w:proofErr w:type="spellEnd"/>
      <w:r>
        <w:rPr>
          <w:sz w:val="20"/>
          <w:lang w:val="en-GB"/>
        </w:rPr>
        <w:t xml:space="preserve">, C. M., </w:t>
      </w:r>
      <w:proofErr w:type="spellStart"/>
      <w:r>
        <w:rPr>
          <w:sz w:val="20"/>
          <w:lang w:val="en-GB"/>
        </w:rPr>
        <w:t>Beulens</w:t>
      </w:r>
      <w:proofErr w:type="spellEnd"/>
      <w:r>
        <w:rPr>
          <w:sz w:val="20"/>
          <w:lang w:val="en-GB"/>
        </w:rPr>
        <w:t xml:space="preserve">, A. J. M. (2010). </w:t>
      </w:r>
      <w:r>
        <w:rPr>
          <w:i/>
          <w:iCs/>
          <w:sz w:val="20"/>
          <w:lang w:val="en-GB"/>
        </w:rPr>
        <w:t>“Organizing information integration in agri-food — A method based on a service-oriented architecture and living lab approach”</w:t>
      </w:r>
      <w:r>
        <w:rPr>
          <w:sz w:val="20"/>
          <w:lang w:val="en-GB"/>
        </w:rPr>
        <w:t>. Computers and Electronics in Agriculture, 70, 389-405.</w:t>
      </w:r>
    </w:p>
    <w:p w14:paraId="2D65416B" w14:textId="77777777" w:rsidR="00454C34" w:rsidRDefault="00454C34">
      <w:pPr>
        <w:spacing w:line="100" w:lineRule="atLeast"/>
        <w:jc w:val="left"/>
        <w:rPr>
          <w:sz w:val="20"/>
          <w:lang w:val="en-GB"/>
        </w:rPr>
      </w:pPr>
    </w:p>
    <w:p w14:paraId="208B6543" w14:textId="77777777" w:rsidR="00454C34" w:rsidRDefault="00454C34">
      <w:pPr>
        <w:spacing w:line="100" w:lineRule="atLeast"/>
        <w:jc w:val="left"/>
      </w:pPr>
      <w:r>
        <w:rPr>
          <w:sz w:val="20"/>
          <w:lang w:val="en-GB"/>
        </w:rPr>
        <w:t xml:space="preserve">Yun, J. J., Park, K., Del </w:t>
      </w:r>
      <w:proofErr w:type="spellStart"/>
      <w:r>
        <w:rPr>
          <w:sz w:val="20"/>
          <w:lang w:val="en-GB"/>
        </w:rPr>
        <w:t>Gaudio</w:t>
      </w:r>
      <w:proofErr w:type="spellEnd"/>
      <w:r>
        <w:rPr>
          <w:sz w:val="20"/>
          <w:lang w:val="en-GB"/>
        </w:rPr>
        <w:t xml:space="preserve">, G., Della Corte, V. (2020). </w:t>
      </w:r>
      <w:r>
        <w:rPr>
          <w:i/>
          <w:iCs/>
          <w:sz w:val="20"/>
          <w:lang w:val="en-GB"/>
        </w:rPr>
        <w:t>“Open innovation ecosystems of restaurants: geographical economics of successful restaurants from three cities”</w:t>
      </w:r>
      <w:r>
        <w:rPr>
          <w:sz w:val="20"/>
          <w:lang w:val="en-GB"/>
        </w:rPr>
        <w:t>. European Planning Studies, 28(12), 2348-2367.</w:t>
      </w:r>
    </w:p>
    <w:sectPr w:rsidR="00454C34" w:rsidSect="009F61C3">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57F5A" w14:textId="77777777" w:rsidR="00F0009E" w:rsidRDefault="00F0009E">
      <w:pPr>
        <w:spacing w:line="240" w:lineRule="auto"/>
      </w:pPr>
      <w:r>
        <w:separator/>
      </w:r>
    </w:p>
  </w:endnote>
  <w:endnote w:type="continuationSeparator" w:id="0">
    <w:p w14:paraId="333DD00D" w14:textId="77777777" w:rsidR="00F0009E" w:rsidRDefault="00F000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0631" w14:textId="77777777" w:rsidR="00454C34" w:rsidRDefault="00454C34">
    <w:pPr>
      <w:jc w:val="center"/>
    </w:pPr>
    <w:r>
      <w:fldChar w:fldCharType="begin"/>
    </w:r>
    <w:r>
      <w:instrText xml:space="preserve"> PAGE </w:instrText>
    </w:r>
    <w:r>
      <w:fldChar w:fldCharType="separate"/>
    </w:r>
    <w:r>
      <w:t>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0169" w14:textId="77777777" w:rsidR="00454C34" w:rsidRDefault="00454C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63B30" w14:textId="77777777" w:rsidR="00454C34" w:rsidRDefault="00454C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CC86" w14:textId="77777777" w:rsidR="007557E2" w:rsidRDefault="007557E2">
    <w:pPr>
      <w:rPr>
        <w:lang w:val="it-IT"/>
      </w:rPr>
    </w:pPr>
  </w:p>
  <w:p w14:paraId="49E41801" w14:textId="77777777" w:rsidR="005C33AF" w:rsidRPr="005C33AF" w:rsidRDefault="005C33AF">
    <w:pPr>
      <w:rPr>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D6B2" w14:textId="77777777" w:rsidR="00454C34" w:rsidRDefault="00454C3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6F7F" w14:textId="77777777" w:rsidR="00454C34" w:rsidRDefault="00454C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443C" w14:textId="77777777" w:rsidR="00454C34" w:rsidRDefault="00454C3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205" w14:textId="77777777" w:rsidR="00454C34" w:rsidRDefault="00454C3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CF36" w14:textId="77777777" w:rsidR="00454C34" w:rsidRDefault="00454C3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9272" w14:textId="77777777" w:rsidR="00454C34" w:rsidRDefault="00454C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B9EF8" w14:textId="77777777" w:rsidR="00F0009E" w:rsidRDefault="00F0009E">
      <w:pPr>
        <w:spacing w:line="240" w:lineRule="auto"/>
      </w:pPr>
      <w:r>
        <w:separator/>
      </w:r>
    </w:p>
  </w:footnote>
  <w:footnote w:type="continuationSeparator" w:id="0">
    <w:p w14:paraId="7B74B3EB" w14:textId="77777777" w:rsidR="00F0009E" w:rsidRDefault="00F0009E">
      <w:pPr>
        <w:spacing w:line="240" w:lineRule="auto"/>
      </w:pPr>
      <w:r>
        <w:continuationSeparator/>
      </w:r>
    </w:p>
  </w:footnote>
  <w:footnote w:id="1">
    <w:p w14:paraId="3FE03492" w14:textId="77777777" w:rsidR="009C12F8" w:rsidRDefault="009C12F8">
      <w:pPr>
        <w:pStyle w:val="Testonotaapidipagina"/>
      </w:pPr>
      <w:r>
        <w:rPr>
          <w:rStyle w:val="Rimandonotaapidipagina"/>
        </w:rPr>
        <w:t>a</w:t>
      </w:r>
      <w:r>
        <w:t xml:space="preserve"> </w:t>
      </w:r>
      <w:r>
        <w:tab/>
        <w:t xml:space="preserve">Hackathons represent a new toolkit available in management strategies portfolio. Hackathons are a form of live crowdsourcing where computer programmers develop various prototypes and new ideas </w:t>
      </w:r>
      <w:proofErr w:type="gramStart"/>
      <w:r>
        <w:t>in order to</w:t>
      </w:r>
      <w:proofErr w:type="gramEnd"/>
      <w:r>
        <w:t xml:space="preserve"> innovate (Tucci et al., 2018).</w:t>
      </w:r>
    </w:p>
  </w:footnote>
  <w:footnote w:id="2">
    <w:p w14:paraId="174D8E52" w14:textId="77777777" w:rsidR="008726CA" w:rsidRDefault="008726CA">
      <w:pPr>
        <w:pStyle w:val="Testonotaapidipagina"/>
      </w:pPr>
      <w:r>
        <w:rPr>
          <w:rStyle w:val="Rimandonotaapidipagina"/>
        </w:rPr>
        <w:t>b</w:t>
      </w:r>
      <w:r>
        <w:t xml:space="preserve"> </w:t>
      </w:r>
      <w:r>
        <w:tab/>
        <w:t xml:space="preserve">The </w:t>
      </w:r>
      <w:proofErr w:type="spellStart"/>
      <w:r>
        <w:t>treshold</w:t>
      </w:r>
      <w:proofErr w:type="spellEnd"/>
      <w:r>
        <w:t xml:space="preserve"> states how many times a keyword </w:t>
      </w:r>
      <w:proofErr w:type="gramStart"/>
      <w:r>
        <w:t>have</w:t>
      </w:r>
      <w:proofErr w:type="gramEnd"/>
      <w:r>
        <w:t xml:space="preserve"> to occur in the dataset to be used in the analysis.</w:t>
      </w:r>
    </w:p>
  </w:footnote>
  <w:footnote w:id="3">
    <w:p w14:paraId="1559ABFE" w14:textId="77777777" w:rsidR="008726CA" w:rsidRDefault="008726CA">
      <w:pPr>
        <w:pStyle w:val="Testonotaapidipagina"/>
      </w:pPr>
      <w:r>
        <w:rPr>
          <w:rStyle w:val="Rimandonotaapidipagina"/>
        </w:rPr>
        <w:t>c</w:t>
      </w:r>
      <w:r>
        <w:t xml:space="preserve"> </w:t>
      </w:r>
      <w:r>
        <w:rPr>
          <w:lang w:val="en-GB"/>
        </w:rPr>
        <w:tab/>
        <w:t xml:space="preserve">Inbound (acquiring and sourcing) and outbound (selling and revealing) open innovation can be practiced through many sub-activities. For instance, company can acquire knowledge through formal networking, cooperation, collaboration, in-licensing. Further examples are customer participation and informal networking (Sadat &amp; </w:t>
      </w:r>
      <w:proofErr w:type="spellStart"/>
      <w:r>
        <w:rPr>
          <w:lang w:val="en-GB"/>
        </w:rPr>
        <w:t>Nasrat</w:t>
      </w:r>
      <w:proofErr w:type="spellEnd"/>
      <w:r>
        <w:rPr>
          <w:lang w:val="en-GB"/>
        </w:rPr>
        <w:t>, 2020).</w:t>
      </w:r>
    </w:p>
  </w:footnote>
  <w:footnote w:id="4">
    <w:p w14:paraId="2C27FEB3" w14:textId="77777777" w:rsidR="008726CA" w:rsidRDefault="008726CA">
      <w:r>
        <w:rPr>
          <w:rStyle w:val="Rimandonotaapidipagina"/>
          <w:sz w:val="20"/>
        </w:rPr>
        <w:t>d</w:t>
      </w:r>
      <w:r>
        <w:rPr>
          <w:sz w:val="20"/>
        </w:rPr>
        <w:t xml:space="preserve"> </w:t>
      </w:r>
      <w:r>
        <w:br w:type="page"/>
      </w:r>
      <w:r>
        <w:tab/>
        <w:t xml:space="preserve">Crowdsourcing can be assessed as a form of outsourcing that engages a group of participants who share work, </w:t>
      </w:r>
      <w:proofErr w:type="gramStart"/>
      <w:r>
        <w:t>information</w:t>
      </w:r>
      <w:proofErr w:type="gramEnd"/>
      <w:r>
        <w:t xml:space="preserve"> or opinions. After the identification of a problem, the group offers solution to that problem: </w:t>
      </w:r>
      <w:proofErr w:type="spellStart"/>
      <w:r>
        <w:t>succesful</w:t>
      </w:r>
      <w:proofErr w:type="spellEnd"/>
      <w:r>
        <w:t xml:space="preserve"> solutions are awarded and developed.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6B365" w14:textId="77777777" w:rsidR="00454C34" w:rsidRPr="009C12F8" w:rsidRDefault="00454C34">
    <w:pPr>
      <w:pStyle w:val="Intestazione"/>
      <w:tabs>
        <w:tab w:val="clear" w:pos="4320"/>
        <w:tab w:val="center" w:pos="3600"/>
      </w:tabs>
      <w:spacing w:after="280" w:line="180" w:lineRule="exact"/>
      <w:rPr>
        <w:lang w:val="it-IT"/>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42B20" w14:textId="77777777" w:rsidR="00454C34" w:rsidRDefault="00454C3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0332" w14:textId="77777777" w:rsidR="00454C34" w:rsidRDefault="00454C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7D6F4" w14:textId="77777777" w:rsidR="00454C34" w:rsidRDefault="00454C34">
    <w:pPr>
      <w:pStyle w:val="Intestazione"/>
      <w:tabs>
        <w:tab w:val="clear" w:pos="4320"/>
        <w:tab w:val="clear" w:pos="8640"/>
        <w:tab w:val="center" w:pos="3600"/>
        <w:tab w:val="right" w:pos="7200"/>
      </w:tabs>
      <w:spacing w:after="280" w:line="180" w:lineRule="exact"/>
    </w:pPr>
    <w:r>
      <w:tab/>
    </w:r>
    <w:r>
      <w:rPr>
        <w:i/>
        <w:sz w:val="16"/>
        <w:szCs w:val="16"/>
        <w:lang w:val="en-SG"/>
      </w:rPr>
      <w:t xml:space="preserve">The technological dimension role in an open </w:t>
    </w:r>
    <w:proofErr w:type="gramStart"/>
    <w:r>
      <w:rPr>
        <w:i/>
        <w:sz w:val="16"/>
        <w:szCs w:val="16"/>
        <w:lang w:val="en-SG"/>
      </w:rPr>
      <w:t>innovation  perspective</w:t>
    </w:r>
    <w:proofErr w:type="gramEnd"/>
    <w:r>
      <w:rPr>
        <w:i/>
        <w:sz w:val="18"/>
        <w:lang w:val="en-SG"/>
      </w:rPr>
      <w:tab/>
    </w:r>
    <w:r>
      <w:fldChar w:fldCharType="begin"/>
    </w:r>
    <w:r>
      <w:instrText xml:space="preserve"> PAGE </w:instrText>
    </w:r>
    <w:r>
      <w:fldChar w:fldCharType="separate"/>
    </w:r>
    <w:r>
      <w:t>15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809E" w14:textId="49D39739" w:rsidR="00454C34" w:rsidRPr="009C12F8" w:rsidRDefault="00454C34">
    <w:pPr>
      <w:pStyle w:val="Intestazione"/>
      <w:tabs>
        <w:tab w:val="clear" w:pos="4320"/>
        <w:tab w:val="center" w:pos="3600"/>
      </w:tabs>
      <w:spacing w:after="280" w:line="180" w:lineRule="exact"/>
      <w:rPr>
        <w:lang w:val="it-IT"/>
      </w:rPr>
    </w:pPr>
    <w:r>
      <w:fldChar w:fldCharType="begin"/>
    </w:r>
    <w:r w:rsidRPr="009C12F8">
      <w:rPr>
        <w:lang w:val="it-IT"/>
      </w:rPr>
      <w:instrText xml:space="preserve"> PAGE </w:instrText>
    </w:r>
    <w:r>
      <w:fldChar w:fldCharType="separate"/>
    </w:r>
    <w:r w:rsidRPr="009C12F8">
      <w:rPr>
        <w:lang w:val="it-IT"/>
      </w:rPr>
      <w:t>16</w:t>
    </w:r>
    <w:r>
      <w:fldChar w:fldCharType="end"/>
    </w:r>
    <w:r w:rsidRPr="009C12F8">
      <w:rPr>
        <w:rStyle w:val="Numeropagina1"/>
        <w:sz w:val="18"/>
        <w:lang w:val="it-IT"/>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B5C4" w14:textId="77777777" w:rsidR="00454C34" w:rsidRDefault="00454C34">
    <w:pPr>
      <w:pStyle w:val="Intestazione"/>
      <w:tabs>
        <w:tab w:val="clear" w:pos="4320"/>
        <w:tab w:val="clear" w:pos="8640"/>
        <w:tab w:val="center" w:pos="3600"/>
        <w:tab w:val="right" w:pos="7200"/>
      </w:tabs>
      <w:spacing w:after="280" w:line="180" w:lineRule="exact"/>
    </w:pPr>
    <w:r>
      <w:tab/>
    </w:r>
    <w:r>
      <w:rPr>
        <w:i/>
        <w:sz w:val="16"/>
        <w:szCs w:val="16"/>
        <w:lang w:val="en-SG"/>
      </w:rPr>
      <w:t xml:space="preserve">The technological dimension role in an open </w:t>
    </w:r>
    <w:proofErr w:type="gramStart"/>
    <w:r>
      <w:rPr>
        <w:i/>
        <w:sz w:val="16"/>
        <w:szCs w:val="16"/>
        <w:lang w:val="en-SG"/>
      </w:rPr>
      <w:t>innovation  perspective</w:t>
    </w:r>
    <w:proofErr w:type="gramEnd"/>
    <w:r>
      <w:rPr>
        <w:i/>
        <w:sz w:val="18"/>
        <w:lang w:val="en-SG"/>
      </w:rPr>
      <w:tab/>
    </w:r>
    <w:r>
      <w:fldChar w:fldCharType="begin"/>
    </w:r>
    <w:r>
      <w:instrText xml:space="preserve"> PAGE </w:instrText>
    </w:r>
    <w:r>
      <w:fldChar w:fldCharType="separate"/>
    </w:r>
    <w:r>
      <w:t>15</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2749F" w14:textId="77777777" w:rsidR="00454C34" w:rsidRDefault="00454C3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43B0A" w14:textId="77777777" w:rsidR="00454C34" w:rsidRDefault="00454C3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2DAE" w14:textId="77777777" w:rsidR="00454C34" w:rsidRDefault="00454C3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B0563" w14:textId="77777777" w:rsidR="00454C34" w:rsidRDefault="00454C3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FC668" w14:textId="77777777" w:rsidR="00454C34" w:rsidRDefault="00454C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pStyle w:val="Titolo1"/>
      <w:lvlText w:val="Appendix %1.   "/>
      <w:lvlJc w:val="left"/>
      <w:pPr>
        <w:tabs>
          <w:tab w:val="num" w:pos="0"/>
        </w:tabs>
        <w:ind w:left="300" w:hanging="300"/>
      </w:pPr>
      <w:rPr>
        <w:color w:val="00000A"/>
      </w:r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pStyle w:val="Titolo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84500831">
    <w:abstractNumId w:val="0"/>
  </w:num>
  <w:num w:numId="2" w16cid:durableId="1283028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14"/>
  <w:hyphenationZone w:val="283"/>
  <w:defaultTableStyle w:val="Normale"/>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C12F8"/>
    <w:rsid w:val="0044528E"/>
    <w:rsid w:val="00454C34"/>
    <w:rsid w:val="004C3EAE"/>
    <w:rsid w:val="004D3AD5"/>
    <w:rsid w:val="005C33AF"/>
    <w:rsid w:val="007557E2"/>
    <w:rsid w:val="008726CA"/>
    <w:rsid w:val="00991ACB"/>
    <w:rsid w:val="009C12F8"/>
    <w:rsid w:val="009F61C3"/>
    <w:rsid w:val="00A654B5"/>
    <w:rsid w:val="00BB4ED4"/>
    <w:rsid w:val="00C212B7"/>
    <w:rsid w:val="00D4197B"/>
    <w:rsid w:val="00D62C70"/>
    <w:rsid w:val="00E039A2"/>
    <w:rsid w:val="00E92524"/>
    <w:rsid w:val="00F00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4:docId w14:val="19797A16"/>
  <w15:chartTrackingRefBased/>
  <w15:docId w15:val="{6EC08EA7-8774-49D2-9C0C-A36AAF360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280" w:lineRule="exact"/>
      <w:jc w:val="both"/>
    </w:pPr>
    <w:rPr>
      <w:sz w:val="22"/>
      <w:lang w:val="en-US" w:eastAsia="ar-SA"/>
    </w:rPr>
  </w:style>
  <w:style w:type="paragraph" w:styleId="Titolo1">
    <w:name w:val="heading 1"/>
    <w:basedOn w:val="Normale"/>
    <w:next w:val="Corpotesto"/>
    <w:qFormat/>
    <w:pPr>
      <w:keepNext/>
      <w:numPr>
        <w:numId w:val="1"/>
      </w:numPr>
      <w:spacing w:before="420" w:after="240"/>
      <w:outlineLvl w:val="0"/>
    </w:pPr>
    <w:rPr>
      <w:rFonts w:cs="Arial"/>
      <w:b/>
      <w:bCs/>
      <w:kern w:val="1"/>
      <w:szCs w:val="32"/>
    </w:rPr>
  </w:style>
  <w:style w:type="paragraph" w:styleId="Titolo2">
    <w:name w:val="heading 2"/>
    <w:basedOn w:val="Normale"/>
    <w:next w:val="Corpotesto"/>
    <w:qFormat/>
    <w:pPr>
      <w:keepNext/>
      <w:numPr>
        <w:ilvl w:val="1"/>
        <w:numId w:val="1"/>
      </w:numPr>
      <w:spacing w:before="400" w:after="180"/>
      <w:ind w:left="0" w:right="720" w:firstLine="0"/>
      <w:outlineLvl w:val="1"/>
    </w:pPr>
    <w:rPr>
      <w:rFonts w:cs="Arial"/>
      <w:b/>
      <w:bCs/>
      <w:i/>
      <w:iCs/>
      <w:szCs w:val="28"/>
    </w:rPr>
  </w:style>
  <w:style w:type="paragraph" w:styleId="Titolo3">
    <w:name w:val="heading 3"/>
    <w:basedOn w:val="Normale"/>
    <w:next w:val="Corpotesto"/>
    <w:qFormat/>
    <w:pPr>
      <w:numPr>
        <w:ilvl w:val="2"/>
        <w:numId w:val="1"/>
      </w:numPr>
      <w:spacing w:before="320" w:after="180"/>
      <w:outlineLvl w:val="2"/>
    </w:pPr>
    <w:rPr>
      <w:i/>
      <w:szCs w:val="24"/>
    </w:rPr>
  </w:style>
  <w:style w:type="paragraph" w:styleId="Titolo4">
    <w:name w:val="heading 4"/>
    <w:basedOn w:val="Normale"/>
    <w:next w:val="Corpotesto"/>
    <w:qFormat/>
    <w:pPr>
      <w:keepNext/>
      <w:numPr>
        <w:ilvl w:val="3"/>
        <w:numId w:val="1"/>
      </w:numPr>
      <w:spacing w:before="240" w:after="60"/>
      <w:outlineLvl w:val="3"/>
    </w:pPr>
    <w:rPr>
      <w:bCs/>
      <w:i/>
      <w:szCs w:val="28"/>
    </w:rPr>
  </w:style>
  <w:style w:type="paragraph" w:styleId="Titolo5">
    <w:name w:val="heading 5"/>
    <w:basedOn w:val="Normale"/>
    <w:next w:val="Corpotesto"/>
    <w:qFormat/>
    <w:pPr>
      <w:keepNext/>
      <w:widowControl w:val="0"/>
      <w:numPr>
        <w:ilvl w:val="4"/>
        <w:numId w:val="1"/>
      </w:numPr>
      <w:spacing w:before="240" w:after="160"/>
      <w:outlineLvl w:val="4"/>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Numeropagina1">
    <w:name w:val="Numero pagina1"/>
    <w:basedOn w:val="Carpredefinitoparagrafo1"/>
  </w:style>
  <w:style w:type="character" w:customStyle="1" w:styleId="Rimandonotaapidipagina1">
    <w:name w:val="Rimando nota a piè di pagina1"/>
    <w:rPr>
      <w:vertAlign w:val="superscript"/>
    </w:rPr>
  </w:style>
  <w:style w:type="character" w:customStyle="1" w:styleId="MTEquationSection">
    <w:name w:val="MTEquationSection"/>
    <w:rPr>
      <w:vanish/>
      <w:color w:val="FF0000"/>
    </w:rPr>
  </w:style>
  <w:style w:type="character" w:customStyle="1" w:styleId="Titolo1Carattere">
    <w:name w:val="Titolo 1 Carattere"/>
    <w:rPr>
      <w:rFonts w:cs="Arial"/>
      <w:b/>
      <w:bCs/>
      <w:kern w:val="1"/>
      <w:sz w:val="22"/>
      <w:szCs w:val="32"/>
      <w:lang w:val="en-US"/>
    </w:rPr>
  </w:style>
  <w:style w:type="character" w:customStyle="1" w:styleId="Titolo2Carattere">
    <w:name w:val="Titolo 2 Carattere"/>
    <w:rPr>
      <w:rFonts w:cs="Arial"/>
      <w:b/>
      <w:bCs/>
      <w:i/>
      <w:iCs/>
      <w:sz w:val="22"/>
      <w:szCs w:val="28"/>
      <w:lang w:val="en-US"/>
    </w:rPr>
  </w:style>
  <w:style w:type="character" w:customStyle="1" w:styleId="Titolo3Carattere">
    <w:name w:val="Titolo 3 Carattere"/>
    <w:rPr>
      <w:i/>
      <w:sz w:val="22"/>
      <w:szCs w:val="24"/>
      <w:lang w:val="en-US"/>
    </w:rPr>
  </w:style>
  <w:style w:type="character" w:customStyle="1" w:styleId="ReferencesCharChar">
    <w:name w:val="References Char Char"/>
    <w:rPr>
      <w:sz w:val="18"/>
      <w:szCs w:val="24"/>
    </w:rPr>
  </w:style>
  <w:style w:type="character" w:customStyle="1" w:styleId="NumberedReferencesCharChar">
    <w:name w:val="Numbered References Char Char"/>
    <w:rPr>
      <w:sz w:val="18"/>
      <w:szCs w:val="18"/>
    </w:rPr>
  </w:style>
  <w:style w:type="character" w:customStyle="1" w:styleId="TextChar">
    <w:name w:val="Text Char"/>
    <w:rPr>
      <w:sz w:val="22"/>
    </w:rPr>
  </w:style>
  <w:style w:type="character" w:customStyle="1" w:styleId="TestonotaapidipaginaCarattere">
    <w:name w:val="Testo nota a piè di pagina Carattere"/>
    <w:rPr>
      <w:sz w:val="18"/>
    </w:rPr>
  </w:style>
  <w:style w:type="character" w:styleId="Collegamentoipertestuale">
    <w:name w:val="Hyperlink"/>
    <w:rPr>
      <w:color w:val="0000FF"/>
      <w:u w:val="single"/>
    </w:rPr>
  </w:style>
  <w:style w:type="character" w:customStyle="1" w:styleId="Numeroriga1">
    <w:name w:val="Numero riga1"/>
    <w:basedOn w:val="Carpredefinitoparagrafo1"/>
  </w:style>
  <w:style w:type="character" w:customStyle="1" w:styleId="TestofumettoCarattere">
    <w:name w:val="Testo fumetto Carattere"/>
    <w:rPr>
      <w:rFonts w:ascii="Tahoma" w:hAnsi="Tahoma" w:cs="Tahoma"/>
      <w:sz w:val="16"/>
      <w:szCs w:val="16"/>
    </w:rPr>
  </w:style>
  <w:style w:type="character" w:customStyle="1" w:styleId="Menzionenonrisolta1">
    <w:name w:val="Menzione non risolta1"/>
    <w:rPr>
      <w:color w:val="605E5C"/>
    </w:rPr>
  </w:style>
  <w:style w:type="character" w:customStyle="1" w:styleId="apple-converted-space">
    <w:name w:val="apple-converted-space"/>
    <w:basedOn w:val="Carpredefinitoparagrafo1"/>
  </w:style>
  <w:style w:type="character" w:customStyle="1" w:styleId="Collegamentovisitato1">
    <w:name w:val="Collegamento visitato1"/>
    <w:rPr>
      <w:color w:val="954F72"/>
      <w:u w:val="single"/>
    </w:rPr>
  </w:style>
  <w:style w:type="character" w:customStyle="1" w:styleId="ListLabel1">
    <w:name w:val="ListLabel 1"/>
    <w:rPr>
      <w:b w:val="0"/>
      <w:i w:val="0"/>
    </w:rPr>
  </w:style>
  <w:style w:type="character" w:customStyle="1" w:styleId="ListLabel2">
    <w:name w:val="ListLabel 2"/>
    <w:rPr>
      <w:rFonts w:cs="Times New Roman"/>
      <w:b/>
      <w:i w:val="0"/>
      <w:sz w:val="22"/>
    </w:rPr>
  </w:style>
  <w:style w:type="character" w:customStyle="1" w:styleId="ListLabel3">
    <w:name w:val="ListLabel 3"/>
    <w:rPr>
      <w:b w:val="0"/>
      <w:i w:val="0"/>
      <w:sz w:val="22"/>
    </w:rPr>
  </w:style>
  <w:style w:type="character" w:customStyle="1" w:styleId="ListLabel4">
    <w:name w:val="ListLabel 4"/>
    <w:rPr>
      <w:rFonts w:cs="Times New Roman"/>
      <w:b w:val="0"/>
      <w:i w:val="0"/>
      <w:sz w:val="22"/>
    </w:rPr>
  </w:style>
  <w:style w:type="character" w:customStyle="1" w:styleId="ListLabel5">
    <w:name w:val="ListLabel 5"/>
    <w:rPr>
      <w:color w:val="00000A"/>
    </w:rPr>
  </w:style>
  <w:style w:type="character" w:customStyle="1" w:styleId="ListLabel6">
    <w:name w:val="ListLabel 6"/>
    <w:rPr>
      <w:rFonts w:cs="Times New Roman"/>
      <w:b/>
      <w:i w:val="0"/>
      <w:sz w:val="20"/>
    </w:rPr>
  </w:style>
  <w:style w:type="character" w:customStyle="1" w:styleId="ListLabel7">
    <w:name w:val="ListLabel 7"/>
    <w:rPr>
      <w:rFonts w:cs="Times New Roman"/>
      <w:b/>
      <w:i w:val="0"/>
      <w:sz w:val="22"/>
      <w:szCs w:val="20"/>
    </w:rPr>
  </w:style>
  <w:style w:type="character" w:customStyle="1" w:styleId="ListLabel8">
    <w:name w:val="ListLabel 8"/>
    <w:rPr>
      <w:rFonts w:cs="Times New Roman"/>
      <w:b/>
      <w:i w:val="0"/>
      <w:sz w:val="22"/>
      <w:szCs w:val="22"/>
    </w:rPr>
  </w:style>
  <w:style w:type="character" w:customStyle="1" w:styleId="ListLabel9">
    <w:name w:val="ListLabel 9"/>
    <w:rPr>
      <w:rFonts w:cs="Times New Roman"/>
      <w:b w:val="0"/>
      <w:i w:val="0"/>
      <w:sz w:val="22"/>
      <w:szCs w:val="22"/>
    </w:rPr>
  </w:style>
  <w:style w:type="character" w:customStyle="1" w:styleId="ListLabel10">
    <w:name w:val="ListLabel 10"/>
    <w:rPr>
      <w:b/>
      <w:i w:val="0"/>
      <w:sz w:val="22"/>
    </w:rPr>
  </w:style>
  <w:style w:type="character" w:customStyle="1" w:styleId="ListLabel11">
    <w:name w:val="ListLabel 11"/>
    <w:rPr>
      <w:b/>
      <w:i w:val="0"/>
      <w:sz w:val="20"/>
      <w:szCs w:val="20"/>
    </w:rPr>
  </w:style>
  <w:style w:type="character" w:customStyle="1" w:styleId="Caratteredellanota">
    <w:name w:val="Carattere della nota"/>
  </w:style>
  <w:style w:type="character" w:styleId="Rimandonotaapidipagina">
    <w:name w:val="footnote reference"/>
    <w:rPr>
      <w:vertAlign w:val="superscript"/>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character" w:styleId="Rimandonotadichiusura">
    <w:name w:val="endnote reference"/>
    <w:rPr>
      <w:vertAlign w:val="superscript"/>
    </w:rPr>
  </w:style>
  <w:style w:type="character" w:customStyle="1" w:styleId="Caratterenotadichiusura">
    <w:name w:val="Carattere nota di chiusura"/>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ind w:firstLine="300"/>
    </w:pPr>
    <w:rPr>
      <w:sz w:val="20"/>
    </w:rPr>
  </w:style>
  <w:style w:type="paragraph" w:styleId="Elenco">
    <w:name w:val="List"/>
    <w:basedOn w:val="Normale"/>
    <w:rPr>
      <w:rFonts w:cs="Arial"/>
    </w:rPr>
  </w:style>
  <w:style w:type="paragraph" w:customStyle="1" w:styleId="Didascalia1">
    <w:name w:val="Didascalia1"/>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customStyle="1" w:styleId="Testonormale1">
    <w:name w:val="Testo normale1"/>
    <w:basedOn w:val="Normale"/>
    <w:pPr>
      <w:tabs>
        <w:tab w:val="left" w:pos="360"/>
      </w:tabs>
      <w:spacing w:line="260" w:lineRule="atLeast"/>
    </w:pPr>
    <w:rPr>
      <w:rFonts w:ascii="Courier New" w:hAnsi="Courier New"/>
      <w:sz w:val="20"/>
    </w:rPr>
  </w:style>
  <w:style w:type="paragraph" w:customStyle="1" w:styleId="ChapterTitle">
    <w:name w:val="Chapter Title"/>
    <w:basedOn w:val="Normale"/>
    <w:pPr>
      <w:spacing w:after="440"/>
      <w:ind w:left="720" w:right="720"/>
      <w:jc w:val="center"/>
    </w:pPr>
    <w:rPr>
      <w:b/>
    </w:rPr>
  </w:style>
  <w:style w:type="paragraph" w:customStyle="1" w:styleId="Testo">
    <w:name w:val="Testo"/>
    <w:basedOn w:val="Normale"/>
  </w:style>
  <w:style w:type="paragraph" w:customStyle="1" w:styleId="ChapterNo">
    <w:name w:val="Chapter No"/>
    <w:basedOn w:val="Normale"/>
    <w:pPr>
      <w:spacing w:before="920" w:after="320"/>
      <w:jc w:val="center"/>
    </w:pPr>
    <w:rPr>
      <w:b/>
    </w:rPr>
  </w:style>
  <w:style w:type="paragraph" w:styleId="Intestazione">
    <w:name w:val="header"/>
    <w:basedOn w:val="Normale"/>
    <w:link w:val="IntestazioneCarattere"/>
    <w:uiPriority w:val="99"/>
    <w:pPr>
      <w:suppressLineNumbers/>
      <w:tabs>
        <w:tab w:val="center" w:pos="4320"/>
        <w:tab w:val="right" w:pos="8640"/>
      </w:tabs>
    </w:pPr>
    <w:rPr>
      <w:sz w:val="20"/>
    </w:rPr>
  </w:style>
  <w:style w:type="paragraph" w:styleId="Pidipagina">
    <w:name w:val="footer"/>
    <w:basedOn w:val="Normale"/>
    <w:link w:val="PidipaginaCarattere"/>
    <w:uiPriority w:val="99"/>
    <w:pPr>
      <w:suppressLineNumbers/>
      <w:tabs>
        <w:tab w:val="center" w:pos="4320"/>
        <w:tab w:val="right" w:pos="8640"/>
      </w:tabs>
    </w:pPr>
  </w:style>
  <w:style w:type="paragraph" w:customStyle="1" w:styleId="Testonotaapidipagina1">
    <w:name w:val="Testo nota a piè di pagina1"/>
    <w:basedOn w:val="Normale"/>
    <w:pPr>
      <w:tabs>
        <w:tab w:val="left" w:pos="360"/>
      </w:tabs>
    </w:pPr>
    <w:rPr>
      <w:sz w:val="18"/>
    </w:rPr>
  </w:style>
  <w:style w:type="paragraph" w:customStyle="1" w:styleId="P1title">
    <w:name w:val="P1_title"/>
    <w:basedOn w:val="Testonormale1"/>
    <w:pPr>
      <w:tabs>
        <w:tab w:val="clear" w:pos="360"/>
      </w:tabs>
      <w:spacing w:before="1000" w:after="480" w:line="100" w:lineRule="atLeast"/>
      <w:jc w:val="center"/>
    </w:pPr>
    <w:rPr>
      <w:rFonts w:ascii="Times New Roman" w:hAnsi="Times New Roman"/>
      <w:b/>
    </w:rPr>
  </w:style>
  <w:style w:type="paragraph" w:styleId="Rientrocorpodeltesto">
    <w:name w:val="Body Text Indent"/>
    <w:basedOn w:val="Normale"/>
    <w:pPr>
      <w:spacing w:line="240" w:lineRule="atLeast"/>
      <w:ind w:left="288" w:hanging="288"/>
    </w:pPr>
    <w:rPr>
      <w:sz w:val="18"/>
    </w:rPr>
  </w:style>
  <w:style w:type="paragraph" w:customStyle="1" w:styleId="Reference">
    <w:name w:val="Reference"/>
    <w:basedOn w:val="Normale"/>
    <w:pPr>
      <w:tabs>
        <w:tab w:val="num" w:pos="0"/>
        <w:tab w:val="left" w:pos="346"/>
      </w:tabs>
      <w:spacing w:line="240" w:lineRule="exact"/>
      <w:ind w:left="300" w:hanging="300"/>
    </w:pPr>
    <w:rPr>
      <w:sz w:val="18"/>
    </w:rPr>
  </w:style>
  <w:style w:type="paragraph" w:customStyle="1" w:styleId="FigureCaption">
    <w:name w:val="Figure Caption"/>
    <w:basedOn w:val="Normale"/>
    <w:pPr>
      <w:spacing w:line="220" w:lineRule="exact"/>
    </w:pPr>
    <w:rPr>
      <w:sz w:val="18"/>
    </w:rPr>
  </w:style>
  <w:style w:type="paragraph" w:customStyle="1" w:styleId="TextIndent">
    <w:name w:val="Text Indent"/>
    <w:pPr>
      <w:suppressAutoHyphens/>
      <w:spacing w:line="280" w:lineRule="exact"/>
      <w:ind w:firstLine="302"/>
      <w:jc w:val="both"/>
    </w:pPr>
    <w:rPr>
      <w:sz w:val="22"/>
      <w:lang w:val="en-US" w:eastAsia="ar-SA"/>
    </w:rPr>
  </w:style>
  <w:style w:type="paragraph" w:customStyle="1" w:styleId="Equation">
    <w:name w:val="Equation"/>
    <w:basedOn w:val="Normale"/>
    <w:pPr>
      <w:tabs>
        <w:tab w:val="center" w:pos="3600"/>
        <w:tab w:val="right" w:pos="7200"/>
      </w:tabs>
      <w:spacing w:before="120" w:after="120" w:line="100" w:lineRule="atLeast"/>
    </w:pPr>
  </w:style>
  <w:style w:type="paragraph" w:customStyle="1" w:styleId="BodyText0">
    <w:name w:val="Body Text 0"/>
    <w:basedOn w:val="Corpotesto"/>
    <w:pPr>
      <w:ind w:firstLine="0"/>
    </w:pPr>
  </w:style>
  <w:style w:type="paragraph" w:customStyle="1" w:styleId="Picture">
    <w:name w:val="Picture"/>
    <w:basedOn w:val="Normale"/>
    <w:pPr>
      <w:keepNext/>
      <w:spacing w:before="160" w:after="160"/>
      <w:jc w:val="center"/>
    </w:pPr>
    <w:rPr>
      <w:sz w:val="20"/>
    </w:rPr>
  </w:style>
  <w:style w:type="paragraph" w:customStyle="1" w:styleId="Didascalia2">
    <w:name w:val="Didascalia2"/>
    <w:basedOn w:val="Normale"/>
    <w:pPr>
      <w:spacing w:before="120" w:after="120"/>
    </w:pPr>
    <w:rPr>
      <w:b/>
      <w:bCs/>
      <w:sz w:val="20"/>
    </w:rPr>
  </w:style>
  <w:style w:type="paragraph" w:customStyle="1" w:styleId="ReferenceHead">
    <w:name w:val="Reference Head"/>
    <w:basedOn w:val="ChapterTitle"/>
    <w:pPr>
      <w:spacing w:before="420" w:after="240"/>
      <w:ind w:left="0"/>
      <w:jc w:val="left"/>
    </w:pPr>
  </w:style>
  <w:style w:type="paragraph" w:customStyle="1" w:styleId="TableCaption">
    <w:name w:val="Table Caption"/>
    <w:basedOn w:val="Testo"/>
    <w:pPr>
      <w:spacing w:line="220" w:lineRule="exact"/>
    </w:pPr>
    <w:rPr>
      <w:sz w:val="18"/>
    </w:rPr>
  </w:style>
  <w:style w:type="paragraph" w:customStyle="1" w:styleId="Tabella">
    <w:name w:val="Tabella"/>
    <w:basedOn w:val="Testo"/>
    <w:pPr>
      <w:tabs>
        <w:tab w:val="right" w:pos="6480"/>
      </w:tabs>
      <w:spacing w:line="220" w:lineRule="exact"/>
      <w:ind w:left="-86" w:right="-142"/>
      <w:jc w:val="left"/>
    </w:pPr>
    <w:rPr>
      <w:sz w:val="18"/>
    </w:rPr>
  </w:style>
  <w:style w:type="paragraph" w:customStyle="1" w:styleId="TextAfterTable">
    <w:name w:val="Text AfterTable"/>
    <w:basedOn w:val="Testo"/>
    <w:pPr>
      <w:spacing w:before="380"/>
      <w:ind w:firstLine="302"/>
    </w:pPr>
  </w:style>
  <w:style w:type="paragraph" w:customStyle="1" w:styleId="Mappadocumento1">
    <w:name w:val="Mappa documento1"/>
    <w:basedOn w:val="Normale"/>
    <w:pPr>
      <w:shd w:val="clear" w:color="auto" w:fill="000080"/>
    </w:pPr>
    <w:rPr>
      <w:rFonts w:ascii="Tahoma" w:hAnsi="Tahoma"/>
    </w:rPr>
  </w:style>
  <w:style w:type="paragraph" w:customStyle="1" w:styleId="Author">
    <w:name w:val="Author"/>
    <w:basedOn w:val="Normale"/>
    <w:pPr>
      <w:spacing w:after="100"/>
      <w:jc w:val="center"/>
    </w:pPr>
    <w:rPr>
      <w:sz w:val="20"/>
    </w:rPr>
  </w:style>
  <w:style w:type="paragraph" w:customStyle="1" w:styleId="Affiliation">
    <w:name w:val="Affiliation"/>
    <w:basedOn w:val="Normale"/>
    <w:pPr>
      <w:spacing w:after="240"/>
      <w:jc w:val="center"/>
    </w:pPr>
    <w:rPr>
      <w:i/>
      <w:sz w:val="20"/>
    </w:rPr>
  </w:style>
  <w:style w:type="paragraph" w:customStyle="1" w:styleId="Abstract">
    <w:name w:val="Abstract"/>
    <w:basedOn w:val="Testo"/>
    <w:pPr>
      <w:tabs>
        <w:tab w:val="right" w:pos="6480"/>
      </w:tabs>
      <w:spacing w:line="240" w:lineRule="exact"/>
      <w:ind w:left="360" w:right="360"/>
    </w:pPr>
    <w:rPr>
      <w:sz w:val="20"/>
    </w:rPr>
  </w:style>
  <w:style w:type="paragraph" w:customStyle="1" w:styleId="MTDisplayEquation">
    <w:name w:val="MTDisplayEquation"/>
    <w:basedOn w:val="Normale"/>
    <w:pPr>
      <w:widowControl w:val="0"/>
    </w:pPr>
    <w:rPr>
      <w:sz w:val="20"/>
    </w:rPr>
  </w:style>
  <w:style w:type="paragraph" w:customStyle="1" w:styleId="Corpodeltesto21">
    <w:name w:val="Corpo del testo 21"/>
    <w:basedOn w:val="Normale"/>
  </w:style>
  <w:style w:type="paragraph" w:customStyle="1" w:styleId="Theorem">
    <w:name w:val="Theorem"/>
    <w:basedOn w:val="Testo"/>
    <w:pPr>
      <w:spacing w:before="200" w:after="200"/>
    </w:pPr>
  </w:style>
  <w:style w:type="paragraph" w:customStyle="1" w:styleId="NList">
    <w:name w:val="NList"/>
    <w:basedOn w:val="Elenco"/>
    <w:pPr>
      <w:tabs>
        <w:tab w:val="num" w:pos="0"/>
      </w:tabs>
      <w:ind w:left="300" w:hanging="300"/>
    </w:pPr>
  </w:style>
  <w:style w:type="paragraph" w:customStyle="1" w:styleId="AList">
    <w:name w:val="AList"/>
    <w:basedOn w:val="Normale"/>
    <w:pPr>
      <w:tabs>
        <w:tab w:val="num" w:pos="0"/>
      </w:tabs>
      <w:ind w:left="720"/>
    </w:pPr>
  </w:style>
  <w:style w:type="paragraph" w:customStyle="1" w:styleId="References">
    <w:name w:val="References"/>
    <w:basedOn w:val="Normale"/>
    <w:pPr>
      <w:spacing w:line="240" w:lineRule="exact"/>
      <w:ind w:left="461" w:hanging="461"/>
    </w:pPr>
    <w:rPr>
      <w:sz w:val="18"/>
      <w:szCs w:val="24"/>
    </w:rPr>
  </w:style>
  <w:style w:type="paragraph" w:customStyle="1" w:styleId="bulletlist">
    <w:name w:val="bullet list"/>
    <w:basedOn w:val="Normale"/>
    <w:pPr>
      <w:tabs>
        <w:tab w:val="left" w:pos="274"/>
      </w:tabs>
    </w:pPr>
    <w:rPr>
      <w:szCs w:val="24"/>
    </w:rPr>
  </w:style>
  <w:style w:type="paragraph" w:customStyle="1" w:styleId="NumberedReferences">
    <w:name w:val="Numbered References"/>
    <w:basedOn w:val="Testo"/>
    <w:pPr>
      <w:spacing w:line="240" w:lineRule="exact"/>
    </w:pPr>
    <w:rPr>
      <w:sz w:val="18"/>
      <w:szCs w:val="18"/>
    </w:rPr>
  </w:style>
  <w:style w:type="paragraph" w:customStyle="1" w:styleId="Figure">
    <w:name w:val="Figure"/>
    <w:basedOn w:val="Normale"/>
    <w:pPr>
      <w:spacing w:line="480" w:lineRule="auto"/>
      <w:jc w:val="center"/>
    </w:pPr>
    <w:rPr>
      <w:szCs w:val="24"/>
    </w:rPr>
  </w:style>
  <w:style w:type="paragraph" w:customStyle="1" w:styleId="alpalist">
    <w:name w:val="alpa list"/>
    <w:basedOn w:val="Testo"/>
    <w:pPr>
      <w:tabs>
        <w:tab w:val="left" w:pos="360"/>
      </w:tabs>
    </w:pPr>
    <w:rPr>
      <w:szCs w:val="24"/>
    </w:rPr>
  </w:style>
  <w:style w:type="paragraph" w:customStyle="1" w:styleId="boxed">
    <w:name w:val="boxed"/>
    <w:basedOn w:val="Testo"/>
    <w:pPr>
      <w:widowControl w:val="0"/>
      <w:pBdr>
        <w:top w:val="single" w:sz="4" w:space="6" w:color="000000"/>
        <w:left w:val="single" w:sz="4" w:space="6" w:color="000000"/>
        <w:bottom w:val="single" w:sz="4" w:space="6" w:color="000000"/>
        <w:right w:val="single" w:sz="4" w:space="6" w:color="000000"/>
      </w:pBdr>
      <w:tabs>
        <w:tab w:val="right" w:pos="6490"/>
      </w:tabs>
      <w:spacing w:before="90" w:after="90" w:line="240" w:lineRule="exact"/>
      <w:ind w:left="130" w:right="130"/>
    </w:pPr>
    <w:rPr>
      <w:sz w:val="20"/>
      <w:szCs w:val="24"/>
    </w:rPr>
  </w:style>
  <w:style w:type="paragraph" w:customStyle="1" w:styleId="Quote1">
    <w:name w:val="Quote1"/>
    <w:basedOn w:val="Testo"/>
    <w:pPr>
      <w:widowControl w:val="0"/>
      <w:tabs>
        <w:tab w:val="right" w:pos="6490"/>
      </w:tabs>
      <w:spacing w:before="90" w:after="90" w:line="220" w:lineRule="exact"/>
      <w:ind w:left="245" w:right="245"/>
    </w:pPr>
    <w:rPr>
      <w:sz w:val="18"/>
      <w:szCs w:val="24"/>
    </w:rPr>
  </w:style>
  <w:style w:type="paragraph" w:customStyle="1" w:styleId="romanlist">
    <w:name w:val="roman list"/>
    <w:pPr>
      <w:tabs>
        <w:tab w:val="num" w:pos="0"/>
      </w:tabs>
      <w:suppressAutoHyphens/>
      <w:spacing w:before="120" w:after="120" w:line="280" w:lineRule="exact"/>
      <w:ind w:left="300" w:hanging="300"/>
      <w:jc w:val="both"/>
    </w:pPr>
    <w:rPr>
      <w:sz w:val="22"/>
      <w:lang w:val="en-US" w:eastAsia="ar-SA"/>
    </w:rPr>
  </w:style>
  <w:style w:type="paragraph" w:customStyle="1" w:styleId="Arabiclist">
    <w:name w:val="Arabic list"/>
    <w:basedOn w:val="Normale"/>
    <w:rPr>
      <w:szCs w:val="24"/>
    </w:rPr>
  </w:style>
  <w:style w:type="paragraph" w:customStyle="1" w:styleId="proof">
    <w:name w:val="proof"/>
    <w:pPr>
      <w:tabs>
        <w:tab w:val="right" w:pos="7200"/>
      </w:tabs>
      <w:suppressAutoHyphens/>
      <w:spacing w:line="280" w:lineRule="exact"/>
      <w:jc w:val="both"/>
    </w:pPr>
    <w:rPr>
      <w:sz w:val="22"/>
      <w:szCs w:val="18"/>
      <w:lang w:val="en-US" w:eastAsia="ar-SA"/>
    </w:rPr>
  </w:style>
  <w:style w:type="paragraph" w:customStyle="1" w:styleId="AppendixHead">
    <w:name w:val="Appendix Head"/>
    <w:basedOn w:val="Normale"/>
    <w:pPr>
      <w:tabs>
        <w:tab w:val="num" w:pos="0"/>
      </w:tabs>
      <w:spacing w:before="420" w:after="240"/>
      <w:ind w:left="300" w:hanging="300"/>
      <w:outlineLvl w:val="0"/>
    </w:pPr>
    <w:rPr>
      <w:b/>
      <w:sz w:val="20"/>
      <w:szCs w:val="24"/>
    </w:rPr>
  </w:style>
  <w:style w:type="paragraph" w:customStyle="1" w:styleId="Appendix1">
    <w:name w:val="Appendix 1"/>
    <w:basedOn w:val="AppendixHead"/>
    <w:pPr>
      <w:tabs>
        <w:tab w:val="clear" w:pos="0"/>
      </w:tabs>
      <w:ind w:left="504" w:hanging="504"/>
    </w:pPr>
  </w:style>
  <w:style w:type="paragraph" w:customStyle="1" w:styleId="Appendix2">
    <w:name w:val="Appendix 2"/>
    <w:basedOn w:val="Appendix1"/>
    <w:pPr>
      <w:spacing w:before="360"/>
    </w:pPr>
    <w:rPr>
      <w:i/>
    </w:rPr>
  </w:style>
  <w:style w:type="paragraph" w:customStyle="1" w:styleId="Testofumetto1">
    <w:name w:val="Testo fumetto1"/>
    <w:basedOn w:val="Normale"/>
    <w:pPr>
      <w:spacing w:line="100" w:lineRule="atLeast"/>
    </w:pPr>
    <w:rPr>
      <w:rFonts w:ascii="Tahoma" w:hAnsi="Tahoma" w:cs="Tahoma"/>
      <w:sz w:val="16"/>
      <w:szCs w:val="16"/>
    </w:rPr>
  </w:style>
  <w:style w:type="paragraph" w:customStyle="1" w:styleId="NormaleWeb1">
    <w:name w:val="Normale (Web)1"/>
    <w:basedOn w:val="Normale"/>
    <w:pPr>
      <w:spacing w:before="100" w:after="100" w:line="100" w:lineRule="atLeast"/>
      <w:jc w:val="left"/>
    </w:pPr>
    <w:rPr>
      <w:sz w:val="24"/>
      <w:szCs w:val="24"/>
      <w:lang w:val="it-IT"/>
    </w:rPr>
  </w:style>
  <w:style w:type="paragraph" w:styleId="Testonotaapidipagina">
    <w:name w:val="footnote text"/>
    <w:basedOn w:val="Normale"/>
    <w:pPr>
      <w:suppressLineNumbers/>
      <w:ind w:left="283" w:hanging="283"/>
    </w:pPr>
    <w:rPr>
      <w:sz w:val="20"/>
    </w:rPr>
  </w:style>
  <w:style w:type="paragraph" w:customStyle="1" w:styleId="Contenutotabella">
    <w:name w:val="Contenuto tabella"/>
    <w:basedOn w:val="Normale"/>
    <w:pPr>
      <w:suppressLineNumbers/>
    </w:pPr>
  </w:style>
  <w:style w:type="character" w:customStyle="1" w:styleId="PidipaginaCarattere">
    <w:name w:val="Piè di pagina Carattere"/>
    <w:link w:val="Pidipagina"/>
    <w:uiPriority w:val="99"/>
    <w:rsid w:val="008726CA"/>
    <w:rPr>
      <w:sz w:val="22"/>
      <w:lang w:eastAsia="ar-SA"/>
    </w:rPr>
  </w:style>
  <w:style w:type="character" w:customStyle="1" w:styleId="IntestazioneCarattere">
    <w:name w:val="Intestazione Carattere"/>
    <w:link w:val="Intestazione"/>
    <w:uiPriority w:val="99"/>
    <w:rsid w:val="005C33AF"/>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DE49F-0072-42F0-B6C8-FA21419E0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4600</Words>
  <Characters>26221</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30760</CharactersWithSpaces>
  <SharedDoc>false</SharedDoc>
  <HLinks>
    <vt:vector size="30" baseType="variant">
      <vt:variant>
        <vt:i4>2555978</vt:i4>
      </vt:variant>
      <vt:variant>
        <vt:i4>12</vt:i4>
      </vt:variant>
      <vt:variant>
        <vt:i4>0</vt:i4>
      </vt:variant>
      <vt:variant>
        <vt:i4>5</vt:i4>
      </vt:variant>
      <vt:variant>
        <vt:lpwstr>mailto:g.pelleschi95@gmail.com</vt:lpwstr>
      </vt:variant>
      <vt:variant>
        <vt:lpwstr/>
      </vt:variant>
      <vt:variant>
        <vt:i4>2818133</vt:i4>
      </vt:variant>
      <vt:variant>
        <vt:i4>9</vt:i4>
      </vt:variant>
      <vt:variant>
        <vt:i4>0</vt:i4>
      </vt:variant>
      <vt:variant>
        <vt:i4>5</vt:i4>
      </vt:variant>
      <vt:variant>
        <vt:lpwstr>mailto:angela.tarabella@unipi.it</vt:lpwstr>
      </vt:variant>
      <vt:variant>
        <vt:lpwstr/>
      </vt:variant>
      <vt:variant>
        <vt:i4>3801111</vt:i4>
      </vt:variant>
      <vt:variant>
        <vt:i4>6</vt:i4>
      </vt:variant>
      <vt:variant>
        <vt:i4>0</vt:i4>
      </vt:variant>
      <vt:variant>
        <vt:i4>5</vt:i4>
      </vt:variant>
      <vt:variant>
        <vt:lpwstr>mailto:biagiof90@gmail.com</vt:lpwstr>
      </vt:variant>
      <vt:variant>
        <vt:lpwstr/>
      </vt:variant>
      <vt:variant>
        <vt:i4>3014726</vt:i4>
      </vt:variant>
      <vt:variant>
        <vt:i4>3</vt:i4>
      </vt:variant>
      <vt:variant>
        <vt:i4>0</vt:i4>
      </vt:variant>
      <vt:variant>
        <vt:i4>5</vt:i4>
      </vt:variant>
      <vt:variant>
        <vt:lpwstr>mailto:andrea.apicella@unipi.it</vt:lpwstr>
      </vt:variant>
      <vt:variant>
        <vt:lpwstr/>
      </vt:variant>
      <vt:variant>
        <vt:i4>2555978</vt:i4>
      </vt:variant>
      <vt:variant>
        <vt:i4>0</vt:i4>
      </vt:variant>
      <vt:variant>
        <vt:i4>0</vt:i4>
      </vt:variant>
      <vt:variant>
        <vt:i4>5</vt:i4>
      </vt:variant>
      <vt:variant>
        <vt:lpwstr>mailto:g.pelleschi95@gmail.com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Rossana Strippoli</cp:lastModifiedBy>
  <cp:revision>3</cp:revision>
  <cp:lastPrinted>2015-09-03T01:20:00Z</cp:lastPrinted>
  <dcterms:created xsi:type="dcterms:W3CDTF">2022-06-24T15:34:00Z</dcterms:created>
  <dcterms:modified xsi:type="dcterms:W3CDTF">2022-07-11T06:41:00Z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